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6E" w:rsidRPr="00FB2691" w:rsidRDefault="001D656E" w:rsidP="00B721C1">
      <w:pPr>
        <w:pStyle w:val="obec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29152671"/>
    </w:p>
    <w:p w:rsidR="001D656E" w:rsidRPr="00FB2691" w:rsidRDefault="007976C0" w:rsidP="00B721C1">
      <w:pPr>
        <w:pStyle w:val="obec"/>
        <w:tabs>
          <w:tab w:val="left" w:pos="708"/>
        </w:tabs>
        <w:spacing w:before="0"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>Česká republika –</w:t>
      </w:r>
      <w:r w:rsidRPr="00FB2691">
        <w:rPr>
          <w:color w:val="000000" w:themeColor="text1"/>
        </w:rPr>
        <w:t xml:space="preserve"> </w:t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>Úřad pro zastupování státu ve věcech majetkových</w:t>
      </w:r>
    </w:p>
    <w:p w:rsidR="001D656E" w:rsidRPr="00FB2691" w:rsidRDefault="007976C0" w:rsidP="00B721C1">
      <w:pPr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se sídlem: Rašínovo nábřeží 390/42, Nové Město, 12800 Praha 2</w:t>
      </w:r>
    </w:p>
    <w:p w:rsidR="001D656E" w:rsidRPr="00FB2691" w:rsidRDefault="007976C0" w:rsidP="00B721C1">
      <w:pPr>
        <w:autoSpaceDE w:val="0"/>
        <w:autoSpaceDN w:val="0"/>
        <w:adjustRightInd w:val="0"/>
        <w:spacing w:before="0" w:after="0"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za který právně jedná: Mgr. Ing. Ladislav Nový, ředitel Územního pracoviště Plzeň </w:t>
      </w:r>
    </w:p>
    <w:p w:rsidR="00764A4A" w:rsidRPr="00FB2691" w:rsidRDefault="00764A4A" w:rsidP="00B721C1">
      <w:pPr>
        <w:autoSpaceDE w:val="0"/>
        <w:autoSpaceDN w:val="0"/>
        <w:adjustRightInd w:val="0"/>
        <w:spacing w:before="0" w:after="0"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na základě </w:t>
      </w:r>
      <w:r w:rsidR="000A41B0" w:rsidRPr="00FB2691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říkazu generálního ředitele Úřadu 6/2019 v platném znění</w:t>
      </w:r>
    </w:p>
    <w:p w:rsidR="001D656E" w:rsidRPr="00FB2691" w:rsidRDefault="007976C0" w:rsidP="00B721C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IČO: 69797111</w:t>
      </w:r>
    </w:p>
    <w:p w:rsidR="001D656E" w:rsidRPr="00FB2691" w:rsidRDefault="007976C0" w:rsidP="00B721C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bankovní spojení: 24728311/0710</w:t>
      </w:r>
    </w:p>
    <w:p w:rsidR="001D656E" w:rsidRPr="00FB2691" w:rsidRDefault="007976C0" w:rsidP="00B721C1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(dále také jen „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>“)</w:t>
      </w:r>
    </w:p>
    <w:p w:rsidR="001D656E" w:rsidRDefault="007976C0" w:rsidP="00B721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</w:p>
    <w:p w:rsidR="004425D9" w:rsidRDefault="004425D9" w:rsidP="00B721C1">
      <w:pPr>
        <w:pStyle w:val="obec"/>
        <w:tabs>
          <w:tab w:val="left" w:pos="708"/>
        </w:tabs>
        <w:spacing w:before="0"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26905448"/>
    </w:p>
    <w:p w:rsidR="00F61B8E" w:rsidRPr="00FB2691" w:rsidRDefault="00F61B8E" w:rsidP="00B721C1">
      <w:pPr>
        <w:pStyle w:val="obec"/>
        <w:tabs>
          <w:tab w:val="left" w:pos="708"/>
        </w:tabs>
        <w:spacing w:before="0"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Agentura pro podporu podnikání a </w:t>
      </w:r>
      <w:r w:rsidR="00B4196A"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investic </w:t>
      </w:r>
      <w:proofErr w:type="spellStart"/>
      <w:r w:rsidR="00B4196A" w:rsidRPr="00FB2691">
        <w:rPr>
          <w:rFonts w:ascii="Arial" w:hAnsi="Arial" w:cs="Arial"/>
          <w:b/>
          <w:color w:val="000000" w:themeColor="text1"/>
          <w:sz w:val="22"/>
          <w:szCs w:val="22"/>
        </w:rPr>
        <w:t>CzechInvest</w:t>
      </w:r>
      <w:proofErr w:type="spellEnd"/>
    </w:p>
    <w:p w:rsidR="009F4FEE" w:rsidRPr="00FB2691" w:rsidRDefault="009F4FEE" w:rsidP="00B721C1">
      <w:pPr>
        <w:pStyle w:val="obec"/>
        <w:tabs>
          <w:tab w:val="left" w:pos="708"/>
        </w:tabs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státní příspěvková organizace Ministerstva průmyslu a obchodu</w:t>
      </w:r>
    </w:p>
    <w:p w:rsidR="006A0C0C" w:rsidRPr="00FB2691" w:rsidRDefault="00F61B8E" w:rsidP="00B721C1">
      <w:pPr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B4196A" w:rsidRPr="00FB2691">
        <w:rPr>
          <w:rFonts w:ascii="Arial" w:hAnsi="Arial" w:cs="Arial"/>
          <w:color w:val="000000" w:themeColor="text1"/>
          <w:sz w:val="22"/>
          <w:szCs w:val="22"/>
        </w:rPr>
        <w:t>Štěpánská 567/15</w:t>
      </w:r>
    </w:p>
    <w:p w:rsidR="006A0C0C" w:rsidRPr="00FB2691" w:rsidRDefault="006A0C0C" w:rsidP="00B721C1">
      <w:pPr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120 </w:t>
      </w:r>
      <w:proofErr w:type="gramStart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="0063370D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Praha</w:t>
      </w:r>
      <w:proofErr w:type="gramEnd"/>
      <w:r w:rsidR="00B4196A" w:rsidRPr="00FB2691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</w:p>
    <w:p w:rsidR="00F61B8E" w:rsidRPr="00FB2691" w:rsidRDefault="006A0C0C" w:rsidP="00B721C1">
      <w:pPr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="00B4196A" w:rsidRPr="00FB2691">
        <w:rPr>
          <w:rFonts w:ascii="Arial" w:hAnsi="Arial" w:cs="Arial"/>
          <w:color w:val="000000" w:themeColor="text1"/>
          <w:sz w:val="22"/>
          <w:szCs w:val="22"/>
        </w:rPr>
        <w:t>71377999</w:t>
      </w:r>
    </w:p>
    <w:p w:rsidR="00F61B8E" w:rsidRPr="00FB2691" w:rsidRDefault="00F61B8E" w:rsidP="00B721C1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zastoupen</w:t>
      </w:r>
      <w:r w:rsidR="009F4FEE" w:rsidRPr="00FB2691">
        <w:rPr>
          <w:rFonts w:ascii="Arial" w:hAnsi="Arial" w:cs="Arial"/>
          <w:color w:val="000000" w:themeColor="text1"/>
          <w:sz w:val="22"/>
          <w:szCs w:val="22"/>
        </w:rPr>
        <w:t>á: Ing. Petr Očko, pověřen řízením</w:t>
      </w:r>
      <w:r w:rsidR="0088559E">
        <w:rPr>
          <w:rFonts w:ascii="Arial" w:hAnsi="Arial" w:cs="Arial"/>
          <w:color w:val="000000" w:themeColor="text1"/>
          <w:sz w:val="22"/>
          <w:szCs w:val="22"/>
        </w:rPr>
        <w:t xml:space="preserve"> Agentury</w:t>
      </w:r>
    </w:p>
    <w:p w:rsidR="002B6DE1" w:rsidRDefault="00F61B8E" w:rsidP="0088559E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2B6DE1">
        <w:rPr>
          <w:rFonts w:ascii="Arial" w:hAnsi="Arial" w:cs="Arial"/>
          <w:color w:val="000000" w:themeColor="text1"/>
          <w:sz w:val="22"/>
          <w:szCs w:val="22"/>
        </w:rPr>
        <w:t>XXXX</w:t>
      </w:r>
    </w:p>
    <w:p w:rsidR="00F61B8E" w:rsidRDefault="00F61B8E" w:rsidP="0088559E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GoBack"/>
      <w:bookmarkEnd w:id="2"/>
      <w:r w:rsidRPr="00FB2691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="00F556F0" w:rsidRPr="00FB2691">
        <w:rPr>
          <w:rFonts w:ascii="Arial" w:hAnsi="Arial" w:cs="Arial"/>
          <w:color w:val="000000" w:themeColor="text1"/>
          <w:sz w:val="22"/>
          <w:szCs w:val="22"/>
        </w:rPr>
        <w:t>vypůjčitel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“) </w:t>
      </w:r>
    </w:p>
    <w:p w:rsidR="00C8277E" w:rsidRPr="00FB2691" w:rsidRDefault="00C8277E" w:rsidP="00B721C1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:rsidR="001D656E" w:rsidRPr="00FB2691" w:rsidRDefault="007976C0" w:rsidP="00B721C1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uzavírají podle ustanovení § 2193 a násl. zákona č. 89/2012 Sb., občanský zákoník, ve znění pozdějších předpisů </w:t>
      </w:r>
      <w:r w:rsidRPr="00FB2691">
        <w:rPr>
          <w:rFonts w:ascii="Arial" w:hAnsi="Arial" w:cs="Arial"/>
          <w:bCs/>
          <w:color w:val="000000" w:themeColor="text1"/>
          <w:sz w:val="22"/>
          <w:szCs w:val="22"/>
        </w:rPr>
        <w:t xml:space="preserve">(dále jen „zákon č. 89/2012 Sb.“)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a podle ustanovení § 27 zákona č. 219/2000 Sb., o majetku České republiky a jejím vystupování v právních vztazích, ve znění pozdějších předpisů (dále jen „zákon č. 219/2000 Sb.“), tuto</w:t>
      </w:r>
    </w:p>
    <w:p w:rsidR="001D656E" w:rsidRPr="00FB2691" w:rsidRDefault="007976C0" w:rsidP="00B721C1">
      <w:pPr>
        <w:pStyle w:val="para"/>
        <w:spacing w:line="276" w:lineRule="auto"/>
        <w:rPr>
          <w:rFonts w:ascii="Arial" w:hAnsi="Arial" w:cs="Arial"/>
          <w:color w:val="000000" w:themeColor="text1"/>
          <w:spacing w:val="60"/>
          <w:sz w:val="28"/>
          <w:szCs w:val="28"/>
        </w:rPr>
      </w:pPr>
      <w:r w:rsidRPr="00FB2691">
        <w:rPr>
          <w:rFonts w:ascii="Arial" w:hAnsi="Arial" w:cs="Arial"/>
          <w:color w:val="000000" w:themeColor="text1"/>
          <w:spacing w:val="60"/>
          <w:sz w:val="28"/>
          <w:szCs w:val="28"/>
        </w:rPr>
        <w:t>SMLOUVU</w:t>
      </w:r>
    </w:p>
    <w:p w:rsidR="001D656E" w:rsidRDefault="007976C0" w:rsidP="00B721C1">
      <w:pPr>
        <w:pStyle w:val="para"/>
        <w:spacing w:before="120" w:line="276" w:lineRule="auto"/>
        <w:rPr>
          <w:rFonts w:ascii="Arial" w:hAnsi="Arial" w:cs="Arial"/>
          <w:color w:val="000000" w:themeColor="text1"/>
          <w:spacing w:val="60"/>
          <w:sz w:val="28"/>
          <w:szCs w:val="28"/>
        </w:rPr>
      </w:pPr>
      <w:r w:rsidRPr="00FB2691">
        <w:rPr>
          <w:rFonts w:ascii="Arial" w:hAnsi="Arial" w:cs="Arial"/>
          <w:color w:val="000000" w:themeColor="text1"/>
          <w:spacing w:val="60"/>
          <w:sz w:val="28"/>
          <w:szCs w:val="28"/>
        </w:rPr>
        <w:t>O VÝPŮJČCE NEBYTOVÝCH PROSTOR</w:t>
      </w:r>
    </w:p>
    <w:p w:rsidR="006E50BA" w:rsidRPr="00FB2691" w:rsidRDefault="006E50BA" w:rsidP="00B721C1">
      <w:pPr>
        <w:pStyle w:val="para"/>
        <w:spacing w:before="120" w:line="276" w:lineRule="auto"/>
        <w:rPr>
          <w:rFonts w:ascii="Arial" w:hAnsi="Arial" w:cs="Arial"/>
          <w:color w:val="000000" w:themeColor="text1"/>
          <w:spacing w:val="60"/>
          <w:sz w:val="28"/>
          <w:szCs w:val="28"/>
        </w:rPr>
      </w:pPr>
      <w:r>
        <w:rPr>
          <w:rFonts w:ascii="Arial" w:hAnsi="Arial" w:cs="Arial"/>
          <w:color w:val="000000" w:themeColor="text1"/>
          <w:spacing w:val="60"/>
          <w:sz w:val="28"/>
          <w:szCs w:val="28"/>
        </w:rPr>
        <w:t>č. 36/2023</w:t>
      </w:r>
    </w:p>
    <w:p w:rsidR="001D656E" w:rsidRPr="00FB2691" w:rsidRDefault="007976C0" w:rsidP="00B721C1">
      <w:pPr>
        <w:pStyle w:val="para"/>
        <w:spacing w:before="120" w:line="276" w:lineRule="auto"/>
        <w:rPr>
          <w:rFonts w:ascii="Arial" w:hAnsi="Arial" w:cs="Arial"/>
          <w:b w:val="0"/>
          <w:color w:val="000000" w:themeColor="text1"/>
          <w:spacing w:val="60"/>
          <w:sz w:val="22"/>
          <w:szCs w:val="28"/>
        </w:rPr>
      </w:pPr>
      <w:r w:rsidRPr="00FB2691">
        <w:rPr>
          <w:rFonts w:ascii="Arial" w:hAnsi="Arial" w:cs="Arial"/>
          <w:b w:val="0"/>
          <w:color w:val="000000" w:themeColor="text1"/>
          <w:spacing w:val="60"/>
          <w:sz w:val="22"/>
          <w:szCs w:val="28"/>
        </w:rPr>
        <w:t>(dále také jen „smlouva“)</w:t>
      </w:r>
    </w:p>
    <w:p w:rsidR="001D656E" w:rsidRPr="00FB2691" w:rsidRDefault="009E6C2A" w:rsidP="00B721C1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I.</w:t>
      </w:r>
    </w:p>
    <w:p w:rsidR="001D656E" w:rsidRPr="00FB2691" w:rsidRDefault="009E6C2A" w:rsidP="004425D9">
      <w:pPr>
        <w:pStyle w:val="para"/>
        <w:tabs>
          <w:tab w:val="center" w:pos="4536"/>
          <w:tab w:val="left" w:pos="5222"/>
        </w:tabs>
        <w:spacing w:before="120" w:line="276" w:lineRule="auto"/>
        <w:ind w:left="3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b w:val="0"/>
          <w:color w:val="000000" w:themeColor="text1"/>
          <w:sz w:val="22"/>
          <w:szCs w:val="22"/>
        </w:rPr>
        <w:t>Česká republika je vlastníkem a Úřad pro zastupování státu ve věcech majetkových je na základě zákona č. 320/2022 Sb. a ve smyslu § 9 zákona č. 219/2000 Sb., příslušný hospodařit s níže uvedenými nemovitými věcmi:</w:t>
      </w:r>
      <w:bookmarkStart w:id="3" w:name="_Hlk128733109"/>
    </w:p>
    <w:p w:rsidR="00962438" w:rsidRPr="00C8277E" w:rsidRDefault="00C8277E" w:rsidP="00C8277E">
      <w:pPr>
        <w:pStyle w:val="vnintext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Pozemek</w:t>
      </w:r>
      <w:r w:rsidR="00256553" w:rsidRPr="00C8277E">
        <w:rPr>
          <w:rFonts w:ascii="Arial" w:hAnsi="Arial" w:cs="Arial"/>
          <w:color w:val="000000" w:themeColor="text1"/>
          <w:sz w:val="22"/>
          <w:szCs w:val="22"/>
        </w:rPr>
        <w:t xml:space="preserve"> č. 6676</w:t>
      </w:r>
      <w:r w:rsidR="00962438" w:rsidRPr="00C8277E">
        <w:rPr>
          <w:rFonts w:ascii="Arial" w:hAnsi="Arial" w:cs="Arial"/>
          <w:color w:val="000000" w:themeColor="text1"/>
          <w:sz w:val="22"/>
          <w:szCs w:val="22"/>
        </w:rPr>
        <w:t xml:space="preserve"> o výměře 1562 m</w:t>
      </w:r>
      <w:r w:rsidR="00962438" w:rsidRPr="00C8277E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256553" w:rsidRPr="00C8277E">
        <w:rPr>
          <w:rFonts w:ascii="Arial" w:hAnsi="Arial" w:cs="Arial"/>
          <w:color w:val="000000" w:themeColor="text1"/>
          <w:sz w:val="22"/>
          <w:szCs w:val="22"/>
        </w:rPr>
        <w:t xml:space="preserve"> druh pozemku: zastavěná plocha a nádvoří,</w:t>
      </w:r>
      <w:r w:rsidR="00962438" w:rsidRPr="00C8277E">
        <w:rPr>
          <w:rFonts w:ascii="Arial" w:hAnsi="Arial" w:cs="Arial"/>
          <w:color w:val="000000" w:themeColor="text1"/>
          <w:sz w:val="22"/>
          <w:szCs w:val="22"/>
        </w:rPr>
        <w:t xml:space="preserve"> jehož součástí je stavba</w:t>
      </w:r>
      <w:r w:rsidR="004425D9">
        <w:rPr>
          <w:rFonts w:ascii="Arial" w:hAnsi="Arial" w:cs="Arial"/>
          <w:color w:val="000000" w:themeColor="text1"/>
          <w:sz w:val="22"/>
          <w:szCs w:val="22"/>
        </w:rPr>
        <w:t xml:space="preserve"> s číslem popisným 1926/1, adresní místo</w:t>
      </w:r>
      <w:r w:rsidR="00962438" w:rsidRPr="00C8277E">
        <w:rPr>
          <w:rFonts w:ascii="Arial" w:hAnsi="Arial" w:cs="Arial"/>
          <w:color w:val="000000" w:themeColor="text1"/>
          <w:sz w:val="22"/>
          <w:szCs w:val="22"/>
        </w:rPr>
        <w:t>: 17. listopadu 1926/1, Jižní Předměstí, 301 00 Plzeň, občanská vybavenost, zapsaný na listu vlastnictví č. 60000,</w:t>
      </w:r>
    </w:p>
    <w:p w:rsidR="00962438" w:rsidRDefault="00962438" w:rsidP="00C8277E">
      <w:pPr>
        <w:pStyle w:val="vnintext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77E">
        <w:rPr>
          <w:rFonts w:ascii="Arial" w:hAnsi="Arial" w:cs="Arial"/>
          <w:color w:val="000000" w:themeColor="text1"/>
          <w:sz w:val="22"/>
          <w:szCs w:val="22"/>
        </w:rPr>
        <w:t xml:space="preserve">pozemek č. </w:t>
      </w:r>
      <w:r w:rsidR="00256553" w:rsidRPr="00C8277E">
        <w:rPr>
          <w:rFonts w:ascii="Arial" w:hAnsi="Arial" w:cs="Arial"/>
          <w:color w:val="000000" w:themeColor="text1"/>
          <w:sz w:val="22"/>
          <w:szCs w:val="22"/>
        </w:rPr>
        <w:t xml:space="preserve"> 6672/1 </w:t>
      </w:r>
      <w:r w:rsidRPr="00C8277E">
        <w:rPr>
          <w:rFonts w:ascii="Arial" w:hAnsi="Arial" w:cs="Arial"/>
          <w:color w:val="000000" w:themeColor="text1"/>
          <w:sz w:val="22"/>
          <w:szCs w:val="22"/>
        </w:rPr>
        <w:t>o výměře 1219 m</w:t>
      </w:r>
      <w:r w:rsidRPr="00C8277E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="00256553" w:rsidRPr="00C8277E">
        <w:rPr>
          <w:rFonts w:ascii="Arial" w:hAnsi="Arial" w:cs="Arial"/>
          <w:color w:val="000000" w:themeColor="text1"/>
          <w:sz w:val="22"/>
          <w:szCs w:val="22"/>
        </w:rPr>
        <w:t>druh pozemku: plocha, ostatní komunikace zapsané na listu vlastnictví č. 60000</w:t>
      </w:r>
      <w:r w:rsidRPr="00C8277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8559E" w:rsidRPr="00C8277E" w:rsidRDefault="0088559E" w:rsidP="0088559E">
      <w:pPr>
        <w:pStyle w:val="vnintext"/>
        <w:spacing w:before="0" w:after="0" w:line="276" w:lineRule="auto"/>
        <w:ind w:left="1429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8277E" w:rsidRDefault="00962438" w:rsidP="00C8277E">
      <w:pPr>
        <w:pStyle w:val="vnintext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77E">
        <w:rPr>
          <w:rFonts w:ascii="Arial" w:hAnsi="Arial" w:cs="Arial"/>
          <w:color w:val="000000" w:themeColor="text1"/>
          <w:sz w:val="22"/>
          <w:szCs w:val="22"/>
        </w:rPr>
        <w:t>Výše uvedené nemovité věci jsou zapsané v katastru nemovitostí vedeném Katastrálním</w:t>
      </w:r>
      <w:r w:rsidR="00C827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8277E" w:rsidRDefault="00962438" w:rsidP="00C8277E">
      <w:pPr>
        <w:pStyle w:val="vnintext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77E">
        <w:rPr>
          <w:rFonts w:ascii="Arial" w:hAnsi="Arial" w:cs="Arial"/>
          <w:color w:val="000000" w:themeColor="text1"/>
          <w:sz w:val="22"/>
          <w:szCs w:val="22"/>
        </w:rPr>
        <w:lastRenderedPageBreak/>
        <w:t>úřadem pro Plzeňský kraj</w:t>
      </w:r>
      <w:r w:rsidR="00C8277E" w:rsidRPr="00C8277E">
        <w:rPr>
          <w:rFonts w:ascii="Arial" w:hAnsi="Arial" w:cs="Arial"/>
          <w:color w:val="000000" w:themeColor="text1"/>
          <w:sz w:val="22"/>
          <w:szCs w:val="22"/>
        </w:rPr>
        <w:t>, Katastrálním pracovištěm Plzeň-město</w:t>
      </w:r>
      <w:r w:rsidR="00256553" w:rsidRPr="00C8277E">
        <w:rPr>
          <w:rFonts w:ascii="Arial" w:hAnsi="Arial" w:cs="Arial"/>
          <w:color w:val="000000" w:themeColor="text1"/>
          <w:sz w:val="22"/>
          <w:szCs w:val="22"/>
        </w:rPr>
        <w:t>, pro katastrální území Plzeň,</w:t>
      </w:r>
      <w:r w:rsidR="00C827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6553" w:rsidRPr="00C8277E" w:rsidRDefault="00256553" w:rsidP="00C8277E">
      <w:pPr>
        <w:pStyle w:val="vnintext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277E">
        <w:rPr>
          <w:rFonts w:ascii="Arial" w:hAnsi="Arial" w:cs="Arial"/>
          <w:color w:val="000000" w:themeColor="text1"/>
          <w:sz w:val="22"/>
          <w:szCs w:val="22"/>
        </w:rPr>
        <w:t>obec Plzeň</w:t>
      </w:r>
      <w:r w:rsidR="00C8277E" w:rsidRPr="00C8277E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3"/>
    <w:p w:rsidR="00EF6E4D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II.</w:t>
      </w:r>
    </w:p>
    <w:p w:rsidR="001D656E" w:rsidRPr="00FB2691" w:rsidRDefault="007976C0" w:rsidP="00AC79B3">
      <w:pPr>
        <w:pStyle w:val="vnintext"/>
        <w:spacing w:before="0" w:line="276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128733481"/>
      <w:r w:rsidRPr="00FB2691">
        <w:rPr>
          <w:rFonts w:ascii="Arial" w:hAnsi="Arial" w:cs="Arial"/>
          <w:color w:val="000000" w:themeColor="text1"/>
          <w:sz w:val="22"/>
          <w:szCs w:val="22"/>
        </w:rPr>
        <w:t>V nemovitých věcech uvedených v </w:t>
      </w:r>
      <w:r w:rsidR="00267581" w:rsidRPr="00FB269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l. I. odst. 1 této smlouvy se nacházejí prostory (dále definované v </w:t>
      </w:r>
      <w:r w:rsidR="00267581" w:rsidRPr="00FB269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l. III. </w:t>
      </w:r>
      <w:r w:rsidR="00267581" w:rsidRPr="00FB2691">
        <w:rPr>
          <w:rFonts w:ascii="Arial" w:hAnsi="Arial" w:cs="Arial"/>
          <w:color w:val="000000" w:themeColor="text1"/>
          <w:sz w:val="22"/>
          <w:szCs w:val="22"/>
        </w:rPr>
        <w:t xml:space="preserve">této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smlouvy), </w:t>
      </w:r>
      <w:r w:rsidR="003368C0" w:rsidRPr="00FB2691">
        <w:rPr>
          <w:rFonts w:ascii="Arial" w:hAnsi="Arial" w:cs="Arial"/>
          <w:color w:val="000000" w:themeColor="text1"/>
          <w:sz w:val="22"/>
          <w:szCs w:val="22"/>
        </w:rPr>
        <w:t xml:space="preserve">které </w:t>
      </w:r>
      <w:proofErr w:type="spellStart"/>
      <w:r w:rsidR="003368C0"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="005A7F6C" w:rsidRPr="00FB2691">
        <w:rPr>
          <w:rFonts w:ascii="Arial" w:hAnsi="Arial" w:cs="Arial"/>
          <w:color w:val="000000" w:themeColor="text1"/>
          <w:sz w:val="22"/>
          <w:szCs w:val="22"/>
        </w:rPr>
        <w:t xml:space="preserve"> podle Rozhodnutí o dočasné nepotřebnosti ze dne 9.2.2023, vedené pod č.j. UZSVM/P/4490/2023/HSPH</w:t>
      </w:r>
      <w:r w:rsidR="003368C0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7581" w:rsidRPr="00FB2691">
        <w:rPr>
          <w:rFonts w:ascii="Arial" w:hAnsi="Arial" w:cs="Arial"/>
          <w:color w:val="000000" w:themeColor="text1"/>
          <w:sz w:val="22"/>
          <w:szCs w:val="22"/>
        </w:rPr>
        <w:t xml:space="preserve">dočasně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nepotřebuje k plnění funkcí státu nebo jiných úkolů v rámci své působnosti ve smyslu ustanovení § 27 odst. 1 zákona č. 219/2000 Sb.</w:t>
      </w:r>
    </w:p>
    <w:bookmarkEnd w:id="4"/>
    <w:p w:rsidR="001D656E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III.</w:t>
      </w:r>
    </w:p>
    <w:p w:rsidR="00087887" w:rsidRPr="00FB2691" w:rsidRDefault="007976C0" w:rsidP="00AC79B3">
      <w:pPr>
        <w:numPr>
          <w:ilvl w:val="0"/>
          <w:numId w:val="1"/>
        </w:numPr>
        <w:spacing w:before="0" w:after="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přenechává k bezplatnému užívání vypůjčiteli na dobu uvedenou v </w:t>
      </w:r>
      <w:r w:rsidR="009E6C2A" w:rsidRPr="00FB269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l. V. této smlouvy následující nebytové prostory</w:t>
      </w:r>
      <w:r w:rsidR="00DE5468" w:rsidRPr="00FB2691">
        <w:rPr>
          <w:rFonts w:ascii="Arial" w:hAnsi="Arial" w:cs="Arial"/>
          <w:color w:val="000000" w:themeColor="text1"/>
          <w:sz w:val="22"/>
          <w:szCs w:val="22"/>
        </w:rPr>
        <w:t xml:space="preserve"> v budově uvedené v</w:t>
      </w:r>
      <w:r w:rsidR="004425D9">
        <w:rPr>
          <w:rFonts w:ascii="Arial" w:hAnsi="Arial" w:cs="Arial"/>
          <w:color w:val="000000" w:themeColor="text1"/>
          <w:sz w:val="22"/>
          <w:szCs w:val="22"/>
        </w:rPr>
        <w:t xml:space="preserve"> Čl. I. </w:t>
      </w:r>
      <w:r w:rsidR="00DE5468" w:rsidRPr="00FB2691">
        <w:rPr>
          <w:rFonts w:ascii="Arial" w:hAnsi="Arial" w:cs="Arial"/>
          <w:color w:val="000000" w:themeColor="text1"/>
          <w:sz w:val="22"/>
          <w:szCs w:val="22"/>
        </w:rPr>
        <w:t>t</w:t>
      </w:r>
      <w:r w:rsidR="004425D9">
        <w:rPr>
          <w:rFonts w:ascii="Arial" w:hAnsi="Arial" w:cs="Arial"/>
          <w:color w:val="000000" w:themeColor="text1"/>
          <w:sz w:val="22"/>
          <w:szCs w:val="22"/>
        </w:rPr>
        <w:t>éto smlouvy</w:t>
      </w:r>
      <w:r w:rsidR="00B721C1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5" w:name="_Hlk128733503"/>
      <w:r w:rsidR="00B721C1" w:rsidRPr="00FB2691">
        <w:rPr>
          <w:rFonts w:ascii="Arial" w:hAnsi="Arial" w:cs="Arial"/>
          <w:color w:val="000000" w:themeColor="text1"/>
          <w:sz w:val="22"/>
          <w:szCs w:val="22"/>
        </w:rPr>
        <w:t xml:space="preserve">na adrese: </w:t>
      </w:r>
    </w:p>
    <w:p w:rsidR="00C17F8D" w:rsidRPr="00FB2691" w:rsidRDefault="00087887" w:rsidP="00087887">
      <w:pPr>
        <w:spacing w:before="0" w:after="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17. listopadu 1926/1, 301 </w:t>
      </w:r>
      <w:proofErr w:type="gramStart"/>
      <w:r w:rsidRPr="00FB2691">
        <w:rPr>
          <w:rFonts w:ascii="Arial" w:hAnsi="Arial" w:cs="Arial"/>
          <w:color w:val="000000" w:themeColor="text1"/>
          <w:sz w:val="22"/>
          <w:szCs w:val="22"/>
        </w:rPr>
        <w:t>00  Plzeň</w:t>
      </w:r>
      <w:proofErr w:type="gram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3 – Jižní Předměstí.</w:t>
      </w:r>
    </w:p>
    <w:bookmarkEnd w:id="5"/>
    <w:p w:rsidR="00C62E17" w:rsidRPr="00FB2691" w:rsidRDefault="00C62E17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17F8D" w:rsidRPr="00FB2691" w:rsidRDefault="00C17F8D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</w:pPr>
      <w:r w:rsidRPr="00FB2691">
        <w:rPr>
          <w:rFonts w:ascii="Arial" w:hAnsi="Arial" w:cs="Arial"/>
          <w:color w:val="000000" w:themeColor="text1"/>
          <w:sz w:val="22"/>
          <w:szCs w:val="22"/>
          <w:u w:val="single"/>
        </w:rPr>
        <w:t>číslo nebytového prostoru         druh nebytového prostoru                           výměra v m</w:t>
      </w:r>
      <w:r w:rsidRPr="00FB2691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2</w:t>
      </w:r>
    </w:p>
    <w:p w:rsidR="00C17F8D" w:rsidRPr="00FB2691" w:rsidRDefault="00C17F8D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B2691">
        <w:rPr>
          <w:rFonts w:ascii="Arial" w:hAnsi="Arial" w:cs="Arial"/>
          <w:color w:val="000000" w:themeColor="text1"/>
          <w:sz w:val="22"/>
          <w:szCs w:val="22"/>
        </w:rPr>
        <w:t>3a</w:t>
      </w:r>
      <w:proofErr w:type="gram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9915C8" w:rsidRPr="00FB2691">
        <w:rPr>
          <w:rFonts w:ascii="Arial" w:hAnsi="Arial" w:cs="Arial"/>
          <w:color w:val="000000" w:themeColor="text1"/>
          <w:sz w:val="22"/>
          <w:szCs w:val="22"/>
        </w:rPr>
        <w:t>6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kancelář                                                      16,</w:t>
      </w:r>
      <w:r w:rsidR="009915C8" w:rsidRPr="00FB2691">
        <w:rPr>
          <w:rFonts w:ascii="Arial" w:hAnsi="Arial" w:cs="Arial"/>
          <w:color w:val="000000" w:themeColor="text1"/>
          <w:sz w:val="22"/>
          <w:szCs w:val="22"/>
        </w:rPr>
        <w:t>28</w:t>
      </w:r>
    </w:p>
    <w:p w:rsidR="00C17F8D" w:rsidRPr="00FB2691" w:rsidRDefault="00C17F8D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B2691">
        <w:rPr>
          <w:rFonts w:ascii="Arial" w:hAnsi="Arial" w:cs="Arial"/>
          <w:color w:val="000000" w:themeColor="text1"/>
          <w:sz w:val="22"/>
          <w:szCs w:val="22"/>
        </w:rPr>
        <w:t>3a</w:t>
      </w:r>
      <w:proofErr w:type="gram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9915C8" w:rsidRPr="00FB2691">
        <w:rPr>
          <w:rFonts w:ascii="Arial" w:hAnsi="Arial" w:cs="Arial"/>
          <w:color w:val="000000" w:themeColor="text1"/>
          <w:sz w:val="22"/>
          <w:szCs w:val="22"/>
        </w:rPr>
        <w:t>7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="009915C8" w:rsidRPr="00FB269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kancelář                                                      </w:t>
      </w:r>
      <w:r w:rsidR="009915C8" w:rsidRPr="00FB2691">
        <w:rPr>
          <w:rFonts w:ascii="Arial" w:hAnsi="Arial" w:cs="Arial"/>
          <w:color w:val="000000" w:themeColor="text1"/>
          <w:sz w:val="22"/>
          <w:szCs w:val="22"/>
        </w:rPr>
        <w:t>24,64</w:t>
      </w:r>
    </w:p>
    <w:p w:rsidR="009915C8" w:rsidRPr="00FB2691" w:rsidRDefault="009915C8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B2691">
        <w:rPr>
          <w:rFonts w:ascii="Arial" w:hAnsi="Arial" w:cs="Arial"/>
          <w:color w:val="000000" w:themeColor="text1"/>
          <w:sz w:val="22"/>
          <w:szCs w:val="22"/>
        </w:rPr>
        <w:t>3a</w:t>
      </w:r>
      <w:proofErr w:type="gram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08                                             kancelář                                                        8,94</w:t>
      </w:r>
    </w:p>
    <w:p w:rsidR="001633EF" w:rsidRPr="00FB2691" w:rsidRDefault="001633EF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Celkem užívané prostory                                                                                  49,86</w:t>
      </w:r>
    </w:p>
    <w:p w:rsidR="00C17F8D" w:rsidRPr="00FB2691" w:rsidRDefault="00C17F8D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Podíl užívaných společných ploch v m</w:t>
      </w:r>
      <w:r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                   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2E17" w:rsidRPr="00FB2691">
        <w:rPr>
          <w:rFonts w:ascii="Arial" w:hAnsi="Arial" w:cs="Arial"/>
          <w:color w:val="000000" w:themeColor="text1"/>
          <w:sz w:val="22"/>
          <w:szCs w:val="22"/>
        </w:rPr>
        <w:t>82,51</w:t>
      </w:r>
    </w:p>
    <w:p w:rsidR="00C17F8D" w:rsidRPr="00FB2691" w:rsidRDefault="00C17F8D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Celková užívaná plocha v m</w:t>
      </w:r>
      <w:r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                                                                                                           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</w:t>
      </w:r>
      <w:r w:rsidR="00C62E17" w:rsidRPr="00FB2691">
        <w:rPr>
          <w:rFonts w:ascii="Arial" w:hAnsi="Arial" w:cs="Arial"/>
          <w:color w:val="000000" w:themeColor="text1"/>
          <w:sz w:val="22"/>
          <w:szCs w:val="22"/>
        </w:rPr>
        <w:t>132,37</w:t>
      </w:r>
    </w:p>
    <w:p w:rsidR="006A0C0C" w:rsidRPr="00FB2691" w:rsidRDefault="009E6C2A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Umístění nebytových prostor </w:t>
      </w:r>
      <w:r w:rsidR="00AD71D2" w:rsidRPr="00FB2691">
        <w:rPr>
          <w:rFonts w:ascii="Arial" w:hAnsi="Arial" w:cs="Arial"/>
          <w:color w:val="000000" w:themeColor="text1"/>
          <w:sz w:val="22"/>
          <w:szCs w:val="22"/>
        </w:rPr>
        <w:t xml:space="preserve">o celkové výměře </w:t>
      </w:r>
      <w:r w:rsidR="001633EF" w:rsidRPr="00FB2691">
        <w:rPr>
          <w:rFonts w:ascii="Arial" w:hAnsi="Arial" w:cs="Arial"/>
          <w:color w:val="000000" w:themeColor="text1"/>
          <w:sz w:val="22"/>
          <w:szCs w:val="22"/>
        </w:rPr>
        <w:t>49,86</w:t>
      </w:r>
      <w:r w:rsidR="00AD71D2" w:rsidRPr="00FB269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AD71D2"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>j</w:t>
      </w:r>
      <w:r w:rsidR="00824D9C" w:rsidRPr="00FB2691">
        <w:rPr>
          <w:rFonts w:ascii="Arial" w:hAnsi="Arial" w:cs="Arial"/>
          <w:color w:val="000000" w:themeColor="text1"/>
          <w:sz w:val="22"/>
          <w:szCs w:val="22"/>
        </w:rPr>
        <w:t>e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4D9C" w:rsidRPr="00FB2691">
        <w:rPr>
          <w:rFonts w:ascii="Arial" w:hAnsi="Arial" w:cs="Arial"/>
          <w:color w:val="000000" w:themeColor="text1"/>
          <w:sz w:val="22"/>
          <w:szCs w:val="22"/>
        </w:rPr>
        <w:t>patrné z půdorysného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 xml:space="preserve"> plánku, který je přílohou</w:t>
      </w:r>
      <w:r w:rsidR="000A41B0" w:rsidRPr="00FB2691">
        <w:rPr>
          <w:rFonts w:ascii="Arial" w:hAnsi="Arial" w:cs="Arial"/>
          <w:color w:val="000000" w:themeColor="text1"/>
          <w:sz w:val="22"/>
          <w:szCs w:val="22"/>
        </w:rPr>
        <w:t xml:space="preserve"> této smlouvy. </w:t>
      </w:r>
      <w:r w:rsidR="001633EF" w:rsidRPr="00FB2691">
        <w:rPr>
          <w:rFonts w:ascii="Arial" w:hAnsi="Arial" w:cs="Arial"/>
          <w:color w:val="000000" w:themeColor="text1"/>
          <w:sz w:val="22"/>
          <w:szCs w:val="22"/>
        </w:rPr>
        <w:t xml:space="preserve">(Příloha č. 2 – výpočtový list). 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 xml:space="preserve">Celková plocha pro vyúčtování je </w:t>
      </w:r>
      <w:r w:rsidR="00C62E17" w:rsidRPr="00FB2691">
        <w:rPr>
          <w:rFonts w:ascii="Arial" w:hAnsi="Arial" w:cs="Arial"/>
          <w:color w:val="000000" w:themeColor="text1"/>
          <w:sz w:val="22"/>
          <w:szCs w:val="22"/>
        </w:rPr>
        <w:t>132,37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</w:rPr>
        <w:t>m</w:t>
      </w:r>
      <w:r w:rsidR="006A0C0C" w:rsidRPr="00FB269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627018"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D656E" w:rsidRPr="00FB2691" w:rsidRDefault="00AC79B3" w:rsidP="00B721C1">
      <w:pPr>
        <w:spacing w:before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76C0"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výše uvedené prostory k bezplatnému užívání od </w:t>
      </w:r>
      <w:proofErr w:type="spellStart"/>
      <w:r w:rsidR="007976C0"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="007976C0" w:rsidRPr="00FB2691">
        <w:rPr>
          <w:rFonts w:ascii="Arial" w:hAnsi="Arial" w:cs="Arial"/>
          <w:color w:val="000000" w:themeColor="text1"/>
          <w:sz w:val="22"/>
          <w:szCs w:val="22"/>
        </w:rPr>
        <w:t xml:space="preserve"> přijímá.</w:t>
      </w:r>
    </w:p>
    <w:p w:rsidR="006A5781" w:rsidRPr="00FB2691" w:rsidRDefault="007976C0" w:rsidP="00B721C1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Vypůjčitel prohlašuje, že je mu stav vypůjčených prostor dobře znám, neboť si je prohlédl před uzavřením této smlouvy, a potvrzuje, že všechny jsou ve stavu způsobilém k řádnému užívání</w:t>
      </w:r>
      <w:r w:rsidR="006A5781" w:rsidRPr="00FB2691">
        <w:rPr>
          <w:rFonts w:ascii="Arial" w:hAnsi="Arial" w:cs="Arial"/>
          <w:color w:val="000000" w:themeColor="text1"/>
          <w:sz w:val="22"/>
          <w:szCs w:val="22"/>
        </w:rPr>
        <w:t>.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E37BB" w:rsidRPr="00FB2691" w:rsidRDefault="006360D2" w:rsidP="00B721C1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Při </w:t>
      </w:r>
      <w:r w:rsidR="001E37BB" w:rsidRPr="00FB2691">
        <w:rPr>
          <w:rFonts w:ascii="Arial" w:hAnsi="Arial" w:cs="Arial"/>
          <w:color w:val="000000" w:themeColor="text1"/>
          <w:sz w:val="22"/>
          <w:szCs w:val="22"/>
        </w:rPr>
        <w:t xml:space="preserve">předání </w:t>
      </w:r>
      <w:r w:rsidR="00231CDE" w:rsidRPr="00FB2691">
        <w:rPr>
          <w:rFonts w:ascii="Arial" w:hAnsi="Arial" w:cs="Arial"/>
          <w:color w:val="000000" w:themeColor="text1"/>
          <w:sz w:val="22"/>
          <w:szCs w:val="22"/>
        </w:rPr>
        <w:t>a převzetí vypůjčených ne</w:t>
      </w:r>
      <w:r w:rsidR="00AF4907" w:rsidRPr="00FB2691">
        <w:rPr>
          <w:rFonts w:ascii="Arial" w:hAnsi="Arial" w:cs="Arial"/>
          <w:color w:val="000000" w:themeColor="text1"/>
          <w:sz w:val="22"/>
          <w:szCs w:val="22"/>
        </w:rPr>
        <w:t>bytových</w:t>
      </w:r>
      <w:r w:rsidR="00231CDE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3136" w:rsidRPr="00FB2691">
        <w:rPr>
          <w:rFonts w:ascii="Arial" w:hAnsi="Arial" w:cs="Arial"/>
          <w:color w:val="000000" w:themeColor="text1"/>
          <w:sz w:val="22"/>
          <w:szCs w:val="22"/>
        </w:rPr>
        <w:t xml:space="preserve">prostor </w:t>
      </w:r>
      <w:r w:rsidR="00231CDE" w:rsidRPr="00FB2691">
        <w:rPr>
          <w:rFonts w:ascii="Arial" w:hAnsi="Arial" w:cs="Arial"/>
          <w:color w:val="000000" w:themeColor="text1"/>
          <w:sz w:val="22"/>
          <w:szCs w:val="22"/>
        </w:rPr>
        <w:t>bude smluvními stranami</w:t>
      </w:r>
      <w:r w:rsidR="00523136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7BB" w:rsidRPr="00FB2691">
        <w:rPr>
          <w:rFonts w:ascii="Arial" w:hAnsi="Arial" w:cs="Arial"/>
          <w:color w:val="000000" w:themeColor="text1"/>
          <w:sz w:val="22"/>
          <w:szCs w:val="22"/>
        </w:rPr>
        <w:t>sepsán</w:t>
      </w:r>
      <w:r w:rsidR="00523136" w:rsidRPr="00FB2691">
        <w:rPr>
          <w:rFonts w:ascii="Arial" w:hAnsi="Arial" w:cs="Arial"/>
          <w:color w:val="000000" w:themeColor="text1"/>
          <w:sz w:val="22"/>
          <w:szCs w:val="22"/>
        </w:rPr>
        <w:t xml:space="preserve"> předávací</w:t>
      </w:r>
      <w:r w:rsidR="001E37BB" w:rsidRPr="00FB2691">
        <w:rPr>
          <w:rFonts w:ascii="Arial" w:hAnsi="Arial" w:cs="Arial"/>
          <w:color w:val="000000" w:themeColor="text1"/>
          <w:sz w:val="22"/>
          <w:szCs w:val="22"/>
        </w:rPr>
        <w:t xml:space="preserve"> protokol</w:t>
      </w:r>
      <w:r w:rsidR="00AF4907"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E3E19" w:rsidRPr="00FB2691" w:rsidRDefault="004E3E19" w:rsidP="00B721C1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Při užívání nebytových prostor může vypůjčitel užívat společné prostory (společné WC, chodby atd.) v rozsahu nezbytném pro řádný chod poskytnutých prostor. Podíl z těchto prostor je uveden ve výpočtovém listu, který je uveden v příloze smlouvy (Příloha č. </w:t>
      </w:r>
      <w:r w:rsidR="00707286" w:rsidRPr="00FB2691">
        <w:rPr>
          <w:rFonts w:ascii="Arial" w:hAnsi="Arial" w:cs="Arial"/>
          <w:color w:val="000000" w:themeColor="text1"/>
          <w:sz w:val="22"/>
          <w:szCs w:val="22"/>
        </w:rPr>
        <w:t>2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– Výpočtový list).</w:t>
      </w:r>
    </w:p>
    <w:p w:rsidR="000A41B0" w:rsidRPr="00FB2691" w:rsidRDefault="000A41B0" w:rsidP="00B721C1">
      <w:pPr>
        <w:pStyle w:val="Odstavecseseznamem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" w:name="_Hlk128116546"/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dále přenechává za stejných podmínek k bezúplatnému užívání parkovací stání služebního motorového vozidla vypůjčitele ve vnitrobloku budovy, v níž se nachází předmět výpůjčky</w:t>
      </w:r>
      <w:bookmarkEnd w:id="6"/>
      <w:r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D656E" w:rsidRDefault="007976C0" w:rsidP="00AC79B3">
      <w:pPr>
        <w:pStyle w:val="para"/>
        <w:tabs>
          <w:tab w:val="center" w:pos="4536"/>
          <w:tab w:val="left" w:pos="5222"/>
        </w:tabs>
        <w:spacing w:before="0" w:after="0" w:line="276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IV.</w:t>
      </w:r>
    </w:p>
    <w:p w:rsidR="00AC79B3" w:rsidRPr="00FB2691" w:rsidRDefault="00AC79B3" w:rsidP="00AC79B3">
      <w:pPr>
        <w:pStyle w:val="para"/>
        <w:tabs>
          <w:tab w:val="center" w:pos="4536"/>
          <w:tab w:val="left" w:pos="5222"/>
        </w:tabs>
        <w:spacing w:before="0" w:after="0" w:line="276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</w:p>
    <w:p w:rsidR="001D656E" w:rsidRPr="00FB2691" w:rsidRDefault="007976C0" w:rsidP="00AC79B3">
      <w:pPr>
        <w:pStyle w:val="Zkladntext"/>
        <w:numPr>
          <w:ilvl w:val="0"/>
          <w:numId w:val="2"/>
        </w:numPr>
        <w:tabs>
          <w:tab w:val="clear" w:pos="357"/>
          <w:tab w:val="num" w:pos="426"/>
        </w:tabs>
        <w:spacing w:before="0" w:after="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splňuje podmínky stanovené v § 27 odst. 3 zákona č. 219/2000 Sb., a vypůjčené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lastRenderedPageBreak/>
        <w:t>prostory se zavazuje užívat pro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B80">
        <w:rPr>
          <w:rFonts w:ascii="Arial" w:hAnsi="Arial" w:cs="Arial"/>
          <w:color w:val="000000" w:themeColor="text1"/>
          <w:sz w:val="22"/>
          <w:szCs w:val="22"/>
        </w:rPr>
        <w:t xml:space="preserve">nepodnikatelské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účely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 xml:space="preserve"> vyplývající z</w:t>
      </w:r>
      <w:r w:rsidR="00580803" w:rsidRPr="00FB2691">
        <w:rPr>
          <w:rFonts w:ascii="Arial" w:hAnsi="Arial" w:cs="Arial"/>
          <w:color w:val="000000" w:themeColor="text1"/>
          <w:sz w:val="22"/>
          <w:szCs w:val="22"/>
        </w:rPr>
        <w:t> 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>činnost</w:t>
      </w:r>
      <w:r w:rsidR="00EE4666" w:rsidRPr="00FB2691">
        <w:rPr>
          <w:rFonts w:ascii="Arial" w:hAnsi="Arial" w:cs="Arial"/>
          <w:color w:val="000000" w:themeColor="text1"/>
          <w:sz w:val="22"/>
          <w:szCs w:val="22"/>
        </w:rPr>
        <w:t>i</w:t>
      </w:r>
      <w:r w:rsidR="00580803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174E" w:rsidRPr="00FB2691">
        <w:rPr>
          <w:rFonts w:ascii="Arial" w:hAnsi="Arial" w:cs="Arial"/>
          <w:color w:val="000000" w:themeColor="text1"/>
          <w:sz w:val="22"/>
          <w:szCs w:val="22"/>
        </w:rPr>
        <w:t>státní příspěvkov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>é</w:t>
      </w:r>
      <w:r w:rsidR="00E2174E" w:rsidRPr="00FB2691">
        <w:rPr>
          <w:rFonts w:ascii="Arial" w:hAnsi="Arial" w:cs="Arial"/>
          <w:color w:val="000000" w:themeColor="text1"/>
          <w:sz w:val="22"/>
          <w:szCs w:val="22"/>
        </w:rPr>
        <w:t xml:space="preserve"> organizace podřízen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>é</w:t>
      </w:r>
      <w:r w:rsidR="00E2174E" w:rsidRPr="00FB2691">
        <w:rPr>
          <w:rFonts w:ascii="Arial" w:hAnsi="Arial" w:cs="Arial"/>
          <w:color w:val="000000" w:themeColor="text1"/>
          <w:sz w:val="22"/>
          <w:szCs w:val="22"/>
        </w:rPr>
        <w:t xml:space="preserve"> Ministerstvu průmyslu a obchodu</w:t>
      </w:r>
      <w:r w:rsidR="000A4B46"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D656E" w:rsidRPr="00FB2691" w:rsidRDefault="007976C0" w:rsidP="00B721C1">
      <w:pPr>
        <w:pStyle w:val="Zkladntext"/>
        <w:numPr>
          <w:ilvl w:val="0"/>
          <w:numId w:val="2"/>
        </w:numPr>
        <w:tabs>
          <w:tab w:val="clear" w:pos="357"/>
          <w:tab w:val="num" w:pos="426"/>
        </w:tabs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bere na vědomí, že bez předchozího písemného souhlasu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nesmí vypůjčené prostory přenechat k užívání třetí osobě, a to ani zčásti.</w:t>
      </w:r>
    </w:p>
    <w:p w:rsidR="001D656E" w:rsidRPr="00FB2691" w:rsidRDefault="007976C0" w:rsidP="00B721C1">
      <w:pPr>
        <w:pStyle w:val="Zkladntext"/>
        <w:numPr>
          <w:ilvl w:val="0"/>
          <w:numId w:val="2"/>
        </w:numPr>
        <w:tabs>
          <w:tab w:val="clear" w:pos="357"/>
          <w:tab w:val="num" w:pos="426"/>
        </w:tabs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má právo vypůjčené prostory vrátit předčasně za předpokladu, že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s předčasným vrácením souhlasí.</w:t>
      </w:r>
    </w:p>
    <w:p w:rsidR="001D656E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V.</w:t>
      </w:r>
    </w:p>
    <w:p w:rsidR="001D656E" w:rsidRDefault="007976C0" w:rsidP="00AC79B3">
      <w:pPr>
        <w:pStyle w:val="Zkladntext"/>
        <w:tabs>
          <w:tab w:val="num" w:pos="1440"/>
        </w:tabs>
        <w:spacing w:before="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Smlouva </w:t>
      </w:r>
      <w:r w:rsidR="00B11791" w:rsidRPr="00FB2691">
        <w:rPr>
          <w:rFonts w:ascii="Arial" w:hAnsi="Arial" w:cs="Arial"/>
          <w:color w:val="000000" w:themeColor="text1"/>
          <w:sz w:val="22"/>
          <w:szCs w:val="22"/>
        </w:rPr>
        <w:t xml:space="preserve">o výpůjčce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se sjednává na dobu určitou, a to od </w:t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1. </w:t>
      </w:r>
      <w:r w:rsidR="004E3E19" w:rsidRPr="00FB2691">
        <w:rPr>
          <w:rFonts w:ascii="Arial" w:hAnsi="Arial" w:cs="Arial"/>
          <w:b/>
          <w:color w:val="000000" w:themeColor="text1"/>
          <w:sz w:val="22"/>
          <w:szCs w:val="22"/>
        </w:rPr>
        <w:t>dubna</w:t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 w:rsidR="004E3E19" w:rsidRPr="00FB269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do</w:t>
      </w:r>
      <w:r w:rsidR="004E3E19"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3CE6" w:rsidRPr="00FB2691">
        <w:rPr>
          <w:rFonts w:ascii="Arial" w:hAnsi="Arial" w:cs="Arial"/>
          <w:b/>
          <w:color w:val="000000" w:themeColor="text1"/>
          <w:sz w:val="22"/>
          <w:szCs w:val="22"/>
        </w:rPr>
        <w:t>31.</w:t>
      </w:r>
      <w:r w:rsidR="00B11791"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března </w:t>
      </w:r>
      <w:r w:rsidR="009A3CE6" w:rsidRPr="00FB2691">
        <w:rPr>
          <w:rFonts w:ascii="Arial" w:hAnsi="Arial" w:cs="Arial"/>
          <w:b/>
          <w:color w:val="000000" w:themeColor="text1"/>
          <w:sz w:val="22"/>
          <w:szCs w:val="22"/>
        </w:rPr>
        <w:t>2031</w:t>
      </w:r>
      <w:r w:rsidR="009A3CE6"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D656E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VI.</w:t>
      </w:r>
    </w:p>
    <w:p w:rsidR="009A3CE6" w:rsidRPr="00FB2691" w:rsidRDefault="007976C0" w:rsidP="00AC79B3">
      <w:pPr>
        <w:pStyle w:val="Zkladntext"/>
        <w:numPr>
          <w:ilvl w:val="0"/>
          <w:numId w:val="3"/>
        </w:numPr>
        <w:spacing w:before="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Obě strany se dohodly, že služby spojené s užíváním nebytových prostor (dále jen „služby“) </w:t>
      </w:r>
      <w:r w:rsidR="00EA3E71" w:rsidRPr="00FB2691">
        <w:rPr>
          <w:rFonts w:ascii="Arial" w:hAnsi="Arial" w:cs="Arial"/>
          <w:color w:val="000000" w:themeColor="text1"/>
          <w:sz w:val="22"/>
          <w:szCs w:val="22"/>
        </w:rPr>
        <w:t xml:space="preserve">bude </w:t>
      </w:r>
      <w:r w:rsidR="009A3CE6" w:rsidRPr="00FB2691">
        <w:rPr>
          <w:rFonts w:ascii="Arial" w:hAnsi="Arial" w:cs="Arial"/>
          <w:color w:val="000000" w:themeColor="text1"/>
          <w:sz w:val="22"/>
          <w:szCs w:val="22"/>
        </w:rPr>
        <w:t xml:space="preserve">pro vypůjčitele </w:t>
      </w:r>
      <w:r w:rsidR="00EA3E71" w:rsidRPr="00FB2691">
        <w:rPr>
          <w:rFonts w:ascii="Arial" w:hAnsi="Arial" w:cs="Arial"/>
          <w:color w:val="000000" w:themeColor="text1"/>
          <w:sz w:val="22"/>
          <w:szCs w:val="22"/>
        </w:rPr>
        <w:t xml:space="preserve">zajišťovat </w:t>
      </w:r>
      <w:proofErr w:type="spellStart"/>
      <w:r w:rsidR="00EA3E71"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="009A3CE6" w:rsidRPr="00FB2691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EA3E71"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bude </w:t>
      </w:r>
      <w:proofErr w:type="spellStart"/>
      <w:r w:rsidR="009A3CE6" w:rsidRPr="00FB2691">
        <w:rPr>
          <w:rFonts w:ascii="Arial" w:hAnsi="Arial" w:cs="Arial"/>
          <w:color w:val="000000" w:themeColor="text1"/>
          <w:sz w:val="22"/>
          <w:szCs w:val="22"/>
        </w:rPr>
        <w:t>půjčiteli</w:t>
      </w:r>
      <w:proofErr w:type="spellEnd"/>
      <w:r w:rsidR="009A3CE6" w:rsidRPr="00FB2691">
        <w:rPr>
          <w:rFonts w:ascii="Arial" w:hAnsi="Arial" w:cs="Arial"/>
          <w:color w:val="000000" w:themeColor="text1"/>
          <w:sz w:val="22"/>
          <w:szCs w:val="22"/>
        </w:rPr>
        <w:t xml:space="preserve"> náklady s tím spojené nahrazovat.</w:t>
      </w:r>
    </w:p>
    <w:p w:rsidR="009A3CE6" w:rsidRPr="00FB2691" w:rsidRDefault="009A3CE6" w:rsidP="00B721C1">
      <w:pPr>
        <w:pStyle w:val="Zkladntext"/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Podrobný seznam služeb a způsob výpočtu náhrady nákladů spojených se zajišťováním služeb a jejich úhrady jsou uvedeny ve výpočtovém listu, který je přílohou smlouvy (Příloha č. </w:t>
      </w:r>
      <w:r w:rsidR="00707286" w:rsidRPr="00FB2691">
        <w:rPr>
          <w:rFonts w:ascii="Arial" w:hAnsi="Arial" w:cs="Arial"/>
          <w:color w:val="000000" w:themeColor="text1"/>
          <w:sz w:val="22"/>
          <w:szCs w:val="22"/>
        </w:rPr>
        <w:t>2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– Výpočtový list). Dojde-li ke změně okolností rozhodných pro vystavení výpočtového listu, sdělí tuto změnu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zasláním aktualizovaného výpočtového listu vypůjčiteli. Provedení změn ve výpočtovém listu je ze strany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aktem jednostranným, nepodléhajícím schválení vypůjčitele, a tudíž nebude návazně upravován smluvní vztah.</w:t>
      </w:r>
    </w:p>
    <w:p w:rsidR="001C6DF2" w:rsidRPr="00FB2691" w:rsidRDefault="001C6DF2" w:rsidP="00B721C1">
      <w:pPr>
        <w:pStyle w:val="Zkladntext"/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Neuhradí-li vypůjčitel včas splatné platby za služby, přísluší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půjčiteli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zákonný úrok z prodlení dle platné právní úpravy.</w:t>
      </w:r>
    </w:p>
    <w:p w:rsidR="001C6DF2" w:rsidRPr="00FB2691" w:rsidRDefault="001C6DF2" w:rsidP="00B721C1">
      <w:pPr>
        <w:pStyle w:val="Zkladntext"/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je povinen hlásit (písemnou formou, např. e-mailem, datovou schránkou)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půjčiteli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každou změnu počtu osob užívajících prostory, a to bez zbytečného odkladu, nejlépe v předstihu.</w:t>
      </w:r>
    </w:p>
    <w:p w:rsidR="001D656E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VII.</w:t>
      </w:r>
    </w:p>
    <w:p w:rsidR="006D0578" w:rsidRPr="00FB2691" w:rsidRDefault="007976C0" w:rsidP="00AC79B3">
      <w:pPr>
        <w:numPr>
          <w:ilvl w:val="0"/>
          <w:numId w:val="4"/>
        </w:numPr>
        <w:spacing w:before="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vypůjčitel je povinen hradit veškeré náklady spojené s běžnou údržbou vypůjčených prostor (zejména náklady na malování, opravy a výměny zámků, kování, světel, okenních a dveřních skel apod., a také náklady na opravy poškození </w:t>
      </w:r>
      <w:r w:rsidR="006D0578"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vypůjčených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prostor, které sám způsobil) i </w:t>
      </w:r>
      <w:r w:rsidR="006D0578" w:rsidRPr="00FB2691">
        <w:rPr>
          <w:rFonts w:ascii="Arial" w:hAnsi="Arial" w:cs="Arial"/>
          <w:color w:val="000000" w:themeColor="text1"/>
          <w:sz w:val="22"/>
          <w:szCs w:val="22"/>
        </w:rPr>
        <w:t>opravami vypůjčených prostor.</w:t>
      </w:r>
    </w:p>
    <w:p w:rsidR="00EE4666" w:rsidRPr="00FB2691" w:rsidRDefault="00EE4666" w:rsidP="00AC79B3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" w:name="_Hlk128734603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</w:t>
      </w:r>
      <w:r w:rsidR="004425D9">
        <w:rPr>
          <w:rFonts w:ascii="Arial" w:hAnsi="Arial" w:cs="Arial"/>
          <w:color w:val="000000" w:themeColor="text1"/>
          <w:sz w:val="22"/>
          <w:szCs w:val="22"/>
        </w:rPr>
        <w:t xml:space="preserve">bere na vědomí, že nemovité věci uvedené v Čl. I. této smlouvy, jejíž součástí jsou vypůjčené prostory nejsou pojištěny. Smluvní strany této smlouvy se dohodly, že </w:t>
      </w:r>
      <w:proofErr w:type="spellStart"/>
      <w:r w:rsidR="004425D9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="004425D9">
        <w:rPr>
          <w:rFonts w:ascii="Arial" w:hAnsi="Arial" w:cs="Arial"/>
          <w:color w:val="000000" w:themeColor="text1"/>
          <w:sz w:val="22"/>
          <w:szCs w:val="22"/>
        </w:rPr>
        <w:t xml:space="preserve"> vylučuje odpovědnost za škodu na věcech vnesených vypůjčitelem. Vypůjčitel si předmětné věci může dle vlastního uvážení na svůj náklad pojistit.</w:t>
      </w:r>
    </w:p>
    <w:bookmarkEnd w:id="7"/>
    <w:p w:rsidR="001D656E" w:rsidRPr="00FB2691" w:rsidRDefault="007976C0" w:rsidP="007F484A">
      <w:pPr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Vypůjčitel může s předchozím písemným souhlasem</w:t>
      </w:r>
      <w:r w:rsidR="00D214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, provést stavební úpravy vypůjčených prostor. Veškeré náklady </w:t>
      </w:r>
      <w:r w:rsidR="004425D9">
        <w:rPr>
          <w:rFonts w:ascii="Arial" w:hAnsi="Arial" w:cs="Arial"/>
          <w:color w:val="000000" w:themeColor="text1"/>
          <w:sz w:val="22"/>
          <w:szCs w:val="22"/>
        </w:rPr>
        <w:t>s tímto spojené</w:t>
      </w:r>
      <w:r w:rsidR="00D214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nese vypůjčitel. Náklady na stavební úpravy, budou vypořádány dle dohody, která byla součástí předchozího písemného souhlasu se stavebními úpravami.</w:t>
      </w:r>
    </w:p>
    <w:p w:rsidR="001D656E" w:rsidRPr="00FB2691" w:rsidRDefault="007976C0" w:rsidP="007F484A">
      <w:pPr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 případě zničení nebo poškození vypůjčených prostor, není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povinen zajistit vypůjčiteli náhradní prostory.</w:t>
      </w:r>
    </w:p>
    <w:p w:rsidR="001D656E" w:rsidRPr="00FB2691" w:rsidRDefault="007976C0" w:rsidP="00B721C1">
      <w:pPr>
        <w:numPr>
          <w:ilvl w:val="0"/>
          <w:numId w:val="4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Vypůjčitel je povinen umožnit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půjčiteli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po jeho předchozím oznámení vstup do vypůjčených prostor, zejména za účelem kontroly dodržování podmínek této smlouvy, provádění potřebných oprav nebo provádění kontroly instalovaných inženýrských sítí.</w:t>
      </w:r>
    </w:p>
    <w:p w:rsidR="006D0578" w:rsidRPr="00FB2691" w:rsidRDefault="006D0578" w:rsidP="00B721C1">
      <w:pPr>
        <w:numPr>
          <w:ilvl w:val="0"/>
          <w:numId w:val="4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umožní přístup do budovy i návštěvám v</w:t>
      </w:r>
      <w:r w:rsidR="00A47CE8" w:rsidRPr="00FB2691">
        <w:rPr>
          <w:rFonts w:ascii="Arial" w:hAnsi="Arial" w:cs="Arial"/>
          <w:color w:val="000000" w:themeColor="text1"/>
          <w:sz w:val="22"/>
          <w:szCs w:val="22"/>
        </w:rPr>
        <w:t>y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půjčitele.</w:t>
      </w:r>
    </w:p>
    <w:p w:rsidR="001D656E" w:rsidRPr="00FB2691" w:rsidRDefault="007976C0" w:rsidP="00B721C1">
      <w:pPr>
        <w:numPr>
          <w:ilvl w:val="0"/>
          <w:numId w:val="4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Za organizaci a zajištění požární ochrany, bezpečnosti a ochrany zdraví při práci, ochrany životního prostředí a hygieny v souladu s platnými předpisy odpovídá ve vypůjčených prostorech vypůjčitel.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je oprávněn kontrolovat dodržování platných předpisů ve vypůjčených prostorech.</w:t>
      </w:r>
    </w:p>
    <w:p w:rsidR="001D656E" w:rsidRPr="00FB2691" w:rsidRDefault="007976C0" w:rsidP="00B721C1">
      <w:pPr>
        <w:numPr>
          <w:ilvl w:val="0"/>
          <w:numId w:val="4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K zajištění ochrany majetku a zdraví v budově uloží vypůjčitel 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při převzetí vypůjčených prostor na počátku výpůjčky náhradní klíče od vypůjčených prostor, které před uložením zapečetí v obálce. Vypůjčitel je oprávněn kontrolovat stav pečeti náhradních klíčů. Tyto náhradní klíče lze použít pouze v případě nezbytné potřeby při ochraně majetku a zdraví (zejména havárie a živelné katastrofy). O případném použití náhradních klíčů je 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povinen vypůjčitele informovat předem, popřípadě neprodleně po použití těchto klíčů.</w:t>
      </w:r>
    </w:p>
    <w:p w:rsidR="001D656E" w:rsidRPr="00FB2691" w:rsidRDefault="007976C0" w:rsidP="00B721C1">
      <w:pPr>
        <w:numPr>
          <w:ilvl w:val="0"/>
          <w:numId w:val="4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Vypůjčitel je povinen se zdržet jakýchkoliv jednání, která by rušila nebo mohla ohrozit výkon vlastnických, ostatních užívacích a nájemních a případných dalších práv v objektu, v němž se nachází vypůjčené prostory.</w:t>
      </w:r>
    </w:p>
    <w:p w:rsidR="006D0578" w:rsidRPr="00FB2691" w:rsidRDefault="006D0578" w:rsidP="00333FAD">
      <w:pPr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128734691"/>
      <w:r w:rsidRPr="00FB2691">
        <w:rPr>
          <w:rFonts w:ascii="Arial" w:hAnsi="Arial" w:cs="Arial"/>
          <w:color w:val="000000" w:themeColor="text1"/>
          <w:sz w:val="22"/>
          <w:szCs w:val="22"/>
        </w:rPr>
        <w:t>V</w:t>
      </w:r>
      <w:r w:rsidR="00A47CE8" w:rsidRPr="00FB2691">
        <w:rPr>
          <w:rFonts w:ascii="Arial" w:hAnsi="Arial" w:cs="Arial"/>
          <w:color w:val="000000" w:themeColor="text1"/>
          <w:sz w:val="22"/>
          <w:szCs w:val="22"/>
        </w:rPr>
        <w:t>y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půjčitel </w:t>
      </w:r>
      <w:r w:rsidR="00ED1488" w:rsidRPr="00FB2691">
        <w:rPr>
          <w:rFonts w:ascii="Arial" w:hAnsi="Arial" w:cs="Arial"/>
          <w:color w:val="000000" w:themeColor="text1"/>
          <w:sz w:val="22"/>
          <w:szCs w:val="22"/>
        </w:rPr>
        <w:t xml:space="preserve">může na své náklady umístit na viditelném místě v prostoru hlavního vchodu své vhodné označení dle pokynu </w:t>
      </w:r>
      <w:proofErr w:type="spellStart"/>
      <w:r w:rsidR="00ED1488"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="006A5781" w:rsidRPr="00FB2691">
        <w:rPr>
          <w:rFonts w:ascii="Arial" w:hAnsi="Arial" w:cs="Arial"/>
          <w:color w:val="000000" w:themeColor="text1"/>
          <w:sz w:val="22"/>
          <w:szCs w:val="22"/>
        </w:rPr>
        <w:t>, zejména tzv. navigačních značek ve společných prostorách budovy (chodbách) vedoucí k předmětu výpůjčky pro snadnější orientaci návštěvníků vypůjčitele.</w:t>
      </w:r>
    </w:p>
    <w:bookmarkEnd w:id="8"/>
    <w:p w:rsidR="001D656E" w:rsidRPr="00FB2691" w:rsidRDefault="007976C0" w:rsidP="00AC79B3">
      <w:pPr>
        <w:pStyle w:val="para"/>
        <w:tabs>
          <w:tab w:val="center" w:pos="4536"/>
          <w:tab w:val="left" w:pos="5222"/>
        </w:tabs>
        <w:spacing w:before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Čl. VIII.</w:t>
      </w:r>
    </w:p>
    <w:p w:rsidR="001D656E" w:rsidRPr="00FB2691" w:rsidRDefault="007976C0" w:rsidP="00AC79B3">
      <w:pPr>
        <w:numPr>
          <w:ilvl w:val="0"/>
          <w:numId w:val="5"/>
        </w:numPr>
        <w:tabs>
          <w:tab w:val="left" w:pos="426"/>
        </w:tabs>
        <w:spacing w:before="0" w:line="276" w:lineRule="auto"/>
        <w:ind w:left="567" w:hanging="5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Užívací vztah založený touto smlouvou zaniká uplynutím doby, na kterou byl sjednán.</w:t>
      </w:r>
    </w:p>
    <w:p w:rsidR="001D656E" w:rsidRPr="00FB2691" w:rsidRDefault="007976C0" w:rsidP="00B721C1">
      <w:pPr>
        <w:numPr>
          <w:ilvl w:val="0"/>
          <w:numId w:val="5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Užívací vztah je možné ukončit dohodou smluvních stran.</w:t>
      </w:r>
    </w:p>
    <w:p w:rsidR="00291B30" w:rsidRPr="00FB2691" w:rsidRDefault="00291B30" w:rsidP="00B721C1">
      <w:pPr>
        <w:numPr>
          <w:ilvl w:val="0"/>
          <w:numId w:val="5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9" w:name="_Hlk128734758"/>
      <w:r w:rsidRPr="00FB2691">
        <w:rPr>
          <w:rFonts w:ascii="Arial" w:hAnsi="Arial" w:cs="Arial"/>
          <w:color w:val="000000" w:themeColor="text1"/>
          <w:sz w:val="22"/>
          <w:szCs w:val="22"/>
        </w:rPr>
        <w:t>Užívací vztah založený touto smlouvou dále zaniká i před uplynutím doby, na kterou byl sjednán, a to ke dni podání návrhu na zahájení vkladového řízení o změně vlastnického práva k nemovitým věcem, které jsou předmětem užívacího vztahu.</w:t>
      </w:r>
    </w:p>
    <w:bookmarkEnd w:id="9"/>
    <w:p w:rsidR="001D656E" w:rsidRPr="00FB2691" w:rsidRDefault="007976C0" w:rsidP="00B721C1">
      <w:pPr>
        <w:numPr>
          <w:ilvl w:val="0"/>
          <w:numId w:val="5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Užívací vztah lze ukončit výpovědí bez udání důvodu a rovněž okamžitým ukončením, pokud přestanou být plněny podmínky podle § 27 odst. 1 zákona č. 219/2000 Sb. Výpovědní doba činí tři měsíce a započne běžet prvním dnem měsíce následujícího po doručení písemné výpovědi druhé smluvní straně. Okamžité ukončení užívacího vztahu je účinné dnem doručení oznámení vypůjčiteli.</w:t>
      </w:r>
    </w:p>
    <w:p w:rsidR="007A7DE1" w:rsidRPr="00FB2691" w:rsidRDefault="007A7DE1" w:rsidP="00AC79B3">
      <w:pPr>
        <w:numPr>
          <w:ilvl w:val="0"/>
          <w:numId w:val="5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0" w:name="_Hlk128734937"/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má právo výpůjčku vypovědět v případě hrubého porušení povinností ze strany vypůjčitele. Výpovědní doba činí měsíc a počne běžet prvním dnem měsíce následujícího po doruční písemné výpovědi druhé smluvní straně. Za hrubé porušení povinnosti se považuje i přenechání vypůjčené nemovité věci k užívání třetí osobě vypůjčitelem bez písemného souhlasu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anebo provedení stavebních úprav v rozporu s Čl. VII. odst. 3 této smlouvy., dále v případě prodlení s placením služeb spojených s užíváním vypůjčených prostor delším než jeden měsíc. Výpovědní doba činí tři měsíce a počne běžet prvním dnem měsíce následujícího po doručení písemné výpovědi druhé smluvní straně.</w:t>
      </w:r>
    </w:p>
    <w:p w:rsidR="001D656E" w:rsidRPr="00FB2691" w:rsidRDefault="007976C0" w:rsidP="00B721C1">
      <w:pPr>
        <w:numPr>
          <w:ilvl w:val="0"/>
          <w:numId w:val="5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Užívá-li vypůjčitel prostory takovým způsobem, že dochází k opotřebování nad míru přiměřenou poměrům a okolnostem nebo že hrozí zničení prostor, popř. užívá-li vypůjčitel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prostory k jinému než sjednanému účelu, vyzve ho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, aby prostory užíval řádně a v souladu se sjednaným účelem. Současně poskytne vypůjčiteli přiměřenou lhůtu k nápravě a upozorní jej na možné následky neuposlechnutí výzvy. Neuposlechne-li vypůjčitel této výzvy, má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právo výpůjčku vypovědět bez výpovědní doby. Pokud by ale hrozilo vážné nebezpečí z prodlení, má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právo výpůjčku vypovědět bez výpovědní doby i bez předchozího upozornění. </w:t>
      </w:r>
    </w:p>
    <w:p w:rsidR="001D656E" w:rsidRPr="00FB2691" w:rsidRDefault="00FB2691" w:rsidP="00AC79B3">
      <w:pPr>
        <w:pStyle w:val="para"/>
        <w:tabs>
          <w:tab w:val="center" w:pos="4536"/>
          <w:tab w:val="left" w:pos="5222"/>
        </w:tabs>
        <w:spacing w:before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Hlk128735055"/>
      <w:bookmarkEnd w:id="10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</w:t>
      </w:r>
      <w:r w:rsidR="007976C0" w:rsidRPr="00FB2691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F17294" w:rsidRPr="00FB2691">
        <w:rPr>
          <w:rFonts w:ascii="Arial" w:hAnsi="Arial" w:cs="Arial"/>
          <w:color w:val="000000" w:themeColor="text1"/>
          <w:sz w:val="22"/>
          <w:szCs w:val="22"/>
        </w:rPr>
        <w:t>I</w:t>
      </w:r>
      <w:r w:rsidR="007976C0" w:rsidRPr="00FB2691">
        <w:rPr>
          <w:rFonts w:ascii="Arial" w:hAnsi="Arial" w:cs="Arial"/>
          <w:color w:val="000000" w:themeColor="text1"/>
          <w:sz w:val="22"/>
          <w:szCs w:val="22"/>
        </w:rPr>
        <w:t>X.</w:t>
      </w:r>
    </w:p>
    <w:p w:rsidR="006152B9" w:rsidRPr="00FB2691" w:rsidRDefault="00F17294" w:rsidP="00D214F7">
      <w:pPr>
        <w:spacing w:before="0" w:line="276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2" w:name="_Hlk128735117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Nejpozději v den skončení </w:t>
      </w:r>
      <w:r w:rsidR="00D4272A" w:rsidRPr="00FB2691">
        <w:rPr>
          <w:rFonts w:ascii="Arial" w:hAnsi="Arial" w:cs="Arial"/>
          <w:color w:val="000000" w:themeColor="text1"/>
          <w:sz w:val="22"/>
          <w:szCs w:val="22"/>
        </w:rPr>
        <w:t>výpůjčky</w:t>
      </w:r>
      <w:r w:rsidR="006152B9" w:rsidRPr="00FB2691">
        <w:rPr>
          <w:rFonts w:ascii="Arial" w:hAnsi="Arial" w:cs="Arial"/>
          <w:color w:val="000000" w:themeColor="text1"/>
          <w:sz w:val="22"/>
          <w:szCs w:val="22"/>
        </w:rPr>
        <w:t>, v případě okamžitého ukončení smluvního vztahu nejpozději do 15 dnů po doručení písemného oznámení o odstoupení či výpovědi bez výpovědní doby,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předá vypůjčitel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půjčiteli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52B9"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vypůjčené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nebytové prostory řádně vyklizené. Vypůjčitel je povinen předat nebytové prostory ve stavu v jakém je převzal s přihlédnutím k obvyklému opotřebení. </w:t>
      </w:r>
    </w:p>
    <w:bookmarkEnd w:id="12"/>
    <w:p w:rsidR="00FB2691" w:rsidRPr="00FB2691" w:rsidRDefault="00FB2691" w:rsidP="00AC79B3">
      <w:pPr>
        <w:spacing w:before="0" w:line="276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Čl. X.</w:t>
      </w:r>
    </w:p>
    <w:p w:rsidR="006152B9" w:rsidRPr="00FB2691" w:rsidRDefault="006152B9" w:rsidP="00A30994">
      <w:pPr>
        <w:numPr>
          <w:ilvl w:val="0"/>
          <w:numId w:val="23"/>
        </w:numPr>
        <w:spacing w:before="0" w:line="276" w:lineRule="auto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3" w:name="_Hlk128735309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Vypůjčitel odstraní ve vypůjčených nemovitých věcech změny, které provedl bez souhlasu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, ledaže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vypůjčiteli písemně sdělí, že odstranění změn nežádá, vypůjčitel nemá právo na vyrovnání, i kdyby se změnami hodnota vypůjčených nemovitých věcí zvýšila.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může žádat náhradu ve výši snížení hodnoty vypůjčených nemovitých věcí, které bylo způsobeno změnami provedenými vypůjčitelem bez souhlasu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bookmarkEnd w:id="13"/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531D0" w:rsidRPr="00FB2691" w:rsidRDefault="000531D0" w:rsidP="00A30994">
      <w:pPr>
        <w:numPr>
          <w:ilvl w:val="0"/>
          <w:numId w:val="23"/>
        </w:numPr>
        <w:spacing w:before="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Hlk128735594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O faktickém předání a převzetí vypůjčených </w:t>
      </w:r>
      <w:r w:rsidR="007A7DE1" w:rsidRPr="00FB2691">
        <w:rPr>
          <w:rFonts w:ascii="Arial" w:hAnsi="Arial" w:cs="Arial"/>
          <w:color w:val="000000" w:themeColor="text1"/>
          <w:sz w:val="22"/>
          <w:szCs w:val="22"/>
        </w:rPr>
        <w:t>nebytových prostor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bude smluvními stranami sepsán protokol o předání a převzetí, ve kterém bude uveden jejich stav.</w:t>
      </w:r>
    </w:p>
    <w:p w:rsidR="000531D0" w:rsidRPr="00FB2691" w:rsidRDefault="000531D0" w:rsidP="00A30994">
      <w:pPr>
        <w:numPr>
          <w:ilvl w:val="0"/>
          <w:numId w:val="23"/>
        </w:numPr>
        <w:spacing w:before="0" w:after="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5" w:name="_Hlk128735609"/>
      <w:bookmarkEnd w:id="14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Smluvní strany se výslovně dohodly na vyloučení opětovného uzavření této smlouvy a ujednávají si, že výpůjčka bez ohledu na aktivitu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končí ke sjednanému datu </w:t>
      </w:r>
      <w:r w:rsidR="00880C1E" w:rsidRPr="00FB2691">
        <w:rPr>
          <w:rFonts w:ascii="Arial" w:hAnsi="Arial" w:cs="Arial"/>
          <w:color w:val="000000" w:themeColor="text1"/>
          <w:sz w:val="22"/>
          <w:szCs w:val="22"/>
        </w:rPr>
        <w:t>31. 3. 2031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a případné další užívání nemovité věci vypůjčitelem nebude pokládáno za opětovně uzavření této smlouvy.</w:t>
      </w:r>
    </w:p>
    <w:bookmarkEnd w:id="15"/>
    <w:p w:rsidR="00707286" w:rsidRPr="00FB2691" w:rsidRDefault="00F17294" w:rsidP="00AC79B3">
      <w:pPr>
        <w:spacing w:before="0" w:after="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</w:t>
      </w:r>
    </w:p>
    <w:p w:rsidR="00ED1488" w:rsidRPr="00FB2691" w:rsidRDefault="00FB2691" w:rsidP="00AC79B3">
      <w:pPr>
        <w:pStyle w:val="Odstavecseseznamem"/>
        <w:spacing w:before="0"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</w:t>
      </w:r>
      <w:r w:rsidR="00F17294" w:rsidRPr="00FB2691">
        <w:rPr>
          <w:rFonts w:ascii="Arial" w:hAnsi="Arial" w:cs="Arial"/>
          <w:b/>
          <w:color w:val="000000" w:themeColor="text1"/>
          <w:sz w:val="22"/>
          <w:szCs w:val="22"/>
        </w:rPr>
        <w:t>Čl.</w:t>
      </w:r>
      <w:r w:rsidR="00707286" w:rsidRPr="00FB26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7294" w:rsidRPr="00FB2691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8C3886" w:rsidRPr="00FB269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F17294" w:rsidRPr="00FB269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384009" w:rsidRDefault="00384009" w:rsidP="00814A88">
      <w:pPr>
        <w:pStyle w:val="Bezmezer"/>
        <w:numPr>
          <w:ilvl w:val="0"/>
          <w:numId w:val="18"/>
        </w:numPr>
        <w:spacing w:before="0"/>
        <w:jc w:val="both"/>
        <w:rPr>
          <w:rFonts w:ascii="Arial" w:hAnsi="Arial" w:cs="Arial"/>
          <w:color w:val="000000" w:themeColor="text1"/>
        </w:rPr>
      </w:pPr>
      <w:bookmarkStart w:id="16" w:name="_Hlk128735653"/>
      <w:r w:rsidRPr="00FB2691">
        <w:rPr>
          <w:rFonts w:ascii="Arial" w:hAnsi="Arial" w:cs="Arial"/>
          <w:color w:val="000000" w:themeColor="text1"/>
        </w:rPr>
        <w:t>Smlouva je uzavřena a nabývá platnosti okamžikem podpisu poslední smluvní stranou</w:t>
      </w:r>
      <w:r w:rsidR="00C80AE5">
        <w:rPr>
          <w:rFonts w:ascii="Arial" w:hAnsi="Arial" w:cs="Arial"/>
          <w:color w:val="000000" w:themeColor="text1"/>
        </w:rPr>
        <w:t>.</w:t>
      </w:r>
    </w:p>
    <w:bookmarkEnd w:id="16"/>
    <w:p w:rsidR="00814A88" w:rsidRPr="00FB2691" w:rsidRDefault="00814A88" w:rsidP="00814A88">
      <w:pPr>
        <w:pStyle w:val="Bezmezer"/>
        <w:spacing w:before="0"/>
        <w:ind w:left="360"/>
        <w:jc w:val="both"/>
        <w:rPr>
          <w:rFonts w:ascii="Arial" w:hAnsi="Arial" w:cs="Arial"/>
          <w:color w:val="000000" w:themeColor="text1"/>
        </w:rPr>
      </w:pPr>
    </w:p>
    <w:p w:rsidR="00EF2709" w:rsidRDefault="00384009" w:rsidP="00814A88">
      <w:pPr>
        <w:pStyle w:val="Bezmezer"/>
        <w:numPr>
          <w:ilvl w:val="0"/>
          <w:numId w:val="18"/>
        </w:numPr>
        <w:spacing w:before="0"/>
        <w:jc w:val="both"/>
        <w:rPr>
          <w:rFonts w:ascii="Arial" w:hAnsi="Arial" w:cs="Arial"/>
          <w:color w:val="000000" w:themeColor="text1"/>
        </w:rPr>
      </w:pPr>
      <w:bookmarkStart w:id="17" w:name="_Hlk128735670"/>
      <w:r w:rsidRPr="00FB2691">
        <w:rPr>
          <w:rFonts w:ascii="Arial" w:hAnsi="Arial" w:cs="Arial"/>
          <w:color w:val="000000" w:themeColor="text1"/>
        </w:rPr>
        <w:t>S</w:t>
      </w:r>
      <w:r w:rsidR="00EF2709" w:rsidRPr="00FB2691">
        <w:rPr>
          <w:rFonts w:ascii="Arial" w:hAnsi="Arial" w:cs="Arial"/>
          <w:color w:val="000000" w:themeColor="text1"/>
        </w:rPr>
        <w:t>mlouva nabývá účinnosti dnem jejího uveřejnění v registru smluv v souladu s</w:t>
      </w:r>
      <w:r w:rsidRPr="00FB2691">
        <w:rPr>
          <w:rFonts w:ascii="Arial" w:hAnsi="Arial" w:cs="Arial"/>
          <w:color w:val="000000" w:themeColor="text1"/>
        </w:rPr>
        <w:t>e</w:t>
      </w:r>
      <w:r w:rsidR="00EF2709" w:rsidRPr="00FB2691">
        <w:rPr>
          <w:rFonts w:ascii="Arial" w:hAnsi="Arial" w:cs="Arial"/>
          <w:color w:val="000000" w:themeColor="text1"/>
        </w:rPr>
        <w:t xml:space="preserve"> zákon</w:t>
      </w:r>
      <w:r w:rsidRPr="00FB2691">
        <w:rPr>
          <w:rFonts w:ascii="Arial" w:hAnsi="Arial" w:cs="Arial"/>
          <w:color w:val="000000" w:themeColor="text1"/>
        </w:rPr>
        <w:t>em</w:t>
      </w:r>
      <w:r w:rsidR="00EF2709" w:rsidRPr="00FB2691">
        <w:rPr>
          <w:rFonts w:ascii="Arial" w:hAnsi="Arial" w:cs="Arial"/>
          <w:color w:val="000000" w:themeColor="text1"/>
        </w:rPr>
        <w:t xml:space="preserve"> č. 340/2015 Sb., o zvláštních podmínkách účinnosti některých smluv, uveřejňování těchto smluv a o registru smluv (zákon o registru smluv)</w:t>
      </w:r>
      <w:r w:rsidRPr="00FB2691">
        <w:rPr>
          <w:rFonts w:ascii="Arial" w:hAnsi="Arial" w:cs="Arial"/>
          <w:color w:val="000000" w:themeColor="text1"/>
        </w:rPr>
        <w:t>, ve znění pozdějších předpisů</w:t>
      </w:r>
      <w:bookmarkEnd w:id="17"/>
      <w:r w:rsidRPr="00FB2691">
        <w:rPr>
          <w:rFonts w:ascii="Arial" w:hAnsi="Arial" w:cs="Arial"/>
          <w:color w:val="000000" w:themeColor="text1"/>
        </w:rPr>
        <w:t>.</w:t>
      </w:r>
    </w:p>
    <w:p w:rsidR="00814A88" w:rsidRDefault="00814A88" w:rsidP="00814A88">
      <w:pPr>
        <w:pStyle w:val="Bezmezer"/>
        <w:spacing w:before="0"/>
        <w:ind w:left="360"/>
        <w:jc w:val="both"/>
        <w:rPr>
          <w:rFonts w:ascii="Arial" w:hAnsi="Arial" w:cs="Arial"/>
          <w:color w:val="000000" w:themeColor="text1"/>
        </w:rPr>
      </w:pPr>
    </w:p>
    <w:p w:rsidR="00384009" w:rsidRDefault="00384009" w:rsidP="00814A88">
      <w:pPr>
        <w:pStyle w:val="Bezmezer"/>
        <w:numPr>
          <w:ilvl w:val="0"/>
          <w:numId w:val="18"/>
        </w:numPr>
        <w:spacing w:before="0"/>
        <w:ind w:left="426" w:hanging="426"/>
        <w:jc w:val="both"/>
        <w:rPr>
          <w:rFonts w:ascii="Arial" w:hAnsi="Arial" w:cs="Arial"/>
          <w:color w:val="000000" w:themeColor="text1"/>
        </w:rPr>
      </w:pPr>
      <w:bookmarkStart w:id="18" w:name="_Hlk128735703"/>
      <w:proofErr w:type="spellStart"/>
      <w:r w:rsidRPr="00FB2691">
        <w:rPr>
          <w:rFonts w:ascii="Arial" w:hAnsi="Arial" w:cs="Arial"/>
          <w:color w:val="000000" w:themeColor="text1"/>
        </w:rPr>
        <w:t>Půjčitel</w:t>
      </w:r>
      <w:proofErr w:type="spellEnd"/>
      <w:r w:rsidRPr="00FB2691">
        <w:rPr>
          <w:rFonts w:ascii="Arial" w:hAnsi="Arial" w:cs="Arial"/>
          <w:color w:val="000000" w:themeColor="text1"/>
        </w:rPr>
        <w:t xml:space="preserve"> zašle tuto smlouvu správci registru smluv k uveřejnění bez zbytečného odkladu, nejpozději však do 30 dnů od uzavření smlouvy.</w:t>
      </w:r>
    </w:p>
    <w:bookmarkEnd w:id="18"/>
    <w:p w:rsidR="00814A88" w:rsidRPr="00FB2691" w:rsidRDefault="00814A88" w:rsidP="00814A88">
      <w:pPr>
        <w:pStyle w:val="Bezmezer"/>
        <w:spacing w:before="0"/>
        <w:ind w:left="426"/>
        <w:jc w:val="both"/>
        <w:rPr>
          <w:rFonts w:ascii="Arial" w:hAnsi="Arial" w:cs="Arial"/>
          <w:color w:val="000000" w:themeColor="text1"/>
        </w:rPr>
      </w:pPr>
    </w:p>
    <w:p w:rsidR="008C3886" w:rsidRPr="00FB2691" w:rsidRDefault="008C3886" w:rsidP="00814A88">
      <w:pPr>
        <w:pStyle w:val="Bezmezer"/>
        <w:numPr>
          <w:ilvl w:val="0"/>
          <w:numId w:val="18"/>
        </w:numPr>
        <w:spacing w:before="0"/>
        <w:ind w:left="426" w:hanging="426"/>
        <w:jc w:val="both"/>
        <w:rPr>
          <w:rFonts w:ascii="Arial" w:hAnsi="Arial" w:cs="Arial"/>
          <w:color w:val="000000" w:themeColor="text1"/>
        </w:rPr>
      </w:pPr>
      <w:bookmarkStart w:id="19" w:name="_Hlk128735717"/>
      <w:r w:rsidRPr="00FB2691">
        <w:rPr>
          <w:rFonts w:ascii="Arial" w:hAnsi="Arial" w:cs="Arial"/>
          <w:color w:val="000000" w:themeColor="text1"/>
        </w:rPr>
        <w:t>Pro účely uveřejnění v registru smluv smluvní strany navzájem prohlašují, že smlouva neobsahuje žádné obchodní tajemství.</w:t>
      </w:r>
    </w:p>
    <w:p w:rsidR="000E6868" w:rsidRPr="00FB2691" w:rsidRDefault="000E6868" w:rsidP="00814A88">
      <w:pPr>
        <w:pStyle w:val="Odstavecseseznamem"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0" w:name="_Hlk128735735"/>
      <w:bookmarkEnd w:id="19"/>
      <w:r w:rsidRPr="00FB2691">
        <w:rPr>
          <w:rFonts w:ascii="Arial" w:hAnsi="Arial" w:cs="Arial"/>
          <w:color w:val="000000" w:themeColor="text1"/>
          <w:sz w:val="22"/>
          <w:szCs w:val="22"/>
        </w:rPr>
        <w:t>Smluvní strany berou na vědomí, že jsou svým</w:t>
      </w:r>
      <w:r w:rsidR="006360D2" w:rsidRPr="00FB2691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projevy vázány od okamžiku podpisu této sm</w:t>
      </w:r>
      <w:r w:rsidR="006360D2" w:rsidRPr="00FB2691">
        <w:rPr>
          <w:rFonts w:ascii="Arial" w:hAnsi="Arial" w:cs="Arial"/>
          <w:color w:val="000000" w:themeColor="text1"/>
          <w:sz w:val="22"/>
          <w:szCs w:val="22"/>
        </w:rPr>
        <w:t>l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>ouvy.</w:t>
      </w:r>
    </w:p>
    <w:p w:rsidR="001D656E" w:rsidRPr="00FB2691" w:rsidRDefault="007976C0" w:rsidP="00814A88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1" w:name="_Hlk128735749"/>
      <w:bookmarkEnd w:id="20"/>
      <w:r w:rsidRPr="00FB2691">
        <w:rPr>
          <w:rFonts w:ascii="Arial" w:hAnsi="Arial" w:cs="Arial"/>
          <w:color w:val="000000" w:themeColor="text1"/>
          <w:sz w:val="22"/>
          <w:szCs w:val="22"/>
        </w:rPr>
        <w:t>Smluvní strany se dohodly, že není-li v této smlouvě stanoveno jinak, řídí se práva a povinnosti smluvních stran zákonem č. 89/2012 Sb. a zákonem č. 219/2000 Sb.</w:t>
      </w:r>
    </w:p>
    <w:p w:rsidR="001D656E" w:rsidRPr="00FB2691" w:rsidRDefault="007976C0" w:rsidP="00A343A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2" w:name="_Hlk128735762"/>
      <w:bookmarkEnd w:id="21"/>
      <w:r w:rsidRPr="00FB2691">
        <w:rPr>
          <w:rFonts w:ascii="Arial" w:hAnsi="Arial" w:cs="Arial"/>
          <w:color w:val="000000" w:themeColor="text1"/>
          <w:sz w:val="22"/>
          <w:szCs w:val="22"/>
        </w:rPr>
        <w:t>Smluvní strany se dohodly, že jakékoli změny a doplňky této smlouvy jsou možné pouze písemnou formou, v podobě oboustranně uzavřených vzestupně číslovaných dodatků smlouvy.</w:t>
      </w:r>
    </w:p>
    <w:p w:rsidR="00CD64E2" w:rsidRDefault="00A56993" w:rsidP="00CD64E2">
      <w:pPr>
        <w:numPr>
          <w:ilvl w:val="0"/>
          <w:numId w:val="18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3" w:name="_Hlk128735775"/>
      <w:bookmarkEnd w:id="22"/>
      <w:r w:rsidRPr="00FB2691">
        <w:rPr>
          <w:rFonts w:ascii="Arial" w:hAnsi="Arial" w:cs="Arial"/>
          <w:color w:val="000000" w:themeColor="text1"/>
          <w:sz w:val="22"/>
          <w:szCs w:val="22"/>
        </w:rPr>
        <w:lastRenderedPageBreak/>
        <w:t>Tato smlouva je vyhotovena</w:t>
      </w:r>
      <w:r w:rsidR="00087887" w:rsidRPr="00FB2691">
        <w:rPr>
          <w:rFonts w:ascii="Arial" w:hAnsi="Arial" w:cs="Arial"/>
          <w:color w:val="000000" w:themeColor="text1"/>
          <w:sz w:val="22"/>
          <w:szCs w:val="22"/>
        </w:rPr>
        <w:t xml:space="preserve"> elektronicky v jednom vyhotovení s platností originálu, s kvalifikovanými elektronickými podpisy a kvalifikovanými elektronickými časovými razítky</w:t>
      </w:r>
      <w:r w:rsidR="00CD64E2"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64E2"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="00CD64E2" w:rsidRPr="00FB2691">
        <w:rPr>
          <w:rFonts w:ascii="Arial" w:hAnsi="Arial" w:cs="Arial"/>
          <w:color w:val="000000" w:themeColor="text1"/>
          <w:sz w:val="22"/>
          <w:szCs w:val="22"/>
        </w:rPr>
        <w:t xml:space="preserve"> a vypůjčitele v souladu se zákonem 297/2016 Sb., o službách vytvářejících důvěru pro elektronické transakce, ve znění pozdějších předpisů. </w:t>
      </w:r>
    </w:p>
    <w:p w:rsidR="00814A88" w:rsidRDefault="00814A88" w:rsidP="00814A88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1 – půdorysový plánek</w:t>
      </w:r>
    </w:p>
    <w:p w:rsidR="00814A88" w:rsidRPr="00814A88" w:rsidRDefault="00814A88" w:rsidP="00814A88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2 – výpočtový list</w:t>
      </w:r>
    </w:p>
    <w:p w:rsidR="001D656E" w:rsidRPr="00FB2691" w:rsidRDefault="007976C0" w:rsidP="00CD64E2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tuto smlouvu uzavřely svobodně a vážně, nikoliv z přinucení nebo omylu. Na důkaz toho připojují své </w:t>
      </w:r>
      <w:r w:rsidR="00D214F7">
        <w:rPr>
          <w:rFonts w:ascii="Arial" w:hAnsi="Arial" w:cs="Arial"/>
          <w:color w:val="000000" w:themeColor="text1"/>
          <w:sz w:val="22"/>
          <w:szCs w:val="22"/>
        </w:rPr>
        <w:t>elektronické podpisy a elektronické časové razítko.</w:t>
      </w:r>
    </w:p>
    <w:bookmarkEnd w:id="23"/>
    <w:p w:rsidR="006360D2" w:rsidRPr="00FB2691" w:rsidRDefault="006360D2" w:rsidP="00B721C1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1"/>
    <w:p w:rsidR="001D656E" w:rsidRPr="00FB2691" w:rsidRDefault="007976C0" w:rsidP="00B721C1">
      <w:pPr>
        <w:spacing w:before="240" w:line="276" w:lineRule="auto"/>
        <w:ind w:firstLine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půjčitele</w:t>
      </w:r>
      <w:proofErr w:type="spellEnd"/>
      <w:r w:rsidRPr="00FB2691">
        <w:rPr>
          <w:rFonts w:ascii="Arial" w:hAnsi="Arial" w:cs="Arial"/>
          <w:color w:val="000000" w:themeColor="text1"/>
          <w:sz w:val="22"/>
          <w:szCs w:val="22"/>
        </w:rPr>
        <w:t>:</w:t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B2691">
        <w:rPr>
          <w:rStyle w:val="tsubjname"/>
          <w:rFonts w:ascii="Arial" w:hAnsi="Arial" w:cs="Arial"/>
          <w:color w:val="000000" w:themeColor="text1"/>
          <w:sz w:val="22"/>
          <w:szCs w:val="22"/>
        </w:rPr>
        <w:t>Za vypůjčitele: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D656E" w:rsidRPr="00FB2691" w:rsidRDefault="007976C0" w:rsidP="00D214F7">
      <w:pPr>
        <w:pStyle w:val="vnintext"/>
        <w:autoSpaceDE w:val="0"/>
        <w:autoSpaceDN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="00D214F7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</w:p>
    <w:p w:rsidR="001D656E" w:rsidRPr="00FB2691" w:rsidRDefault="007976C0" w:rsidP="00B721C1">
      <w:pPr>
        <w:pStyle w:val="vnintext"/>
        <w:autoSpaceDE w:val="0"/>
        <w:autoSpaceDN w:val="0"/>
        <w:spacing w:before="120" w:line="276" w:lineRule="auto"/>
        <w:ind w:left="357" w:firstLine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………………………………………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………………………………………</w:t>
      </w:r>
    </w:p>
    <w:p w:rsidR="001D656E" w:rsidRPr="00FB2691" w:rsidRDefault="007976C0" w:rsidP="00B721C1">
      <w:pPr>
        <w:pStyle w:val="vnintext"/>
        <w:autoSpaceDE w:val="0"/>
        <w:autoSpaceDN w:val="0"/>
        <w:spacing w:line="276" w:lineRule="auto"/>
        <w:ind w:left="357" w:firstLine="0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>Mgr. Ing. Ladislav Nový</w:t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Pr="00FB2691">
        <w:rPr>
          <w:rFonts w:ascii="Arial" w:hAnsi="Arial" w:cs="Arial"/>
          <w:color w:val="000000" w:themeColor="text1"/>
          <w:sz w:val="22"/>
          <w:szCs w:val="22"/>
        </w:rPr>
        <w:tab/>
      </w:r>
      <w:r w:rsidR="00C435BE" w:rsidRPr="00FB2691">
        <w:rPr>
          <w:rFonts w:ascii="Arial" w:hAnsi="Arial" w:cs="Arial"/>
          <w:color w:val="000000" w:themeColor="text1"/>
          <w:sz w:val="22"/>
          <w:szCs w:val="22"/>
        </w:rPr>
        <w:t>Ing. Petr Očko Ph.D.</w:t>
      </w:r>
    </w:p>
    <w:p w:rsidR="00C435BE" w:rsidRPr="00FB2691" w:rsidRDefault="007976C0" w:rsidP="00B721C1">
      <w:pPr>
        <w:pStyle w:val="vnintext"/>
        <w:autoSpaceDE w:val="0"/>
        <w:autoSpaceDN w:val="0"/>
        <w:spacing w:before="0" w:after="0" w:line="276" w:lineRule="auto"/>
        <w:ind w:left="5664" w:hanging="5307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ředitel Územního pracoviště Plzeň </w:t>
      </w:r>
      <w:r w:rsidR="00C435BE"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pověřen řízením Agentury pro podporu   </w:t>
      </w:r>
    </w:p>
    <w:p w:rsidR="001D656E" w:rsidRPr="00FB2691" w:rsidRDefault="00C435BE" w:rsidP="00B721C1">
      <w:pPr>
        <w:pStyle w:val="vnintext"/>
        <w:autoSpaceDE w:val="0"/>
        <w:autoSpaceDN w:val="0"/>
        <w:spacing w:before="0" w:after="0" w:line="276" w:lineRule="auto"/>
        <w:ind w:left="5664" w:hanging="5307"/>
        <w:rPr>
          <w:rFonts w:ascii="Arial" w:hAnsi="Arial" w:cs="Arial"/>
          <w:color w:val="000000" w:themeColor="text1"/>
          <w:sz w:val="22"/>
          <w:szCs w:val="22"/>
        </w:rPr>
      </w:pPr>
      <w:r w:rsidRPr="00FB269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podnikání a investic </w:t>
      </w:r>
      <w:proofErr w:type="spellStart"/>
      <w:r w:rsidRPr="00FB2691">
        <w:rPr>
          <w:rFonts w:ascii="Arial" w:hAnsi="Arial" w:cs="Arial"/>
          <w:color w:val="000000" w:themeColor="text1"/>
          <w:sz w:val="22"/>
          <w:szCs w:val="22"/>
        </w:rPr>
        <w:t>CzechInvest</w:t>
      </w:r>
      <w:bookmarkEnd w:id="0"/>
      <w:proofErr w:type="spellEnd"/>
    </w:p>
    <w:sectPr w:rsidR="001D656E" w:rsidRPr="00FB2691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FD" w:rsidRDefault="003E1BFD">
      <w:r>
        <w:separator/>
      </w:r>
    </w:p>
  </w:endnote>
  <w:endnote w:type="continuationSeparator" w:id="0">
    <w:p w:rsidR="003E1BFD" w:rsidRDefault="003E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709142"/>
      <w:docPartObj>
        <w:docPartGallery w:val="Page Numbers (Bottom of Page)"/>
        <w:docPartUnique/>
      </w:docPartObj>
    </w:sdtPr>
    <w:sdtEndPr/>
    <w:sdtContent>
      <w:p w:rsidR="001D656E" w:rsidRDefault="007976C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1D656E" w:rsidRDefault="001D6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FD" w:rsidRDefault="003E1BFD">
      <w:r>
        <w:separator/>
      </w:r>
    </w:p>
  </w:footnote>
  <w:footnote w:type="continuationSeparator" w:id="0">
    <w:p w:rsidR="003E1BFD" w:rsidRDefault="003E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74F"/>
    <w:multiLevelType w:val="hybridMultilevel"/>
    <w:tmpl w:val="865C0998"/>
    <w:lvl w:ilvl="0" w:tplc="C0B0CAB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EB7CC1"/>
    <w:multiLevelType w:val="hybridMultilevel"/>
    <w:tmpl w:val="81227948"/>
    <w:lvl w:ilvl="0" w:tplc="8612D26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0B8"/>
    <w:multiLevelType w:val="hybridMultilevel"/>
    <w:tmpl w:val="FF6EB0C4"/>
    <w:lvl w:ilvl="0" w:tplc="6F80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1734"/>
    <w:multiLevelType w:val="hybridMultilevel"/>
    <w:tmpl w:val="B14EA638"/>
    <w:lvl w:ilvl="0" w:tplc="211C8DD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DD1C2716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E9F4C0D8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03C69AA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6A26818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F3A488FE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666A8E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C23E3BB0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24344A86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FC04B1D"/>
    <w:multiLevelType w:val="hybridMultilevel"/>
    <w:tmpl w:val="BFE2D96C"/>
    <w:lvl w:ilvl="0" w:tplc="791E1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50DC"/>
    <w:multiLevelType w:val="hybridMultilevel"/>
    <w:tmpl w:val="1660C46E"/>
    <w:lvl w:ilvl="0" w:tplc="4B8CA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D48"/>
    <w:multiLevelType w:val="hybridMultilevel"/>
    <w:tmpl w:val="52087C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523B5"/>
    <w:multiLevelType w:val="hybridMultilevel"/>
    <w:tmpl w:val="9D8C9814"/>
    <w:lvl w:ilvl="0" w:tplc="74963E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D8C2C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BED4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88C1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448B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C4F6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2C55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3CC8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A68A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D0C9D"/>
    <w:multiLevelType w:val="hybridMultilevel"/>
    <w:tmpl w:val="75A605A4"/>
    <w:lvl w:ilvl="0" w:tplc="E4845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44E20B6">
      <w:start w:val="1"/>
      <w:numFmt w:val="lowerLetter"/>
      <w:lvlText w:val="%2."/>
      <w:lvlJc w:val="left"/>
      <w:pPr>
        <w:ind w:left="1440" w:hanging="360"/>
      </w:pPr>
    </w:lvl>
    <w:lvl w:ilvl="2" w:tplc="4E720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8B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47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AF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0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EC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64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A172C"/>
    <w:multiLevelType w:val="hybridMultilevel"/>
    <w:tmpl w:val="2A80DE18"/>
    <w:lvl w:ilvl="0" w:tplc="EFC02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420210D4"/>
    <w:multiLevelType w:val="hybridMultilevel"/>
    <w:tmpl w:val="EB522F6A"/>
    <w:lvl w:ilvl="0" w:tplc="4572B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76D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0A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A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E6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C6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E1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62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C2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31473"/>
    <w:multiLevelType w:val="hybridMultilevel"/>
    <w:tmpl w:val="D3922776"/>
    <w:lvl w:ilvl="0" w:tplc="4B8CA0C2">
      <w:start w:val="1"/>
      <w:numFmt w:val="decimal"/>
      <w:lvlText w:val="%1."/>
      <w:lvlJc w:val="left"/>
      <w:pPr>
        <w:ind w:left="360" w:hanging="360"/>
      </w:pPr>
    </w:lvl>
    <w:lvl w:ilvl="1" w:tplc="A642AD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1616C9C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25E76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545BE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889DA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74B7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6C591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F83B0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2EE1CC5"/>
    <w:multiLevelType w:val="hybridMultilevel"/>
    <w:tmpl w:val="C096E146"/>
    <w:lvl w:ilvl="0" w:tplc="964EC3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B6F43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0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C9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89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0B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46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64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CC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107B5"/>
    <w:multiLevelType w:val="hybridMultilevel"/>
    <w:tmpl w:val="E006F8C0"/>
    <w:lvl w:ilvl="0" w:tplc="70863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42C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5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E2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7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84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6D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88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A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42687"/>
    <w:multiLevelType w:val="hybridMultilevel"/>
    <w:tmpl w:val="E070E074"/>
    <w:lvl w:ilvl="0" w:tplc="3058050C">
      <w:start w:val="1"/>
      <w:numFmt w:val="decimal"/>
      <w:lvlText w:val="%1."/>
      <w:lvlJc w:val="left"/>
      <w:pPr>
        <w:ind w:left="720" w:hanging="360"/>
      </w:pPr>
    </w:lvl>
    <w:lvl w:ilvl="1" w:tplc="11F8D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E2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A0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2A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E3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61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D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EE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77ABA"/>
    <w:multiLevelType w:val="hybridMultilevel"/>
    <w:tmpl w:val="6F2A24E4"/>
    <w:lvl w:ilvl="0" w:tplc="FA10D3D8">
      <w:start w:val="1"/>
      <w:numFmt w:val="decimal"/>
      <w:lvlText w:val="%1."/>
      <w:lvlJc w:val="left"/>
      <w:pPr>
        <w:ind w:left="720" w:hanging="360"/>
      </w:pPr>
    </w:lvl>
    <w:lvl w:ilvl="1" w:tplc="B0343838">
      <w:start w:val="1"/>
      <w:numFmt w:val="lowerLetter"/>
      <w:lvlText w:val="%2)"/>
      <w:lvlJc w:val="left"/>
      <w:pPr>
        <w:ind w:left="1440" w:hanging="360"/>
      </w:pPr>
    </w:lvl>
    <w:lvl w:ilvl="2" w:tplc="48DC9AA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3" w:tplc="5BA2B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5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A2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A3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063B1"/>
    <w:multiLevelType w:val="hybridMultilevel"/>
    <w:tmpl w:val="A8C4E9B6"/>
    <w:lvl w:ilvl="0" w:tplc="790660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B9185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4B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4F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7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A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E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66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B640E"/>
    <w:multiLevelType w:val="hybridMultilevel"/>
    <w:tmpl w:val="A8C4E9B6"/>
    <w:lvl w:ilvl="0" w:tplc="790660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B9185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4B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4F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7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A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E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66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83B09"/>
    <w:multiLevelType w:val="hybridMultilevel"/>
    <w:tmpl w:val="12FCC80C"/>
    <w:lvl w:ilvl="0" w:tplc="A6EC2820">
      <w:start w:val="1"/>
      <w:numFmt w:val="decimal"/>
      <w:lvlText w:val="%1."/>
      <w:lvlJc w:val="left"/>
      <w:pPr>
        <w:ind w:left="720" w:hanging="360"/>
      </w:pPr>
    </w:lvl>
    <w:lvl w:ilvl="1" w:tplc="B92E8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8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6E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C0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C1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07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B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E9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1"/>
  </w:num>
  <w:num w:numId="18">
    <w:abstractNumId w:val="9"/>
  </w:num>
  <w:num w:numId="19">
    <w:abstractNumId w:val="11"/>
  </w:num>
  <w:num w:numId="20">
    <w:abstractNumId w:val="5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11F8"/>
    <w:rsid w:val="00006124"/>
    <w:rsid w:val="000167E4"/>
    <w:rsid w:val="000531D0"/>
    <w:rsid w:val="00061F5D"/>
    <w:rsid w:val="0007175A"/>
    <w:rsid w:val="00074C6C"/>
    <w:rsid w:val="000756E8"/>
    <w:rsid w:val="0008691A"/>
    <w:rsid w:val="00087887"/>
    <w:rsid w:val="00090E94"/>
    <w:rsid w:val="00096A69"/>
    <w:rsid w:val="000A1C44"/>
    <w:rsid w:val="000A41B0"/>
    <w:rsid w:val="000A4B46"/>
    <w:rsid w:val="000B60E1"/>
    <w:rsid w:val="000E6868"/>
    <w:rsid w:val="0012365E"/>
    <w:rsid w:val="001440AB"/>
    <w:rsid w:val="00145FFB"/>
    <w:rsid w:val="00150919"/>
    <w:rsid w:val="00155F83"/>
    <w:rsid w:val="001633EF"/>
    <w:rsid w:val="00181D76"/>
    <w:rsid w:val="001874BD"/>
    <w:rsid w:val="001A109A"/>
    <w:rsid w:val="001C25D5"/>
    <w:rsid w:val="001C6DF2"/>
    <w:rsid w:val="001D656E"/>
    <w:rsid w:val="001E37BB"/>
    <w:rsid w:val="001E5FA4"/>
    <w:rsid w:val="001F7A01"/>
    <w:rsid w:val="001F7F66"/>
    <w:rsid w:val="00201A27"/>
    <w:rsid w:val="00224A91"/>
    <w:rsid w:val="00231CDE"/>
    <w:rsid w:val="00245AA4"/>
    <w:rsid w:val="00253822"/>
    <w:rsid w:val="00253C07"/>
    <w:rsid w:val="002559E9"/>
    <w:rsid w:val="00256553"/>
    <w:rsid w:val="00267581"/>
    <w:rsid w:val="002727B7"/>
    <w:rsid w:val="00291B30"/>
    <w:rsid w:val="002B6DE1"/>
    <w:rsid w:val="002D6F45"/>
    <w:rsid w:val="00306448"/>
    <w:rsid w:val="00320722"/>
    <w:rsid w:val="00333FAD"/>
    <w:rsid w:val="003368C0"/>
    <w:rsid w:val="00340C2E"/>
    <w:rsid w:val="00345715"/>
    <w:rsid w:val="00345881"/>
    <w:rsid w:val="003515F3"/>
    <w:rsid w:val="003779B8"/>
    <w:rsid w:val="003810A5"/>
    <w:rsid w:val="00384009"/>
    <w:rsid w:val="00384F97"/>
    <w:rsid w:val="00397BA0"/>
    <w:rsid w:val="003A32E9"/>
    <w:rsid w:val="003B6D06"/>
    <w:rsid w:val="003C27D2"/>
    <w:rsid w:val="003C525D"/>
    <w:rsid w:val="003E1BFD"/>
    <w:rsid w:val="003E45C2"/>
    <w:rsid w:val="004053C5"/>
    <w:rsid w:val="00423D91"/>
    <w:rsid w:val="00424DE6"/>
    <w:rsid w:val="00435849"/>
    <w:rsid w:val="0043735F"/>
    <w:rsid w:val="004425D9"/>
    <w:rsid w:val="00442699"/>
    <w:rsid w:val="00442F87"/>
    <w:rsid w:val="004462D5"/>
    <w:rsid w:val="00447161"/>
    <w:rsid w:val="00455AC4"/>
    <w:rsid w:val="0046116D"/>
    <w:rsid w:val="00465355"/>
    <w:rsid w:val="00470BDF"/>
    <w:rsid w:val="00486F1B"/>
    <w:rsid w:val="004C4F20"/>
    <w:rsid w:val="004C589A"/>
    <w:rsid w:val="004E3209"/>
    <w:rsid w:val="004E3E19"/>
    <w:rsid w:val="004F0D3F"/>
    <w:rsid w:val="00501D02"/>
    <w:rsid w:val="00514E1D"/>
    <w:rsid w:val="00523136"/>
    <w:rsid w:val="00555134"/>
    <w:rsid w:val="00560BF5"/>
    <w:rsid w:val="00572A14"/>
    <w:rsid w:val="00580803"/>
    <w:rsid w:val="00587372"/>
    <w:rsid w:val="00590FB9"/>
    <w:rsid w:val="005A3476"/>
    <w:rsid w:val="005A7F6C"/>
    <w:rsid w:val="005E149D"/>
    <w:rsid w:val="005E7EA1"/>
    <w:rsid w:val="006119F4"/>
    <w:rsid w:val="006152B9"/>
    <w:rsid w:val="00621CE5"/>
    <w:rsid w:val="006238C8"/>
    <w:rsid w:val="00627018"/>
    <w:rsid w:val="00630907"/>
    <w:rsid w:val="0063370D"/>
    <w:rsid w:val="006360D2"/>
    <w:rsid w:val="00652748"/>
    <w:rsid w:val="00666E3D"/>
    <w:rsid w:val="00682113"/>
    <w:rsid w:val="006939DE"/>
    <w:rsid w:val="006A0C0C"/>
    <w:rsid w:val="006A5781"/>
    <w:rsid w:val="006B1697"/>
    <w:rsid w:val="006B5A0C"/>
    <w:rsid w:val="006D0578"/>
    <w:rsid w:val="006E50BA"/>
    <w:rsid w:val="00707286"/>
    <w:rsid w:val="00710088"/>
    <w:rsid w:val="0071682A"/>
    <w:rsid w:val="00733F20"/>
    <w:rsid w:val="007361EA"/>
    <w:rsid w:val="00742876"/>
    <w:rsid w:val="00752DB5"/>
    <w:rsid w:val="0075523E"/>
    <w:rsid w:val="00764A4A"/>
    <w:rsid w:val="00794A3C"/>
    <w:rsid w:val="007976C0"/>
    <w:rsid w:val="007A662F"/>
    <w:rsid w:val="007A7DE1"/>
    <w:rsid w:val="007B5E91"/>
    <w:rsid w:val="007C561E"/>
    <w:rsid w:val="007F484A"/>
    <w:rsid w:val="00805892"/>
    <w:rsid w:val="00814A88"/>
    <w:rsid w:val="008214AA"/>
    <w:rsid w:val="00824D9C"/>
    <w:rsid w:val="00845A59"/>
    <w:rsid w:val="00860F94"/>
    <w:rsid w:val="00861145"/>
    <w:rsid w:val="008679C8"/>
    <w:rsid w:val="008706FC"/>
    <w:rsid w:val="0087674F"/>
    <w:rsid w:val="00876965"/>
    <w:rsid w:val="00880C1E"/>
    <w:rsid w:val="00882C0C"/>
    <w:rsid w:val="0088559E"/>
    <w:rsid w:val="00885F6E"/>
    <w:rsid w:val="008B1374"/>
    <w:rsid w:val="008C06E2"/>
    <w:rsid w:val="008C3886"/>
    <w:rsid w:val="008D0CB0"/>
    <w:rsid w:val="008D1AD5"/>
    <w:rsid w:val="008D63AD"/>
    <w:rsid w:val="008D750B"/>
    <w:rsid w:val="008E2E34"/>
    <w:rsid w:val="00935FFB"/>
    <w:rsid w:val="00960620"/>
    <w:rsid w:val="00962438"/>
    <w:rsid w:val="00975498"/>
    <w:rsid w:val="00981152"/>
    <w:rsid w:val="0098294A"/>
    <w:rsid w:val="009915C8"/>
    <w:rsid w:val="009A3CE6"/>
    <w:rsid w:val="009C0B16"/>
    <w:rsid w:val="009C2DFB"/>
    <w:rsid w:val="009E1824"/>
    <w:rsid w:val="009E6C2A"/>
    <w:rsid w:val="009F4FEE"/>
    <w:rsid w:val="00A035EA"/>
    <w:rsid w:val="00A11F00"/>
    <w:rsid w:val="00A1489C"/>
    <w:rsid w:val="00A30994"/>
    <w:rsid w:val="00A34317"/>
    <w:rsid w:val="00A343A5"/>
    <w:rsid w:val="00A43C1C"/>
    <w:rsid w:val="00A464E3"/>
    <w:rsid w:val="00A47CE8"/>
    <w:rsid w:val="00A56993"/>
    <w:rsid w:val="00A57848"/>
    <w:rsid w:val="00A6667F"/>
    <w:rsid w:val="00A738BB"/>
    <w:rsid w:val="00AA642A"/>
    <w:rsid w:val="00AC79B3"/>
    <w:rsid w:val="00AD71D2"/>
    <w:rsid w:val="00AE11A9"/>
    <w:rsid w:val="00AF4907"/>
    <w:rsid w:val="00B10261"/>
    <w:rsid w:val="00B11791"/>
    <w:rsid w:val="00B12B3B"/>
    <w:rsid w:val="00B15FE9"/>
    <w:rsid w:val="00B3019C"/>
    <w:rsid w:val="00B4196A"/>
    <w:rsid w:val="00B555E0"/>
    <w:rsid w:val="00B63C26"/>
    <w:rsid w:val="00B721C1"/>
    <w:rsid w:val="00BA6332"/>
    <w:rsid w:val="00BC2E73"/>
    <w:rsid w:val="00BD13C5"/>
    <w:rsid w:val="00BD1CB7"/>
    <w:rsid w:val="00BD2509"/>
    <w:rsid w:val="00BD7B45"/>
    <w:rsid w:val="00BE39EC"/>
    <w:rsid w:val="00BF6E12"/>
    <w:rsid w:val="00C11CA4"/>
    <w:rsid w:val="00C1506E"/>
    <w:rsid w:val="00C17F8D"/>
    <w:rsid w:val="00C358EB"/>
    <w:rsid w:val="00C41738"/>
    <w:rsid w:val="00C435BE"/>
    <w:rsid w:val="00C47041"/>
    <w:rsid w:val="00C62759"/>
    <w:rsid w:val="00C62E17"/>
    <w:rsid w:val="00C80AE5"/>
    <w:rsid w:val="00C8277E"/>
    <w:rsid w:val="00C83F91"/>
    <w:rsid w:val="00C93AF6"/>
    <w:rsid w:val="00CA3E79"/>
    <w:rsid w:val="00CA54D8"/>
    <w:rsid w:val="00CD64E2"/>
    <w:rsid w:val="00CE765E"/>
    <w:rsid w:val="00D05A92"/>
    <w:rsid w:val="00D066F0"/>
    <w:rsid w:val="00D1179D"/>
    <w:rsid w:val="00D139B6"/>
    <w:rsid w:val="00D214F7"/>
    <w:rsid w:val="00D4272A"/>
    <w:rsid w:val="00D45009"/>
    <w:rsid w:val="00D45E56"/>
    <w:rsid w:val="00D517D4"/>
    <w:rsid w:val="00D71111"/>
    <w:rsid w:val="00D7583D"/>
    <w:rsid w:val="00D85CFD"/>
    <w:rsid w:val="00DB68F3"/>
    <w:rsid w:val="00DD17A3"/>
    <w:rsid w:val="00DE5468"/>
    <w:rsid w:val="00DF12DF"/>
    <w:rsid w:val="00E04C14"/>
    <w:rsid w:val="00E07B64"/>
    <w:rsid w:val="00E1670F"/>
    <w:rsid w:val="00E2174E"/>
    <w:rsid w:val="00E22C86"/>
    <w:rsid w:val="00E23836"/>
    <w:rsid w:val="00E42E14"/>
    <w:rsid w:val="00E4617B"/>
    <w:rsid w:val="00E57DD7"/>
    <w:rsid w:val="00E60EF6"/>
    <w:rsid w:val="00E753CB"/>
    <w:rsid w:val="00E834F4"/>
    <w:rsid w:val="00EA3E71"/>
    <w:rsid w:val="00EB23AE"/>
    <w:rsid w:val="00ED1488"/>
    <w:rsid w:val="00EE4666"/>
    <w:rsid w:val="00EF1C60"/>
    <w:rsid w:val="00EF2709"/>
    <w:rsid w:val="00EF6030"/>
    <w:rsid w:val="00EF6E4D"/>
    <w:rsid w:val="00F04730"/>
    <w:rsid w:val="00F17294"/>
    <w:rsid w:val="00F179C9"/>
    <w:rsid w:val="00F37B80"/>
    <w:rsid w:val="00F445EC"/>
    <w:rsid w:val="00F556F0"/>
    <w:rsid w:val="00F61B8E"/>
    <w:rsid w:val="00F821FE"/>
    <w:rsid w:val="00F828A6"/>
    <w:rsid w:val="00F93B99"/>
    <w:rsid w:val="00F97DB8"/>
    <w:rsid w:val="00FB2691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7CB7"/>
  <w15:docId w15:val="{43B22448-3ED5-488F-9169-31C097D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160" w:line="12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1D656E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D65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">
    <w:name w:val="para"/>
    <w:basedOn w:val="Normln"/>
    <w:rsid w:val="001D656E"/>
    <w:pPr>
      <w:tabs>
        <w:tab w:val="left" w:pos="709"/>
      </w:tabs>
    </w:pPr>
    <w:rPr>
      <w:b/>
      <w:szCs w:val="20"/>
    </w:rPr>
  </w:style>
  <w:style w:type="paragraph" w:customStyle="1" w:styleId="vnintext">
    <w:name w:val="vniřnítext"/>
    <w:basedOn w:val="Normln"/>
    <w:rsid w:val="001D656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1D656E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Default">
    <w:name w:val="Default"/>
    <w:rsid w:val="001D6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1D656E"/>
  </w:style>
  <w:style w:type="paragraph" w:styleId="Odstavecseseznamem">
    <w:name w:val="List Paragraph"/>
    <w:basedOn w:val="Normln"/>
    <w:uiPriority w:val="34"/>
    <w:qFormat/>
    <w:rsid w:val="001D65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5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5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5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5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99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8FC7-DF8F-4A80-A0D1-DE25E311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2023-03-03T10:49:00Z</cp:lastPrinted>
  <dcterms:created xsi:type="dcterms:W3CDTF">2023-03-30T07:32:00Z</dcterms:created>
  <dcterms:modified xsi:type="dcterms:W3CDTF">2023-03-30T07:32:00Z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UZSVM/P/16575/2022-HSPH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*Smlouva o výpůjčce nebytových prostor (Centrum služeb pro silniční dopravu s.p.o., Purk. p.)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Kellnhoferová Lenka,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Lenka.Kellnhoferova@uzsvm.cz</vt:lpwstr>
  </property>
  <property fmtid="{D5CDD505-2E9C-101B-9397-08002B2CF9AE}" pid="43" name="CUSTOM.VLASTNIK_TELEFON">
    <vt:lpwstr>+420 377 169 412</vt:lpwstr>
  </property>
  <property fmtid="{D5CDD505-2E9C-101B-9397-08002B2CF9AE}" pid="44" name="CUSTOM.VYTVOREN_DNE">
    <vt:lpwstr>16.06.2022</vt:lpwstr>
  </property>
  <property fmtid="{D5CDD505-2E9C-101B-9397-08002B2CF9AE}" pid="45" name="KOD.KOD_CJ">
    <vt:lpwstr>UZSVM/P/16578/2022-HSPH</vt:lpwstr>
  </property>
  <property fmtid="{D5CDD505-2E9C-101B-9397-08002B2CF9AE}" pid="46" name="KOD.KOD_EVC">
    <vt:lpwstr>23281/P/2022-HSPH</vt:lpwstr>
  </property>
  <property fmtid="{D5CDD505-2E9C-101B-9397-08002B2CF9AE}" pid="47" name="KOD.KOD_EVC_BARCODE">
    <vt:lpwstr>µ#23281/P/2022-HSPH@!¸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0f9ddcec-f327-4761-97f3-09784f4009d1</vt:lpwstr>
  </property>
  <property fmtid="{D5CDD505-2E9C-101B-9397-08002B2CF9AE}" pid="52" name="KrbDmsIdForm">
    <vt:lpwstr>0f9ddcec-f327-4761-97f3-09784f4009d1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