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6A" w:rsidRDefault="0025597B">
      <w:pPr>
        <w:spacing w:before="67"/>
        <w:ind w:left="3847" w:right="3831"/>
        <w:jc w:val="center"/>
        <w:rPr>
          <w:b/>
          <w:sz w:val="28"/>
        </w:rPr>
      </w:pPr>
      <w:proofErr w:type="spellStart"/>
      <w:r>
        <w:rPr>
          <w:b/>
          <w:sz w:val="28"/>
        </w:rPr>
        <w:t>Dodatek</w:t>
      </w:r>
      <w:proofErr w:type="spellEnd"/>
      <w:r>
        <w:rPr>
          <w:b/>
          <w:sz w:val="28"/>
        </w:rPr>
        <w:t xml:space="preserve"> č.2</w:t>
      </w:r>
    </w:p>
    <w:p w:rsidR="00AE3D6A" w:rsidRDefault="0025597B">
      <w:pPr>
        <w:pStyle w:val="Nadpis1"/>
        <w:spacing w:before="2" w:line="252" w:lineRule="exact"/>
        <w:ind w:left="207"/>
      </w:pPr>
      <w:proofErr w:type="spellStart"/>
      <w:proofErr w:type="gramStart"/>
      <w:r>
        <w:t>ke</w:t>
      </w:r>
      <w:proofErr w:type="spellEnd"/>
      <w:proofErr w:type="gram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21.10.2022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1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15.12.2022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:rsidR="00AE3D6A" w:rsidRDefault="0025597B">
      <w:pPr>
        <w:spacing w:line="252" w:lineRule="exact"/>
        <w:ind w:left="4047"/>
        <w:rPr>
          <w:b/>
        </w:rPr>
      </w:pPr>
      <w:r>
        <w:rPr>
          <w:b/>
        </w:rPr>
        <w:t>„</w:t>
      </w:r>
      <w:proofErr w:type="spellStart"/>
      <w:r>
        <w:rPr>
          <w:b/>
        </w:rPr>
        <w:t>Smlouva</w:t>
      </w:r>
      <w:proofErr w:type="spellEnd"/>
      <w:r>
        <w:rPr>
          <w:b/>
        </w:rPr>
        <w:t>“)</w:t>
      </w:r>
    </w:p>
    <w:p w:rsidR="00AE3D6A" w:rsidRDefault="00AE3D6A">
      <w:pPr>
        <w:pStyle w:val="Zkladntext"/>
        <w:rPr>
          <w:b/>
          <w:sz w:val="24"/>
        </w:rPr>
      </w:pPr>
    </w:p>
    <w:p w:rsidR="00AE3D6A" w:rsidRDefault="0025597B">
      <w:pPr>
        <w:spacing w:before="206"/>
        <w:ind w:left="114"/>
        <w:rPr>
          <w:b/>
        </w:rPr>
      </w:pPr>
      <w:proofErr w:type="spellStart"/>
      <w:proofErr w:type="gramStart"/>
      <w:r>
        <w:rPr>
          <w:b/>
        </w:rPr>
        <w:t>Sociologický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 AV ČR, v. v. </w:t>
      </w:r>
      <w:proofErr w:type="spellStart"/>
      <w:r>
        <w:rPr>
          <w:b/>
        </w:rPr>
        <w:t>i</w:t>
      </w:r>
      <w:proofErr w:type="spellEnd"/>
      <w:r>
        <w:rPr>
          <w:b/>
        </w:rPr>
        <w:t>.</w:t>
      </w:r>
      <w:proofErr w:type="gramEnd"/>
    </w:p>
    <w:p w:rsidR="00AE3D6A" w:rsidRDefault="0025597B">
      <w:pPr>
        <w:pStyle w:val="Zkladntext"/>
        <w:tabs>
          <w:tab w:val="left" w:pos="2235"/>
        </w:tabs>
        <w:spacing w:before="13" w:line="250" w:lineRule="exact"/>
        <w:ind w:left="116" w:right="2264"/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Jilská</w:t>
      </w:r>
      <w:proofErr w:type="spellEnd"/>
      <w:r>
        <w:t xml:space="preserve"> 361/1, </w:t>
      </w:r>
      <w:proofErr w:type="spellStart"/>
      <w:r>
        <w:t>Praha</w:t>
      </w:r>
      <w:proofErr w:type="spellEnd"/>
      <w:r>
        <w:t xml:space="preserve">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</w:t>
      </w:r>
      <w:r>
        <w:rPr>
          <w:spacing w:val="-18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00</w:t>
      </w:r>
      <w:r>
        <w:rPr>
          <w:w w:val="99"/>
        </w:rPr>
        <w:t xml:space="preserve"> </w:t>
      </w:r>
      <w:proofErr w:type="spellStart"/>
      <w:r>
        <w:t>zastoupená</w:t>
      </w:r>
      <w:proofErr w:type="spellEnd"/>
      <w:r>
        <w:t>:</w:t>
      </w:r>
      <w:r>
        <w:tab/>
        <w:t xml:space="preserve">Mgr. </w:t>
      </w:r>
      <w:proofErr w:type="spellStart"/>
      <w:r>
        <w:t>Jindřichem</w:t>
      </w:r>
      <w:proofErr w:type="spellEnd"/>
      <w:r>
        <w:t xml:space="preserve"> </w:t>
      </w:r>
      <w:proofErr w:type="spellStart"/>
      <w:r>
        <w:t>Krejčím</w:t>
      </w:r>
      <w:proofErr w:type="spellEnd"/>
      <w:r>
        <w:t>, Ph.D.,</w:t>
      </w:r>
      <w:r>
        <w:rPr>
          <w:spacing w:val="-8"/>
        </w:rPr>
        <w:t xml:space="preserve"> </w:t>
      </w:r>
      <w:proofErr w:type="spellStart"/>
      <w:r>
        <w:t>ředitelem</w:t>
      </w:r>
      <w:proofErr w:type="spellEnd"/>
    </w:p>
    <w:p w:rsidR="00AE3D6A" w:rsidRDefault="0025597B">
      <w:pPr>
        <w:pStyle w:val="Zkladntext"/>
        <w:tabs>
          <w:tab w:val="left" w:pos="2236"/>
        </w:tabs>
        <w:spacing w:line="247" w:lineRule="exact"/>
        <w:ind w:left="116"/>
      </w:pPr>
      <w:r>
        <w:t>IČO:</w:t>
      </w:r>
      <w:r>
        <w:tab/>
        <w:t>68378025</w:t>
      </w:r>
    </w:p>
    <w:p w:rsidR="00AE3D6A" w:rsidRDefault="0025597B">
      <w:pPr>
        <w:pStyle w:val="Zkladntext"/>
        <w:tabs>
          <w:tab w:val="left" w:pos="2237"/>
        </w:tabs>
        <w:spacing w:before="4"/>
        <w:ind w:left="116"/>
      </w:pPr>
      <w:r>
        <w:t>DIČ:</w:t>
      </w:r>
      <w:r>
        <w:tab/>
        <w:t>CZ68378025</w:t>
      </w:r>
    </w:p>
    <w:p w:rsidR="00AE3D6A" w:rsidRDefault="0025597B">
      <w:pPr>
        <w:pStyle w:val="Zkladntext"/>
        <w:tabs>
          <w:tab w:val="left" w:pos="2237"/>
        </w:tabs>
        <w:spacing w:before="2" w:line="251" w:lineRule="exact"/>
        <w:ind w:left="116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rPr>
          <w:spacing w:val="-5"/>
        </w:rPr>
        <w:t xml:space="preserve"> </w:t>
      </w:r>
      <w:proofErr w:type="spellStart"/>
      <w:r>
        <w:t>banka</w:t>
      </w:r>
      <w:proofErr w:type="spellEnd"/>
    </w:p>
    <w:p w:rsidR="00AE3D6A" w:rsidRDefault="0025597B">
      <w:pPr>
        <w:pStyle w:val="Zkladntext"/>
        <w:tabs>
          <w:tab w:val="left" w:pos="2237"/>
        </w:tabs>
        <w:spacing w:line="251" w:lineRule="exact"/>
        <w:ind w:left="116"/>
      </w:pPr>
      <w:proofErr w:type="spellStart"/>
      <w:proofErr w:type="gramStart"/>
      <w:r>
        <w:t>číslo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68823011/0710</w:t>
      </w:r>
    </w:p>
    <w:p w:rsidR="00AE3D6A" w:rsidRDefault="0025597B">
      <w:pPr>
        <w:pStyle w:val="Zkladntext"/>
        <w:spacing w:before="1"/>
        <w:ind w:left="115" w:right="95"/>
      </w:pPr>
      <w:proofErr w:type="spellStart"/>
      <w:proofErr w:type="gramStart"/>
      <w:r>
        <w:t>zapsaná</w:t>
      </w:r>
      <w:proofErr w:type="spellEnd"/>
      <w:proofErr w:type="gram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 ČR</w:t>
      </w:r>
    </w:p>
    <w:p w:rsidR="00AE3D6A" w:rsidRDefault="0025597B">
      <w:pPr>
        <w:pStyle w:val="Zkladntext"/>
        <w:spacing w:line="242" w:lineRule="auto"/>
        <w:ind w:left="115" w:right="7565"/>
      </w:pPr>
      <w:proofErr w:type="spellStart"/>
      <w:proofErr w:type="gramStart"/>
      <w:r>
        <w:t>plátce</w:t>
      </w:r>
      <w:proofErr w:type="spellEnd"/>
      <w:proofErr w:type="gramEnd"/>
      <w:r>
        <w:t xml:space="preserve">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„SOÚ“)</w:t>
      </w:r>
    </w:p>
    <w:p w:rsidR="00AE3D6A" w:rsidRDefault="00AE3D6A">
      <w:pPr>
        <w:pStyle w:val="Zkladntext"/>
        <w:spacing w:before="7"/>
        <w:rPr>
          <w:sz w:val="21"/>
        </w:rPr>
      </w:pPr>
    </w:p>
    <w:p w:rsidR="00AE3D6A" w:rsidRDefault="0025597B">
      <w:pPr>
        <w:pStyle w:val="Zkladntext"/>
        <w:ind w:left="115"/>
      </w:pPr>
      <w:proofErr w:type="gramStart"/>
      <w:r>
        <w:rPr>
          <w:w w:val="99"/>
        </w:rPr>
        <w:t>a</w:t>
      </w:r>
      <w:proofErr w:type="gramEnd"/>
    </w:p>
    <w:p w:rsidR="00AE3D6A" w:rsidRDefault="00AE3D6A">
      <w:pPr>
        <w:pStyle w:val="Zkladntext"/>
        <w:spacing w:before="10"/>
        <w:rPr>
          <w:sz w:val="21"/>
        </w:rPr>
      </w:pPr>
    </w:p>
    <w:p w:rsidR="00AE3D6A" w:rsidRDefault="0025597B">
      <w:pPr>
        <w:pStyle w:val="Nadpis1"/>
        <w:ind w:left="115"/>
      </w:pPr>
      <w:proofErr w:type="spellStart"/>
      <w:proofErr w:type="gramStart"/>
      <w:r>
        <w:t>Filosofický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proofErr w:type="gramEnd"/>
    </w:p>
    <w:p w:rsidR="00AE3D6A" w:rsidRDefault="0025597B">
      <w:pPr>
        <w:pStyle w:val="Zkladntext"/>
        <w:tabs>
          <w:tab w:val="left" w:pos="2236"/>
        </w:tabs>
        <w:spacing w:before="3"/>
        <w:ind w:left="115" w:right="2262"/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Jilská</w:t>
      </w:r>
      <w:proofErr w:type="spellEnd"/>
      <w:r>
        <w:t xml:space="preserve"> 361/1, </w:t>
      </w:r>
      <w:proofErr w:type="spellStart"/>
      <w:r>
        <w:t>Praha</w:t>
      </w:r>
      <w:proofErr w:type="spellEnd"/>
      <w:r>
        <w:t xml:space="preserve">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</w:t>
      </w:r>
      <w:r>
        <w:rPr>
          <w:spacing w:val="-18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00</w:t>
      </w:r>
      <w:r>
        <w:rPr>
          <w:w w:val="99"/>
        </w:rPr>
        <w:t xml:space="preserve"> </w:t>
      </w:r>
      <w:proofErr w:type="spellStart"/>
      <w:r>
        <w:t>zastoupená</w:t>
      </w:r>
      <w:proofErr w:type="spellEnd"/>
      <w:r>
        <w:t>:</w:t>
      </w:r>
      <w:r>
        <w:tab/>
      </w:r>
      <w:proofErr w:type="spellStart"/>
      <w:r>
        <w:t>PhDr</w:t>
      </w:r>
      <w:proofErr w:type="spellEnd"/>
      <w:r>
        <w:t xml:space="preserve">. </w:t>
      </w:r>
      <w:proofErr w:type="spellStart"/>
      <w:r>
        <w:t>Ondřejem</w:t>
      </w:r>
      <w:proofErr w:type="spellEnd"/>
      <w:r>
        <w:t xml:space="preserve"> </w:t>
      </w:r>
      <w:proofErr w:type="spellStart"/>
      <w:r>
        <w:t>Ševečkem</w:t>
      </w:r>
      <w:proofErr w:type="spellEnd"/>
      <w:r>
        <w:t>,</w:t>
      </w:r>
      <w:r>
        <w:rPr>
          <w:spacing w:val="-7"/>
        </w:rPr>
        <w:t xml:space="preserve"> </w:t>
      </w:r>
      <w:r>
        <w:t>Ph.D.,</w:t>
      </w:r>
      <w:r>
        <w:rPr>
          <w:spacing w:val="-5"/>
        </w:rPr>
        <w:t xml:space="preserve"> </w:t>
      </w:r>
      <w:proofErr w:type="spellStart"/>
      <w:r>
        <w:t>ředitelem</w:t>
      </w:r>
      <w:proofErr w:type="spellEnd"/>
      <w:r>
        <w:rPr>
          <w:w w:val="99"/>
        </w:rPr>
        <w:t xml:space="preserve"> </w:t>
      </w:r>
      <w:r>
        <w:t>IČO:</w:t>
      </w:r>
      <w:r>
        <w:tab/>
        <w:t>67985955</w:t>
      </w:r>
    </w:p>
    <w:p w:rsidR="00AE3D6A" w:rsidRDefault="0025597B">
      <w:pPr>
        <w:pStyle w:val="Zkladntext"/>
        <w:tabs>
          <w:tab w:val="left" w:pos="2237"/>
        </w:tabs>
        <w:spacing w:line="251" w:lineRule="exact"/>
        <w:ind w:left="116"/>
      </w:pPr>
      <w:r>
        <w:t>DIČ:</w:t>
      </w:r>
      <w:r>
        <w:tab/>
        <w:t>CZ67985955</w:t>
      </w:r>
    </w:p>
    <w:p w:rsidR="00AE3D6A" w:rsidRDefault="0025597B">
      <w:pPr>
        <w:pStyle w:val="Zkladntext"/>
        <w:tabs>
          <w:tab w:val="left" w:pos="2210"/>
        </w:tabs>
        <w:spacing w:before="1"/>
        <w:ind w:left="116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Raiffeisenbank</w:t>
      </w:r>
      <w:proofErr w:type="spellEnd"/>
      <w:r>
        <w:rPr>
          <w:spacing w:val="-9"/>
        </w:rPr>
        <w:t xml:space="preserve"> </w:t>
      </w:r>
      <w:proofErr w:type="spellStart"/>
      <w:r>
        <w:t>a.s</w:t>
      </w:r>
      <w:proofErr w:type="spellEnd"/>
      <w:r>
        <w:t>.</w:t>
      </w:r>
    </w:p>
    <w:p w:rsidR="00AE3D6A" w:rsidRDefault="0025597B">
      <w:pPr>
        <w:pStyle w:val="Zkladntext"/>
        <w:tabs>
          <w:tab w:val="left" w:pos="2210"/>
        </w:tabs>
        <w:ind w:left="116"/>
      </w:pPr>
      <w:proofErr w:type="spellStart"/>
      <w:proofErr w:type="gramStart"/>
      <w:r>
        <w:t>číslo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11339990/5500</w:t>
      </w:r>
    </w:p>
    <w:p w:rsidR="00AE3D6A" w:rsidRDefault="0025597B">
      <w:pPr>
        <w:pStyle w:val="Zkladntext"/>
        <w:spacing w:before="12" w:line="250" w:lineRule="exact"/>
        <w:ind w:left="115" w:right="95"/>
      </w:pPr>
      <w:proofErr w:type="spellStart"/>
      <w:proofErr w:type="gramStart"/>
      <w:r>
        <w:t>zapsaná</w:t>
      </w:r>
      <w:proofErr w:type="spellEnd"/>
      <w:proofErr w:type="gramEnd"/>
      <w:r>
        <w:t xml:space="preserve"> v </w:t>
      </w:r>
      <w:proofErr w:type="spellStart"/>
      <w:r>
        <w:t>rejst</w:t>
      </w:r>
      <w:r>
        <w:t>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 ČR</w:t>
      </w:r>
    </w:p>
    <w:p w:rsidR="00AE3D6A" w:rsidRDefault="0025597B">
      <w:pPr>
        <w:pStyle w:val="Zkladntext"/>
        <w:ind w:left="115" w:right="7614"/>
      </w:pPr>
      <w:proofErr w:type="spellStart"/>
      <w:proofErr w:type="gramStart"/>
      <w:r>
        <w:t>plátce</w:t>
      </w:r>
      <w:proofErr w:type="spellEnd"/>
      <w:proofErr w:type="gramEnd"/>
      <w:r>
        <w:t xml:space="preserve">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„FLÚ“)</w:t>
      </w:r>
    </w:p>
    <w:p w:rsidR="00AE3D6A" w:rsidRDefault="00AE3D6A">
      <w:pPr>
        <w:pStyle w:val="Zkladntext"/>
        <w:spacing w:before="2"/>
      </w:pPr>
    </w:p>
    <w:p w:rsidR="00AE3D6A" w:rsidRDefault="0025597B">
      <w:pPr>
        <w:pStyle w:val="Zkladntext"/>
        <w:ind w:left="115"/>
      </w:pPr>
      <w:proofErr w:type="gramStart"/>
      <w:r>
        <w:rPr>
          <w:w w:val="99"/>
        </w:rPr>
        <w:t>a</w:t>
      </w:r>
      <w:proofErr w:type="gramEnd"/>
    </w:p>
    <w:p w:rsidR="00AE3D6A" w:rsidRDefault="00AE3D6A">
      <w:pPr>
        <w:pStyle w:val="Zkladntext"/>
        <w:spacing w:before="10"/>
        <w:rPr>
          <w:sz w:val="21"/>
        </w:rPr>
      </w:pPr>
    </w:p>
    <w:p w:rsidR="00AE3D6A" w:rsidRDefault="0025597B">
      <w:pPr>
        <w:pStyle w:val="Nadpis1"/>
        <w:ind w:left="115"/>
      </w:pPr>
      <w:proofErr w:type="spellStart"/>
      <w:proofErr w:type="gram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proofErr w:type="gramEnd"/>
    </w:p>
    <w:p w:rsidR="00AE3D6A" w:rsidRDefault="0025597B">
      <w:pPr>
        <w:pStyle w:val="Zkladntext"/>
        <w:tabs>
          <w:tab w:val="left" w:pos="2235"/>
        </w:tabs>
        <w:ind w:left="115" w:right="2066"/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Husova</w:t>
      </w:r>
      <w:proofErr w:type="spellEnd"/>
      <w:r>
        <w:t xml:space="preserve"> 352/4, </w:t>
      </w:r>
      <w:proofErr w:type="spellStart"/>
      <w:r>
        <w:t>Praha</w:t>
      </w:r>
      <w:proofErr w:type="spellEnd"/>
      <w:r>
        <w:t xml:space="preserve">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</w:t>
      </w:r>
      <w:r>
        <w:rPr>
          <w:spacing w:val="-17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w w:val="99"/>
        </w:rPr>
        <w:t xml:space="preserve"> </w:t>
      </w:r>
      <w:proofErr w:type="spellStart"/>
      <w:r>
        <w:t>zastoupená</w:t>
      </w:r>
      <w:proofErr w:type="spellEnd"/>
      <w:r>
        <w:t>:</w:t>
      </w:r>
      <w:r>
        <w:tab/>
      </w:r>
      <w:r>
        <w:t xml:space="preserve">doc.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Winterem</w:t>
      </w:r>
      <w:proofErr w:type="spellEnd"/>
      <w:r>
        <w:t>,</w:t>
      </w:r>
      <w:r>
        <w:rPr>
          <w:spacing w:val="-7"/>
        </w:rPr>
        <w:t xml:space="preserve"> </w:t>
      </w:r>
      <w:r>
        <w:t>Ph.D.,</w:t>
      </w:r>
      <w:r>
        <w:rPr>
          <w:spacing w:val="-3"/>
        </w:rPr>
        <w:t xml:space="preserve"> </w:t>
      </w:r>
      <w:proofErr w:type="spellStart"/>
      <w:r>
        <w:t>ředitelem</w:t>
      </w:r>
      <w:proofErr w:type="spellEnd"/>
      <w:r>
        <w:rPr>
          <w:w w:val="99"/>
        </w:rPr>
        <w:t xml:space="preserve"> </w:t>
      </w:r>
      <w:r>
        <w:t>IČO:</w:t>
      </w:r>
      <w:r>
        <w:tab/>
        <w:t>68378033</w:t>
      </w:r>
    </w:p>
    <w:p w:rsidR="00AE3D6A" w:rsidRDefault="0025597B">
      <w:pPr>
        <w:pStyle w:val="Zkladntext"/>
        <w:tabs>
          <w:tab w:val="left" w:pos="2237"/>
        </w:tabs>
        <w:spacing w:line="252" w:lineRule="exact"/>
        <w:ind w:left="117"/>
      </w:pPr>
      <w:r>
        <w:t>DIČ:</w:t>
      </w:r>
      <w:r>
        <w:tab/>
        <w:t>CZ68378033</w:t>
      </w:r>
    </w:p>
    <w:p w:rsidR="00AE3D6A" w:rsidRDefault="0025597B">
      <w:pPr>
        <w:pStyle w:val="Zkladntext"/>
        <w:tabs>
          <w:tab w:val="left" w:pos="2237"/>
        </w:tabs>
        <w:ind w:left="117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Československá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a.s</w:t>
      </w:r>
      <w:proofErr w:type="spellEnd"/>
      <w:r>
        <w:t>.</w:t>
      </w:r>
    </w:p>
    <w:p w:rsidR="00AE3D6A" w:rsidRDefault="0025597B">
      <w:pPr>
        <w:pStyle w:val="Zkladntext"/>
        <w:tabs>
          <w:tab w:val="left" w:pos="2237"/>
        </w:tabs>
        <w:ind w:left="117"/>
      </w:pPr>
      <w:proofErr w:type="spellStart"/>
      <w:proofErr w:type="gramStart"/>
      <w:r>
        <w:t>číslo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131166131/0300</w:t>
      </w:r>
    </w:p>
    <w:p w:rsidR="00AE3D6A" w:rsidRDefault="0025597B">
      <w:pPr>
        <w:pStyle w:val="Zkladntext"/>
        <w:spacing w:before="11" w:line="250" w:lineRule="exact"/>
        <w:ind w:left="117" w:right="93"/>
      </w:pPr>
      <w:proofErr w:type="spellStart"/>
      <w:proofErr w:type="gramStart"/>
      <w:r>
        <w:t>zapsaná</w:t>
      </w:r>
      <w:proofErr w:type="spellEnd"/>
      <w:proofErr w:type="gram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 ČR</w:t>
      </w:r>
    </w:p>
    <w:p w:rsidR="00AE3D6A" w:rsidRDefault="0025597B">
      <w:pPr>
        <w:pStyle w:val="Zkladntext"/>
        <w:ind w:left="117" w:right="7564"/>
      </w:pPr>
      <w:proofErr w:type="spellStart"/>
      <w:proofErr w:type="gramStart"/>
      <w:r>
        <w:t>plátce</w:t>
      </w:r>
      <w:proofErr w:type="spellEnd"/>
      <w:proofErr w:type="gramEnd"/>
      <w:r>
        <w:t xml:space="preserve">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t>„ÚDU“)</w:t>
      </w:r>
    </w:p>
    <w:p w:rsidR="00AE3D6A" w:rsidRDefault="00AE3D6A">
      <w:pPr>
        <w:pStyle w:val="Zkladntext"/>
      </w:pPr>
    </w:p>
    <w:p w:rsidR="00AE3D6A" w:rsidRDefault="0025597B">
      <w:pPr>
        <w:pStyle w:val="Nadpis1"/>
        <w:ind w:left="117"/>
      </w:pPr>
      <w:r>
        <w:t>(</w:t>
      </w:r>
      <w:proofErr w:type="spellStart"/>
      <w:proofErr w:type="gramStart"/>
      <w:r>
        <w:t>společně</w:t>
      </w:r>
      <w:proofErr w:type="spellEnd"/>
      <w:proofErr w:type="gram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:rsidR="00AE3D6A" w:rsidRDefault="00AE3D6A">
      <w:pPr>
        <w:pStyle w:val="Zkladntext"/>
        <w:spacing w:before="4"/>
        <w:rPr>
          <w:b/>
        </w:rPr>
      </w:pPr>
    </w:p>
    <w:p w:rsidR="00AE3D6A" w:rsidRDefault="0025597B">
      <w:pPr>
        <w:pStyle w:val="Zkladntext"/>
        <w:ind w:left="117"/>
      </w:pPr>
      <w:proofErr w:type="gramStart"/>
      <w:r>
        <w:rPr>
          <w:w w:val="99"/>
        </w:rPr>
        <w:t>a</w:t>
      </w:r>
      <w:proofErr w:type="gramEnd"/>
    </w:p>
    <w:p w:rsidR="00AE3D6A" w:rsidRDefault="00AE3D6A">
      <w:pPr>
        <w:pStyle w:val="Zkladntext"/>
        <w:spacing w:before="6"/>
        <w:rPr>
          <w:sz w:val="21"/>
        </w:rPr>
      </w:pPr>
    </w:p>
    <w:p w:rsidR="00AE3D6A" w:rsidRDefault="0025597B">
      <w:pPr>
        <w:pStyle w:val="Nadpis1"/>
      </w:pPr>
      <w:proofErr w:type="spellStart"/>
      <w:proofErr w:type="gramStart"/>
      <w:r>
        <w:t>Izin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  <w:proofErr w:type="gramEnd"/>
    </w:p>
    <w:p w:rsidR="00AE3D6A" w:rsidRDefault="0025597B">
      <w:pPr>
        <w:pStyle w:val="Zkladntext"/>
        <w:tabs>
          <w:tab w:val="left" w:pos="2236"/>
        </w:tabs>
        <w:spacing w:before="13" w:line="250" w:lineRule="exact"/>
        <w:ind w:left="116" w:right="832" w:hanging="2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Politických</w:t>
      </w:r>
      <w:proofErr w:type="spellEnd"/>
      <w:r>
        <w:t xml:space="preserve"> </w:t>
      </w:r>
      <w:proofErr w:type="spellStart"/>
      <w:r>
        <w:t>vězňů</w:t>
      </w:r>
      <w:proofErr w:type="spellEnd"/>
      <w:r>
        <w:t xml:space="preserve"> 1597/19, </w:t>
      </w:r>
      <w:proofErr w:type="spellStart"/>
      <w:r>
        <w:t>Praha</w:t>
      </w:r>
      <w:proofErr w:type="spellEnd"/>
      <w:r>
        <w:t xml:space="preserve"> 1 –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. PSČ:</w:t>
      </w:r>
      <w:r>
        <w:rPr>
          <w:spacing w:val="-21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</w:t>
      </w:r>
      <w:r>
        <w:t>0</w:t>
      </w:r>
      <w:r>
        <w:rPr>
          <w:w w:val="99"/>
        </w:rPr>
        <w:t xml:space="preserve"> </w:t>
      </w:r>
      <w:proofErr w:type="spellStart"/>
      <w:r>
        <w:t>zastoupená</w:t>
      </w:r>
      <w:proofErr w:type="spellEnd"/>
      <w:r>
        <w:t>:</w:t>
      </w:r>
      <w:r>
        <w:tab/>
      </w:r>
      <w:proofErr w:type="spellStart"/>
      <w:r>
        <w:t>Jiřím</w:t>
      </w:r>
      <w:proofErr w:type="spellEnd"/>
      <w:r>
        <w:t xml:space="preserve"> </w:t>
      </w:r>
      <w:proofErr w:type="spellStart"/>
      <w:r>
        <w:t>Kubizňákem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jednatelem</w:t>
      </w:r>
      <w:proofErr w:type="spellEnd"/>
    </w:p>
    <w:p w:rsidR="00AE3D6A" w:rsidRDefault="0025597B">
      <w:pPr>
        <w:pStyle w:val="Zkladntext"/>
        <w:tabs>
          <w:tab w:val="left" w:pos="2237"/>
        </w:tabs>
        <w:spacing w:line="249" w:lineRule="exact"/>
        <w:ind w:left="116"/>
      </w:pPr>
      <w:r>
        <w:t>IČO:</w:t>
      </w:r>
      <w:r>
        <w:tab/>
        <w:t>28368592</w:t>
      </w:r>
    </w:p>
    <w:p w:rsidR="00AE3D6A" w:rsidRDefault="0025597B">
      <w:pPr>
        <w:pStyle w:val="Zkladntext"/>
        <w:tabs>
          <w:tab w:val="left" w:pos="2237"/>
        </w:tabs>
        <w:spacing w:before="2"/>
        <w:ind w:left="116"/>
      </w:pPr>
      <w:r>
        <w:t>DIČ:</w:t>
      </w:r>
      <w:r>
        <w:tab/>
        <w:t>CZ28368592</w:t>
      </w:r>
    </w:p>
    <w:p w:rsidR="00AE3D6A" w:rsidRDefault="0025597B">
      <w:pPr>
        <w:pStyle w:val="Zkladntext"/>
        <w:tabs>
          <w:tab w:val="left" w:pos="2236"/>
        </w:tabs>
        <w:ind w:left="116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Raiffeisenbank</w:t>
      </w:r>
      <w:proofErr w:type="spellEnd"/>
      <w:r>
        <w:rPr>
          <w:spacing w:val="-3"/>
        </w:rPr>
        <w:t xml:space="preserve"> </w:t>
      </w:r>
      <w:proofErr w:type="spellStart"/>
      <w:r>
        <w:t>a.s</w:t>
      </w:r>
      <w:proofErr w:type="spellEnd"/>
      <w:r>
        <w:t>.</w:t>
      </w:r>
    </w:p>
    <w:p w:rsidR="00AE3D6A" w:rsidRDefault="00AE3D6A">
      <w:pPr>
        <w:sectPr w:rsidR="00AE3D6A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:rsidR="00AE3D6A" w:rsidRDefault="0025597B">
      <w:pPr>
        <w:pStyle w:val="Zkladntext"/>
        <w:tabs>
          <w:tab w:val="left" w:pos="2236"/>
        </w:tabs>
        <w:spacing w:before="74"/>
        <w:ind w:left="114"/>
      </w:pPr>
      <w:proofErr w:type="spellStart"/>
      <w:proofErr w:type="gramStart"/>
      <w:r>
        <w:lastRenderedPageBreak/>
        <w:t>číslo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6592135001</w:t>
      </w:r>
    </w:p>
    <w:p w:rsidR="00AE3D6A" w:rsidRDefault="0025597B">
      <w:pPr>
        <w:pStyle w:val="Zkladntext"/>
        <w:spacing w:before="9" w:line="250" w:lineRule="exact"/>
        <w:ind w:left="114" w:right="1063"/>
      </w:pPr>
      <w:proofErr w:type="spellStart"/>
      <w:proofErr w:type="gramStart"/>
      <w:r>
        <w:t>zapsaná</w:t>
      </w:r>
      <w:proofErr w:type="spellEnd"/>
      <w:proofErr w:type="gram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136617 </w:t>
      </w:r>
      <w:proofErr w:type="spellStart"/>
      <w:r>
        <w:t>plátce</w:t>
      </w:r>
      <w:proofErr w:type="spellEnd"/>
      <w:r>
        <w:t xml:space="preserve"> DPH</w:t>
      </w:r>
    </w:p>
    <w:p w:rsidR="00AE3D6A" w:rsidRDefault="00AE3D6A">
      <w:pPr>
        <w:pStyle w:val="Zkladntext"/>
        <w:spacing w:before="4"/>
        <w:rPr>
          <w:sz w:val="21"/>
        </w:rPr>
      </w:pPr>
    </w:p>
    <w:p w:rsidR="00AE3D6A" w:rsidRDefault="0025597B">
      <w:pPr>
        <w:pStyle w:val="Nadpis1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:rsidR="00AE3D6A" w:rsidRDefault="00AE3D6A">
      <w:pPr>
        <w:pStyle w:val="Zkladntext"/>
        <w:rPr>
          <w:b/>
          <w:sz w:val="24"/>
        </w:rPr>
      </w:pPr>
    </w:p>
    <w:p w:rsidR="00AE3D6A" w:rsidRDefault="00AE3D6A">
      <w:pPr>
        <w:pStyle w:val="Zkladntext"/>
        <w:spacing w:before="1"/>
        <w:rPr>
          <w:b/>
          <w:sz w:val="20"/>
        </w:rPr>
      </w:pPr>
    </w:p>
    <w:p w:rsidR="00AE3D6A" w:rsidRDefault="0025597B">
      <w:pPr>
        <w:pStyle w:val="Zkladntext"/>
        <w:ind w:left="480" w:right="493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2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:rsidR="00AE3D6A" w:rsidRDefault="0025597B">
      <w:pPr>
        <w:pStyle w:val="Zkladntext"/>
        <w:ind w:left="480" w:right="492"/>
        <w:jc w:val="center"/>
      </w:pPr>
      <w:r>
        <w:t>„</w:t>
      </w:r>
      <w:proofErr w:type="spellStart"/>
      <w:proofErr w:type="gramStart"/>
      <w:r>
        <w:t>dodatek</w:t>
      </w:r>
      <w:proofErr w:type="spellEnd"/>
      <w:proofErr w:type="gramEnd"/>
      <w:r>
        <w:t>“):</w:t>
      </w: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spacing w:before="1"/>
        <w:rPr>
          <w:sz w:val="19"/>
        </w:rPr>
      </w:pPr>
    </w:p>
    <w:p w:rsidR="00AE3D6A" w:rsidRDefault="0025597B">
      <w:pPr>
        <w:pStyle w:val="Nadpis1"/>
        <w:spacing w:line="252" w:lineRule="exact"/>
        <w:ind w:left="476" w:right="493"/>
        <w:jc w:val="center"/>
      </w:pPr>
      <w:proofErr w:type="spellStart"/>
      <w:r>
        <w:t>Čl</w:t>
      </w:r>
      <w:proofErr w:type="spellEnd"/>
      <w:r>
        <w:t>. 1</w:t>
      </w:r>
    </w:p>
    <w:p w:rsidR="00AE3D6A" w:rsidRDefault="0025597B">
      <w:pPr>
        <w:spacing w:line="252" w:lineRule="exact"/>
        <w:ind w:left="480" w:right="492"/>
        <w:jc w:val="center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AE3D6A" w:rsidRDefault="00AE3D6A">
      <w:pPr>
        <w:pStyle w:val="Zkladntext"/>
        <w:spacing w:before="9"/>
        <w:rPr>
          <w:b/>
        </w:rPr>
      </w:pPr>
    </w:p>
    <w:p w:rsidR="00AE3D6A" w:rsidRDefault="0025597B">
      <w:pPr>
        <w:pStyle w:val="Odstavecseseznamem"/>
        <w:numPr>
          <w:ilvl w:val="0"/>
          <w:numId w:val="3"/>
        </w:numPr>
        <w:tabs>
          <w:tab w:val="left" w:pos="835"/>
        </w:tabs>
        <w:ind w:right="12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21.10.2022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označeného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Husova</w:t>
      </w:r>
      <w:proofErr w:type="spellEnd"/>
      <w:r>
        <w:t xml:space="preserve"> č. p. 236 – </w:t>
      </w:r>
      <w:proofErr w:type="spellStart"/>
      <w:r>
        <w:t>opatření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vlhkosti</w:t>
      </w:r>
      <w:proofErr w:type="spellEnd"/>
      <w:r>
        <w:t xml:space="preserve">“.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vymezeno</w:t>
      </w:r>
      <w:proofErr w:type="spellEnd"/>
      <w:r>
        <w:t xml:space="preserve"> </w:t>
      </w:r>
      <w:proofErr w:type="spellStart"/>
      <w:r>
        <w:t>zadávacími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, </w:t>
      </w:r>
      <w:proofErr w:type="spellStart"/>
      <w:r>
        <w:t>nabídkou</w:t>
      </w:r>
      <w:proofErr w:type="spellEnd"/>
      <w:r>
        <w:t xml:space="preserve"> </w:t>
      </w:r>
      <w:proofErr w:type="spellStart"/>
      <w:r>
        <w:t>zhot</w:t>
      </w:r>
      <w:r>
        <w:t>ovitele</w:t>
      </w:r>
      <w:proofErr w:type="spellEnd"/>
      <w:r>
        <w:t xml:space="preserve"> a </w:t>
      </w:r>
      <w:proofErr w:type="spellStart"/>
      <w:r>
        <w:t>samotnou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“).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uzavřen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15.12.2022 </w:t>
      </w:r>
      <w:proofErr w:type="spellStart"/>
      <w:r>
        <w:t>dodatek</w:t>
      </w:r>
      <w:proofErr w:type="spellEnd"/>
      <w:r>
        <w:t xml:space="preserve"> č. 1,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posunutí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archeologických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započte</w:t>
      </w:r>
      <w:r>
        <w:t>ní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a </w:t>
      </w:r>
      <w:proofErr w:type="spellStart"/>
      <w:r>
        <w:t>víceprací</w:t>
      </w:r>
      <w:proofErr w:type="spellEnd"/>
      <w:r>
        <w:t xml:space="preserve">.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snížila</w:t>
      </w:r>
      <w:proofErr w:type="spellEnd"/>
      <w:r>
        <w:t xml:space="preserve"> o 8.393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bez</w:t>
      </w:r>
      <w:proofErr w:type="spellEnd"/>
      <w:r>
        <w:rPr>
          <w:spacing w:val="-14"/>
        </w:rPr>
        <w:t xml:space="preserve"> </w:t>
      </w:r>
      <w:r>
        <w:t>DPH.</w:t>
      </w:r>
    </w:p>
    <w:p w:rsidR="00AE3D6A" w:rsidRDefault="00AE3D6A">
      <w:pPr>
        <w:pStyle w:val="Zkladntext"/>
        <w:spacing w:before="7"/>
        <w:rPr>
          <w:sz w:val="21"/>
        </w:rPr>
      </w:pPr>
    </w:p>
    <w:p w:rsidR="00AE3D6A" w:rsidRDefault="0025597B">
      <w:pPr>
        <w:pStyle w:val="Odstavecseseznamem"/>
        <w:numPr>
          <w:ilvl w:val="0"/>
          <w:numId w:val="3"/>
        </w:numPr>
        <w:tabs>
          <w:tab w:val="left" w:pos="835"/>
        </w:tabs>
        <w:ind w:right="122"/>
        <w:jc w:val="both"/>
      </w:pPr>
      <w:r>
        <w:t xml:space="preserve">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nepředpokládanému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archeologických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vykonávány</w:t>
      </w:r>
      <w:proofErr w:type="spellEnd"/>
      <w:r>
        <w:t xml:space="preserve"> </w:t>
      </w:r>
      <w:proofErr w:type="spellStart"/>
      <w:r>
        <w:t>souběžně</w:t>
      </w:r>
      <w:proofErr w:type="spellEnd"/>
      <w:r>
        <w:t xml:space="preserve"> s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</w:t>
      </w:r>
      <w:r>
        <w:t>ouvislosti</w:t>
      </w:r>
      <w:proofErr w:type="spellEnd"/>
      <w:r>
        <w:t xml:space="preserve"> k </w:t>
      </w:r>
      <w:proofErr w:type="spellStart"/>
      <w:r>
        <w:t>potřebě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díle</w:t>
      </w:r>
      <w:proofErr w:type="spellEnd"/>
      <w:r>
        <w:t xml:space="preserve">. S </w:t>
      </w:r>
      <w:proofErr w:type="spellStart"/>
      <w:r>
        <w:t>ohledem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pro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o </w:t>
      </w:r>
      <w:proofErr w:type="spellStart"/>
      <w:r>
        <w:t>přiměřenou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ceny</w:t>
      </w:r>
      <w:proofErr w:type="spellEnd"/>
      <w:r>
        <w:rPr>
          <w:spacing w:val="-25"/>
        </w:rPr>
        <w:t xml:space="preserve"> </w:t>
      </w:r>
      <w:proofErr w:type="spellStart"/>
      <w:r>
        <w:t>díla</w:t>
      </w:r>
      <w:proofErr w:type="spellEnd"/>
      <w:r>
        <w:t>.</w:t>
      </w: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25597B">
      <w:pPr>
        <w:pStyle w:val="Nadpis1"/>
        <w:spacing w:before="197" w:line="252" w:lineRule="exact"/>
        <w:ind w:left="476" w:right="493"/>
        <w:jc w:val="center"/>
      </w:pPr>
      <w:proofErr w:type="spellStart"/>
      <w:r>
        <w:t>Čl</w:t>
      </w:r>
      <w:proofErr w:type="spellEnd"/>
      <w:r>
        <w:t>. 2</w:t>
      </w:r>
    </w:p>
    <w:p w:rsidR="00AE3D6A" w:rsidRDefault="0025597B">
      <w:pPr>
        <w:spacing w:line="252" w:lineRule="exact"/>
        <w:ind w:left="480" w:right="487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dodatku</w:t>
      </w:r>
      <w:proofErr w:type="spellEnd"/>
    </w:p>
    <w:p w:rsidR="00AE3D6A" w:rsidRDefault="00AE3D6A">
      <w:pPr>
        <w:pStyle w:val="Zkladntext"/>
        <w:rPr>
          <w:b/>
          <w:sz w:val="24"/>
        </w:rPr>
      </w:pPr>
    </w:p>
    <w:p w:rsidR="00AE3D6A" w:rsidRDefault="00AE3D6A">
      <w:pPr>
        <w:pStyle w:val="Zkladntext"/>
        <w:spacing w:before="4"/>
        <w:rPr>
          <w:b/>
          <w:sz w:val="20"/>
        </w:rPr>
      </w:pPr>
    </w:p>
    <w:p w:rsidR="00AE3D6A" w:rsidRDefault="0025597B">
      <w:pPr>
        <w:pStyle w:val="Odstavecseseznamem"/>
        <w:numPr>
          <w:ilvl w:val="0"/>
          <w:numId w:val="2"/>
        </w:numPr>
        <w:tabs>
          <w:tab w:val="left" w:pos="836"/>
        </w:tabs>
        <w:spacing w:before="1"/>
        <w:ind w:right="0" w:hanging="359"/>
      </w:pPr>
      <w:r>
        <w:t xml:space="preserve">V </w:t>
      </w:r>
      <w:proofErr w:type="spellStart"/>
      <w:r>
        <w:t>článku</w:t>
      </w:r>
      <w:proofErr w:type="spellEnd"/>
      <w:r>
        <w:t xml:space="preserve"> II</w:t>
      </w:r>
      <w:r>
        <w:t xml:space="preserve">I. </w:t>
      </w:r>
      <w:proofErr w:type="gramStart"/>
      <w:r>
        <w:t>se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3.3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a </w:t>
      </w:r>
      <w:proofErr w:type="spellStart"/>
      <w:r>
        <w:t>nově</w:t>
      </w:r>
      <w:proofErr w:type="spellEnd"/>
      <w:r>
        <w:rPr>
          <w:spacing w:val="-21"/>
        </w:rPr>
        <w:t xml:space="preserve"> </w:t>
      </w:r>
      <w:proofErr w:type="spellStart"/>
      <w:r>
        <w:t>zní</w:t>
      </w:r>
      <w:proofErr w:type="spellEnd"/>
      <w:r>
        <w:t>:</w:t>
      </w:r>
    </w:p>
    <w:p w:rsidR="00AE3D6A" w:rsidRDefault="0025597B">
      <w:pPr>
        <w:spacing w:before="2"/>
        <w:ind w:left="820" w:right="1006"/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Dílo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specifikované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článku</w:t>
      </w:r>
      <w:proofErr w:type="spellEnd"/>
      <w:r>
        <w:rPr>
          <w:i/>
        </w:rPr>
        <w:t xml:space="preserve"> 1 </w:t>
      </w:r>
      <w:proofErr w:type="spellStart"/>
      <w:r>
        <w:rPr>
          <w:i/>
        </w:rPr>
        <w:t>této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smlouvy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zhotovitel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zavazuje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dokončit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objednateli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nejpozději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</w:t>
      </w:r>
      <w:proofErr w:type="spellEnd"/>
      <w:r>
        <w:rPr>
          <w:i/>
        </w:rPr>
        <w:t xml:space="preserve"> 12.4.2023</w:t>
      </w:r>
      <w:proofErr w:type="gramStart"/>
      <w:r>
        <w:rPr>
          <w:i/>
        </w:rPr>
        <w:t>.“</w:t>
      </w:r>
      <w:proofErr w:type="gramEnd"/>
    </w:p>
    <w:p w:rsidR="00AE3D6A" w:rsidRDefault="00AE3D6A">
      <w:pPr>
        <w:pStyle w:val="Zkladntext"/>
        <w:spacing w:before="5"/>
        <w:rPr>
          <w:i/>
        </w:rPr>
      </w:pPr>
    </w:p>
    <w:p w:rsidR="00AE3D6A" w:rsidRDefault="0025597B">
      <w:pPr>
        <w:pStyle w:val="Odstavecseseznamem"/>
        <w:numPr>
          <w:ilvl w:val="0"/>
          <w:numId w:val="2"/>
        </w:numPr>
        <w:tabs>
          <w:tab w:val="left" w:pos="836"/>
        </w:tabs>
        <w:ind w:right="114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</w:t>
      </w:r>
      <w:r>
        <w:t>m</w:t>
      </w:r>
      <w:proofErr w:type="spellEnd"/>
      <w:r>
        <w:t xml:space="preserve"> § 222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a to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díle</w:t>
      </w:r>
      <w:proofErr w:type="spellEnd"/>
      <w:r>
        <w:t xml:space="preserve">  v </w:t>
      </w:r>
      <w:proofErr w:type="spellStart"/>
      <w:r>
        <w:t>rozsahu</w:t>
      </w:r>
      <w:proofErr w:type="spellEnd"/>
      <w:r>
        <w:t xml:space="preserve"> a 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 v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. Po </w:t>
      </w:r>
      <w:proofErr w:type="spellStart"/>
      <w:r>
        <w:t>sečtení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se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zvýš</w:t>
      </w:r>
      <w:r>
        <w:t>ila</w:t>
      </w:r>
      <w:proofErr w:type="spellEnd"/>
      <w:r>
        <w:t xml:space="preserve"> o </w:t>
      </w:r>
      <w:r>
        <w:rPr>
          <w:b/>
        </w:rPr>
        <w:t xml:space="preserve">379.522,50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</w:t>
      </w:r>
      <w:proofErr w:type="spellEnd"/>
      <w:r>
        <w:rPr>
          <w:b/>
          <w:spacing w:val="-10"/>
        </w:rPr>
        <w:t xml:space="preserve"> </w:t>
      </w:r>
      <w:r>
        <w:rPr>
          <w:b/>
          <w:spacing w:val="-3"/>
        </w:rPr>
        <w:t>DPH</w:t>
      </w:r>
      <w:r>
        <w:rPr>
          <w:spacing w:val="-3"/>
        </w:rPr>
        <w:t>.</w:t>
      </w:r>
    </w:p>
    <w:p w:rsidR="00AE3D6A" w:rsidRDefault="00AE3D6A">
      <w:pPr>
        <w:pStyle w:val="Zkladntext"/>
        <w:spacing w:before="5"/>
      </w:pPr>
    </w:p>
    <w:p w:rsidR="00AE3D6A" w:rsidRDefault="0025597B">
      <w:pPr>
        <w:pStyle w:val="Odstavecseseznamem"/>
        <w:numPr>
          <w:ilvl w:val="0"/>
          <w:numId w:val="2"/>
        </w:numPr>
        <w:tabs>
          <w:tab w:val="left" w:pos="836"/>
        </w:tabs>
        <w:ind w:right="123" w:hanging="35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>3.242.442</w:t>
      </w:r>
      <w:proofErr w:type="gramStart"/>
      <w:r>
        <w:rPr>
          <w:b/>
        </w:rPr>
        <w:t>,50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</w:t>
      </w:r>
      <w:proofErr w:type="spellEnd"/>
      <w:r>
        <w:rPr>
          <w:b/>
        </w:rPr>
        <w:t xml:space="preserve"> </w:t>
      </w:r>
      <w:r>
        <w:rPr>
          <w:b/>
          <w:spacing w:val="-3"/>
        </w:rPr>
        <w:t xml:space="preserve">DPH.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>. V.</w:t>
      </w:r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spacing w:before="5"/>
        <w:rPr>
          <w:sz w:val="19"/>
        </w:rPr>
      </w:pPr>
    </w:p>
    <w:p w:rsidR="00AE3D6A" w:rsidRDefault="0025597B">
      <w:pPr>
        <w:pStyle w:val="Nadpis1"/>
        <w:ind w:left="479" w:right="493"/>
        <w:jc w:val="center"/>
      </w:pPr>
      <w:proofErr w:type="spellStart"/>
      <w:r>
        <w:t>Čl</w:t>
      </w:r>
      <w:proofErr w:type="spellEnd"/>
      <w:r>
        <w:t>. 3</w:t>
      </w:r>
    </w:p>
    <w:p w:rsidR="00AE3D6A" w:rsidRDefault="0025597B">
      <w:pPr>
        <w:spacing w:before="1"/>
        <w:ind w:left="480" w:right="492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AE3D6A" w:rsidRDefault="00AE3D6A">
      <w:pPr>
        <w:pStyle w:val="Zkladntext"/>
        <w:spacing w:before="1"/>
        <w:rPr>
          <w:b/>
        </w:rPr>
      </w:pPr>
    </w:p>
    <w:p w:rsidR="00AE3D6A" w:rsidRDefault="0025597B">
      <w:pPr>
        <w:pStyle w:val="Odstavecseseznamem"/>
        <w:numPr>
          <w:ilvl w:val="0"/>
          <w:numId w:val="1"/>
        </w:numPr>
        <w:tabs>
          <w:tab w:val="left" w:pos="836"/>
        </w:tabs>
        <w:ind w:right="122"/>
        <w:jc w:val="both"/>
      </w:pPr>
      <w:proofErr w:type="spellStart"/>
      <w:r>
        <w:t>Všechna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nedotčená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beze</w:t>
      </w:r>
      <w:proofErr w:type="spellEnd"/>
      <w:r>
        <w:rPr>
          <w:spacing w:val="1"/>
        </w:rPr>
        <w:t xml:space="preserve"> </w:t>
      </w:r>
      <w:proofErr w:type="spellStart"/>
      <w:r>
        <w:t>změn</w:t>
      </w:r>
      <w:proofErr w:type="spellEnd"/>
      <w:r>
        <w:t>.</w:t>
      </w:r>
    </w:p>
    <w:p w:rsidR="00AE3D6A" w:rsidRDefault="00AE3D6A">
      <w:pPr>
        <w:jc w:val="both"/>
        <w:sectPr w:rsidR="00AE3D6A">
          <w:footerReference w:type="default" r:id="rId8"/>
          <w:pgSz w:w="11910" w:h="16840"/>
          <w:pgMar w:top="1320" w:right="1280" w:bottom="1260" w:left="1300" w:header="0" w:footer="1062" w:gutter="0"/>
          <w:pgNumType w:start="2"/>
          <w:cols w:space="708"/>
        </w:sectPr>
      </w:pPr>
    </w:p>
    <w:p w:rsidR="00AE3D6A" w:rsidRDefault="0025597B">
      <w:pPr>
        <w:pStyle w:val="Odstavecseseznamem"/>
        <w:numPr>
          <w:ilvl w:val="0"/>
          <w:numId w:val="1"/>
        </w:numPr>
        <w:tabs>
          <w:tab w:val="left" w:pos="1117"/>
        </w:tabs>
        <w:spacing w:before="78" w:line="250" w:lineRule="exact"/>
        <w:ind w:left="1116" w:hanging="360"/>
        <w:jc w:val="both"/>
      </w:pPr>
      <w:proofErr w:type="spellStart"/>
      <w:r>
        <w:lastRenderedPageBreak/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čtyřech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rPr>
          <w:spacing w:val="-4"/>
        </w:rPr>
        <w:t xml:space="preserve"> </w:t>
      </w:r>
      <w:proofErr w:type="spellStart"/>
      <w:r>
        <w:t>vyhotovení</w:t>
      </w:r>
      <w:proofErr w:type="spellEnd"/>
      <w:r>
        <w:t>.</w:t>
      </w:r>
    </w:p>
    <w:p w:rsidR="00AE3D6A" w:rsidRDefault="00AE3D6A">
      <w:pPr>
        <w:pStyle w:val="Zkladntext"/>
        <w:spacing w:before="3"/>
      </w:pPr>
    </w:p>
    <w:p w:rsidR="00AE3D6A" w:rsidRDefault="0025597B">
      <w:pPr>
        <w:pStyle w:val="Odstavecseseznamem"/>
        <w:numPr>
          <w:ilvl w:val="0"/>
          <w:numId w:val="1"/>
        </w:numPr>
        <w:tabs>
          <w:tab w:val="left" w:pos="1115"/>
        </w:tabs>
        <w:spacing w:before="1" w:line="250" w:lineRule="exact"/>
        <w:ind w:left="1114" w:hanging="360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rejstříku</w:t>
      </w:r>
      <w:proofErr w:type="spellEnd"/>
      <w:r>
        <w:rPr>
          <w:spacing w:val="-17"/>
        </w:rPr>
        <w:t xml:space="preserve"> </w:t>
      </w:r>
      <w:proofErr w:type="spellStart"/>
      <w:r>
        <w:t>smluv</w:t>
      </w:r>
      <w:proofErr w:type="spellEnd"/>
      <w:r>
        <w:t>.</w:t>
      </w:r>
    </w:p>
    <w:p w:rsidR="00AE3D6A" w:rsidRDefault="00AE3D6A">
      <w:pPr>
        <w:pStyle w:val="Zkladntext"/>
        <w:spacing w:before="7"/>
        <w:rPr>
          <w:sz w:val="21"/>
        </w:rPr>
      </w:pPr>
    </w:p>
    <w:p w:rsidR="00AE3D6A" w:rsidRDefault="0025597B">
      <w:pPr>
        <w:pStyle w:val="Odstavecseseznamem"/>
        <w:numPr>
          <w:ilvl w:val="0"/>
          <w:numId w:val="1"/>
        </w:numPr>
        <w:tabs>
          <w:tab w:val="left" w:pos="1115"/>
        </w:tabs>
        <w:ind w:left="1114" w:right="100" w:hanging="360"/>
        <w:jc w:val="both"/>
      </w:pP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strany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vzájemně</w:t>
      </w:r>
      <w:proofErr w:type="spellEnd"/>
      <w:r>
        <w:rPr>
          <w:spacing w:val="-14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5"/>
        </w:rPr>
        <w:t xml:space="preserve"> </w:t>
      </w:r>
      <w:proofErr w:type="spellStart"/>
      <w:r>
        <w:t>uveřejnění</w:t>
      </w:r>
      <w:proofErr w:type="spellEnd"/>
      <w:r>
        <w:rPr>
          <w:spacing w:val="-15"/>
        </w:rPr>
        <w:t xml:space="preserve"> </w:t>
      </w:r>
      <w:proofErr w:type="spellStart"/>
      <w:r>
        <w:t>dodatku</w:t>
      </w:r>
      <w:proofErr w:type="spellEnd"/>
      <w:r>
        <w:rPr>
          <w:spacing w:val="-14"/>
        </w:rP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18"/>
        </w:rPr>
        <w:t xml:space="preserve"> </w:t>
      </w:r>
      <w:proofErr w:type="spellStart"/>
      <w:r>
        <w:t>některých</w:t>
      </w:r>
      <w:proofErr w:type="spellEnd"/>
      <w:r>
        <w:rPr>
          <w:spacing w:val="-12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uveřejňování</w:t>
      </w:r>
      <w:proofErr w:type="spellEnd"/>
      <w:r>
        <w:rPr>
          <w:spacing w:val="-16"/>
        </w:rPr>
        <w:t xml:space="preserve"> </w:t>
      </w:r>
      <w:proofErr w:type="spellStart"/>
      <w:r>
        <w:t>těchto</w:t>
      </w:r>
      <w:proofErr w:type="spellEnd"/>
      <w:r>
        <w:rPr>
          <w:spacing w:val="-12"/>
        </w:rPr>
        <w:t xml:space="preserve"> </w:t>
      </w:r>
      <w:proofErr w:type="spellStart"/>
      <w:r>
        <w:t>smluv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registru</w:t>
      </w:r>
      <w:proofErr w:type="spellEnd"/>
      <w:r>
        <w:rPr>
          <w:spacing w:val="-16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platném</w:t>
      </w:r>
      <w:proofErr w:type="spellEnd"/>
      <w:r>
        <w:rPr>
          <w:spacing w:val="-14"/>
        </w:rP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zavazuje</w:t>
      </w:r>
      <w:proofErr w:type="spellEnd"/>
      <w:r>
        <w:rPr>
          <w:spacing w:val="-13"/>
        </w:rPr>
        <w:t xml:space="preserve"> </w:t>
      </w:r>
      <w:proofErr w:type="spellStart"/>
      <w:r>
        <w:t>objednatel</w:t>
      </w:r>
      <w:proofErr w:type="spellEnd"/>
      <w:r>
        <w:t>.</w:t>
      </w: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spacing w:before="10"/>
        <w:rPr>
          <w:sz w:val="19"/>
        </w:rPr>
      </w:pPr>
    </w:p>
    <w:p w:rsidR="00AE3D6A" w:rsidRDefault="0025597B">
      <w:pPr>
        <w:pStyle w:val="Zkladntext"/>
        <w:ind w:left="394"/>
      </w:pPr>
      <w:proofErr w:type="spellStart"/>
      <w:r>
        <w:rPr>
          <w:u w:val="single"/>
        </w:rPr>
        <w:t>Příloha</w:t>
      </w:r>
      <w:proofErr w:type="spellEnd"/>
      <w:r>
        <w:rPr>
          <w:u w:val="single"/>
        </w:rPr>
        <w:t xml:space="preserve"> č. 1:</w:t>
      </w:r>
    </w:p>
    <w:p w:rsidR="00AE3D6A" w:rsidRDefault="0025597B">
      <w:pPr>
        <w:pStyle w:val="Zkladntext"/>
        <w:tabs>
          <w:tab w:val="left" w:pos="1461"/>
        </w:tabs>
        <w:spacing w:before="1"/>
        <w:ind w:left="1101"/>
      </w:pPr>
      <w:r>
        <w:t>-</w:t>
      </w:r>
      <w:r>
        <w:tab/>
      </w:r>
      <w:proofErr w:type="spellStart"/>
      <w:r>
        <w:t>Rozpočet</w:t>
      </w:r>
      <w:proofErr w:type="spellEnd"/>
      <w:r>
        <w:rPr>
          <w:spacing w:val="1"/>
        </w:rPr>
        <w:t xml:space="preserve"> </w:t>
      </w:r>
      <w:proofErr w:type="spellStart"/>
      <w:r>
        <w:t>víceprací</w:t>
      </w:r>
      <w:proofErr w:type="spellEnd"/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25597B">
      <w:pPr>
        <w:pStyle w:val="Zkladntext"/>
        <w:tabs>
          <w:tab w:val="left" w:pos="1812"/>
          <w:tab w:val="left" w:pos="6060"/>
        </w:tabs>
        <w:spacing w:before="179"/>
        <w:ind w:left="394"/>
      </w:pPr>
      <w:r>
        <w:t xml:space="preserve">V </w:t>
      </w:r>
      <w:proofErr w:type="spellStart"/>
      <w:r>
        <w:t>Praze</w:t>
      </w:r>
      <w:proofErr w:type="spellEnd"/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tab/>
        <w:t>……………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……………</w:t>
      </w: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spacing w:before="10"/>
        <w:rPr>
          <w:sz w:val="19"/>
        </w:rPr>
      </w:pPr>
    </w:p>
    <w:p w:rsidR="00AE3D6A" w:rsidRDefault="0025597B">
      <w:pPr>
        <w:pStyle w:val="Zkladntext"/>
        <w:tabs>
          <w:tab w:val="left" w:pos="6059"/>
        </w:tabs>
        <w:spacing w:before="1"/>
        <w:ind w:left="395"/>
      </w:pPr>
      <w:proofErr w:type="spellStart"/>
      <w:r>
        <w:t>Objednatel</w:t>
      </w:r>
      <w:proofErr w:type="spellEnd"/>
      <w:r>
        <w:t>:</w:t>
      </w:r>
      <w:r>
        <w:tab/>
      </w:r>
      <w:proofErr w:type="spellStart"/>
      <w:r>
        <w:t>Zhotovitel</w:t>
      </w:r>
      <w:proofErr w:type="spellEnd"/>
      <w:r>
        <w:t>:</w:t>
      </w:r>
    </w:p>
    <w:p w:rsidR="00AE3D6A" w:rsidRDefault="00AE3D6A">
      <w:pPr>
        <w:pStyle w:val="Zkladntext"/>
        <w:spacing w:before="1"/>
      </w:pPr>
    </w:p>
    <w:p w:rsidR="00AE3D6A" w:rsidRDefault="0025597B">
      <w:pPr>
        <w:pStyle w:val="Zkladntext"/>
        <w:tabs>
          <w:tab w:val="left" w:pos="6123"/>
        </w:tabs>
        <w:spacing w:before="1"/>
        <w:ind w:left="395"/>
      </w:pPr>
      <w:proofErr w:type="spellStart"/>
      <w:proofErr w:type="gramStart"/>
      <w:r>
        <w:t>Sociologický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</w:t>
      </w:r>
      <w:r>
        <w:rPr>
          <w:spacing w:val="-3"/>
        </w:rPr>
        <w:t xml:space="preserve">ČR, </w:t>
      </w:r>
      <w:r>
        <w:t>v.</w:t>
      </w:r>
      <w:r>
        <w:rPr>
          <w:spacing w:val="6"/>
        </w:rPr>
        <w:t xml:space="preserve"> </w:t>
      </w:r>
      <w:r>
        <w:rPr>
          <w:spacing w:val="-3"/>
        </w:rPr>
        <w:t>v.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>.</w:t>
      </w:r>
      <w:r>
        <w:tab/>
      </w:r>
      <w:proofErr w:type="spellStart"/>
      <w:r>
        <w:t>Izin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  <w:proofErr w:type="gramEnd"/>
    </w:p>
    <w:p w:rsidR="00AE3D6A" w:rsidRDefault="00AE3D6A">
      <w:pPr>
        <w:pStyle w:val="Zkladntext"/>
        <w:rPr>
          <w:sz w:val="27"/>
        </w:rPr>
      </w:pPr>
    </w:p>
    <w:p w:rsidR="00AE3D6A" w:rsidRDefault="00AE3D6A">
      <w:pPr>
        <w:rPr>
          <w:sz w:val="27"/>
        </w:rPr>
        <w:sectPr w:rsidR="00AE3D6A">
          <w:pgSz w:w="11910" w:h="16840"/>
          <w:pgMar w:top="1580" w:right="1300" w:bottom="1260" w:left="1020" w:header="0" w:footer="1062" w:gutter="0"/>
          <w:cols w:space="708"/>
        </w:sectPr>
      </w:pPr>
    </w:p>
    <w:p w:rsidR="00AE3D6A" w:rsidRDefault="0025597B">
      <w:pPr>
        <w:pStyle w:val="Zkladntext"/>
        <w:tabs>
          <w:tab w:val="left" w:pos="6060"/>
        </w:tabs>
        <w:ind w:left="396"/>
      </w:pPr>
      <w:proofErr w:type="spellStart"/>
      <w:proofErr w:type="gramStart"/>
      <w:r>
        <w:lastRenderedPageBreak/>
        <w:t>ředitel</w:t>
      </w:r>
      <w:proofErr w:type="spellEnd"/>
      <w:proofErr w:type="gramEnd"/>
      <w:r>
        <w:tab/>
      </w:r>
      <w:proofErr w:type="spellStart"/>
      <w:r>
        <w:t>Jiří</w:t>
      </w:r>
      <w:proofErr w:type="spellEnd"/>
      <w:r>
        <w:t xml:space="preserve"> </w:t>
      </w:r>
      <w:proofErr w:type="spellStart"/>
      <w:r>
        <w:t>Kubizňák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jednatel</w:t>
      </w:r>
      <w:proofErr w:type="spellEnd"/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25597B">
      <w:pPr>
        <w:pStyle w:val="Zkladntext"/>
        <w:spacing w:before="207"/>
        <w:ind w:left="395"/>
      </w:pPr>
      <w:proofErr w:type="spellStart"/>
      <w:proofErr w:type="gramStart"/>
      <w:r>
        <w:t>Filosofický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proofErr w:type="gramEnd"/>
    </w:p>
    <w:p w:rsidR="00AE3D6A" w:rsidRDefault="00AE3D6A">
      <w:pPr>
        <w:pStyle w:val="Zkladntext"/>
        <w:rPr>
          <w:sz w:val="24"/>
        </w:rPr>
      </w:pPr>
      <w:bookmarkStart w:id="0" w:name="_GoBack"/>
      <w:bookmarkEnd w:id="0"/>
    </w:p>
    <w:p w:rsidR="00AE3D6A" w:rsidRDefault="00AE3D6A">
      <w:pPr>
        <w:pStyle w:val="Zkladntext"/>
        <w:rPr>
          <w:sz w:val="24"/>
        </w:rPr>
      </w:pPr>
    </w:p>
    <w:p w:rsidR="00AE3D6A" w:rsidRDefault="0025597B">
      <w:pPr>
        <w:pStyle w:val="Zkladntext"/>
        <w:spacing w:before="184"/>
        <w:ind w:left="395"/>
      </w:pPr>
      <w:proofErr w:type="spellStart"/>
      <w:proofErr w:type="gram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proofErr w:type="gramEnd"/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AE3D6A">
      <w:pPr>
        <w:pStyle w:val="Zkladntext"/>
        <w:rPr>
          <w:sz w:val="24"/>
        </w:rPr>
      </w:pPr>
    </w:p>
    <w:p w:rsidR="00AE3D6A" w:rsidRDefault="0025597B">
      <w:pPr>
        <w:pStyle w:val="Zkladntext"/>
        <w:spacing w:before="180"/>
        <w:ind w:left="395" w:right="5532"/>
      </w:pPr>
      <w:r>
        <w:t xml:space="preserve">………………………………………….. </w:t>
      </w:r>
      <w:proofErr w:type="gramStart"/>
      <w:r>
        <w:t xml:space="preserve">doc.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Winter, Ph.D.</w:t>
      </w:r>
      <w:proofErr w:type="gramEnd"/>
    </w:p>
    <w:sectPr w:rsidR="00AE3D6A">
      <w:type w:val="continuous"/>
      <w:pgSz w:w="11910" w:h="16840"/>
      <w:pgMar w:top="1320" w:right="13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597B">
      <w:r>
        <w:separator/>
      </w:r>
    </w:p>
  </w:endnote>
  <w:endnote w:type="continuationSeparator" w:id="0">
    <w:p w:rsidR="00000000" w:rsidRDefault="0025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6A" w:rsidRDefault="0025597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5pt;margin-top:777.9pt;width:10.6pt;height:15.45pt;z-index:-251658752;mso-position-horizontal-relative:page;mso-position-vertical-relative:page" filled="f" stroked="f">
          <v:textbox inset="0,0,0,0">
            <w:txbxContent>
              <w:p w:rsidR="00AE3D6A" w:rsidRDefault="0025597B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8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597B">
      <w:r>
        <w:separator/>
      </w:r>
    </w:p>
  </w:footnote>
  <w:footnote w:type="continuationSeparator" w:id="0">
    <w:p w:rsidR="00000000" w:rsidRDefault="0025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CE8"/>
    <w:multiLevelType w:val="hybridMultilevel"/>
    <w:tmpl w:val="5890F23A"/>
    <w:lvl w:ilvl="0" w:tplc="5E52DD38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48068598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276050E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352A0CE8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7DC4675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A49C622C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9574141C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CFDCB826"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1F5C58D4"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1">
    <w:nsid w:val="618E497D"/>
    <w:multiLevelType w:val="hybridMultilevel"/>
    <w:tmpl w:val="0A9655D0"/>
    <w:lvl w:ilvl="0" w:tplc="71320104">
      <w:start w:val="1"/>
      <w:numFmt w:val="decimal"/>
      <w:lvlText w:val="%1."/>
      <w:lvlJc w:val="left"/>
      <w:pPr>
        <w:ind w:left="836" w:hanging="359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1" w:tplc="5E787D88">
      <w:numFmt w:val="bullet"/>
      <w:lvlText w:val="•"/>
      <w:lvlJc w:val="left"/>
      <w:pPr>
        <w:ind w:left="1460" w:hanging="359"/>
      </w:pPr>
      <w:rPr>
        <w:rFonts w:hint="default"/>
      </w:rPr>
    </w:lvl>
    <w:lvl w:ilvl="2" w:tplc="30A8F5FA">
      <w:numFmt w:val="bullet"/>
      <w:lvlText w:val="•"/>
      <w:lvlJc w:val="left"/>
      <w:pPr>
        <w:ind w:left="2331" w:hanging="359"/>
      </w:pPr>
      <w:rPr>
        <w:rFonts w:hint="default"/>
      </w:rPr>
    </w:lvl>
    <w:lvl w:ilvl="3" w:tplc="3A80A76A">
      <w:numFmt w:val="bullet"/>
      <w:lvlText w:val="•"/>
      <w:lvlJc w:val="left"/>
      <w:pPr>
        <w:ind w:left="3203" w:hanging="359"/>
      </w:pPr>
      <w:rPr>
        <w:rFonts w:hint="default"/>
      </w:rPr>
    </w:lvl>
    <w:lvl w:ilvl="4" w:tplc="2014E99C">
      <w:numFmt w:val="bullet"/>
      <w:lvlText w:val="•"/>
      <w:lvlJc w:val="left"/>
      <w:pPr>
        <w:ind w:left="4074" w:hanging="359"/>
      </w:pPr>
      <w:rPr>
        <w:rFonts w:hint="default"/>
      </w:rPr>
    </w:lvl>
    <w:lvl w:ilvl="5" w:tplc="BA7E0692">
      <w:numFmt w:val="bullet"/>
      <w:lvlText w:val="•"/>
      <w:lvlJc w:val="left"/>
      <w:pPr>
        <w:ind w:left="4946" w:hanging="359"/>
      </w:pPr>
      <w:rPr>
        <w:rFonts w:hint="default"/>
      </w:rPr>
    </w:lvl>
    <w:lvl w:ilvl="6" w:tplc="928ECF8E">
      <w:numFmt w:val="bullet"/>
      <w:lvlText w:val="•"/>
      <w:lvlJc w:val="left"/>
      <w:pPr>
        <w:ind w:left="5818" w:hanging="359"/>
      </w:pPr>
      <w:rPr>
        <w:rFonts w:hint="default"/>
      </w:rPr>
    </w:lvl>
    <w:lvl w:ilvl="7" w:tplc="35AC8C9E">
      <w:numFmt w:val="bullet"/>
      <w:lvlText w:val="•"/>
      <w:lvlJc w:val="left"/>
      <w:pPr>
        <w:ind w:left="6689" w:hanging="359"/>
      </w:pPr>
      <w:rPr>
        <w:rFonts w:hint="default"/>
      </w:rPr>
    </w:lvl>
    <w:lvl w:ilvl="8" w:tplc="07D25B52">
      <w:numFmt w:val="bullet"/>
      <w:lvlText w:val="•"/>
      <w:lvlJc w:val="left"/>
      <w:pPr>
        <w:ind w:left="7561" w:hanging="359"/>
      </w:pPr>
      <w:rPr>
        <w:rFonts w:hint="default"/>
      </w:rPr>
    </w:lvl>
  </w:abstractNum>
  <w:abstractNum w:abstractNumId="2">
    <w:nsid w:val="7023363C"/>
    <w:multiLevelType w:val="hybridMultilevel"/>
    <w:tmpl w:val="DA8A8DD8"/>
    <w:lvl w:ilvl="0" w:tplc="358CB7DA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DA4AF94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70F00BF4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09BCC158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F1AE4704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E258C644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96FEF8A8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DF320DAA"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855C989E">
      <w:numFmt w:val="bullet"/>
      <w:lvlText w:val="•"/>
      <w:lvlJc w:val="left"/>
      <w:pPr>
        <w:ind w:left="76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E3D6A"/>
    <w:rsid w:val="0025597B"/>
    <w:rsid w:val="00A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5" w:right="10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3856</Characters>
  <Application>Microsoft Office Word</Application>
  <DocSecurity>0</DocSecurity>
  <Lines>32</Lines>
  <Paragraphs>8</Paragraphs>
  <ScaleCrop>false</ScaleCrop>
  <Company>udu av cr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D2_IZIN_28.3.23_op</dc:title>
  <dc:creator>kramesova</dc:creator>
  <cp:lastModifiedBy>Kamila Ramešová</cp:lastModifiedBy>
  <cp:revision>2</cp:revision>
  <dcterms:created xsi:type="dcterms:W3CDTF">2023-03-28T15:47:00Z</dcterms:created>
  <dcterms:modified xsi:type="dcterms:W3CDTF">2023-03-28T13:48:00Z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</Properties>
</file>