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36D7D49B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880AF8">
              <w:rPr>
                <w:rFonts w:cs="Georgia"/>
                <w:b/>
                <w:bCs/>
                <w:color w:val="000000"/>
                <w:sz w:val="43"/>
                <w:szCs w:val="43"/>
              </w:rPr>
              <w:t>12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880AF8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8D459D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8D459D">
              <w:rPr>
                <w:rFonts w:cs="Georgia"/>
                <w:b/>
                <w:bCs/>
                <w:color w:val="000000"/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6FBBBC2E" w:rsidR="00EF5B87" w:rsidRPr="00C453E8" w:rsidRDefault="00C453E8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453E8">
              <w:rPr>
                <w:rFonts w:asciiTheme="minorHAnsi" w:hAnsiTheme="minorHAnsi" w:cstheme="minorHAnsi"/>
                <w:b/>
                <w:bCs/>
                <w:color w:val="000000"/>
              </w:rPr>
              <w:t>RGO COMMUNICATIONS Ltd.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5642CD13" w:rsidR="00EF5B87" w:rsidRPr="00C63A6C" w:rsidRDefault="00C453E8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Palinovečka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ul. 19/J</w:t>
            </w:r>
            <w:r w:rsidR="0004678B" w:rsidRPr="00C63A6C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                                       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48B13904" w:rsidR="00EF5B87" w:rsidRPr="00C63A6C" w:rsidRDefault="00281342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HR 10000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Zageb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CROATIA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1AA8980F" w:rsidR="00EF5B87" w:rsidRPr="00DB2213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0FBE3886" w:rsidR="00566F6C" w:rsidRPr="00281342" w:rsidRDefault="00281342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81342">
              <w:rPr>
                <w:rFonts w:cs="Calibri"/>
                <w:b/>
                <w:bCs/>
                <w:color w:val="000000"/>
              </w:rPr>
              <w:t>HR51551401153</w:t>
            </w: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3511095C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375E3B2D" w:rsidR="00EF5B87" w:rsidRPr="00C63A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4678B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04678B" w:rsidRPr="00AF7E54" w:rsidRDefault="0004678B" w:rsidP="0004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22D3503C" w:rsidR="0004678B" w:rsidRPr="00AF7E54" w:rsidRDefault="009C270F" w:rsidP="0004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04678B" w:rsidRPr="00AF7E54" w:rsidRDefault="0004678B" w:rsidP="0004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54A8F2D1" w:rsidR="0004678B" w:rsidRPr="00281342" w:rsidRDefault="009C270F" w:rsidP="0004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04678B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04678B" w:rsidRPr="00AF7E54" w:rsidRDefault="0004678B" w:rsidP="0004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4DC78542" w:rsidR="0004678B" w:rsidRPr="00AF7E54" w:rsidRDefault="009C270F" w:rsidP="0004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32D47BFA" w:rsidR="0004678B" w:rsidRPr="00AF7E54" w:rsidRDefault="00281342" w:rsidP="0004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IBAN</w:t>
            </w:r>
            <w:r w:rsidR="0004678B"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6BEDBE40" w:rsidR="005051CD" w:rsidRPr="005051CD" w:rsidRDefault="009C270F" w:rsidP="005C7E19">
            <w:pPr>
              <w:spacing w:after="0" w:line="240" w:lineRule="auto"/>
              <w:rPr>
                <w:rFonts w:cs="Calibri"/>
                <w:color w:val="363435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04678B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04678B" w:rsidRPr="00AF7E54" w:rsidRDefault="0004678B" w:rsidP="0004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7A37E8B1" w:rsidR="0004678B" w:rsidRPr="00AF7E54" w:rsidRDefault="009C270F" w:rsidP="0004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04678B" w:rsidRPr="00AF7E54" w:rsidRDefault="0004678B" w:rsidP="0004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29E6441D" w:rsidR="0004678B" w:rsidRPr="00281342" w:rsidRDefault="009C270F" w:rsidP="002813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04678B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04678B" w:rsidRPr="00D67FF4" w:rsidRDefault="0004678B" w:rsidP="0004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1C534A41" w:rsidR="0004678B" w:rsidRPr="000563D1" w:rsidRDefault="009C270F" w:rsidP="009C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04678B" w:rsidRPr="00AF7E54" w:rsidRDefault="0004678B" w:rsidP="0004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37D3A43B" w:rsidR="0004678B" w:rsidRPr="00C63A6C" w:rsidRDefault="009C270F" w:rsidP="0004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04678B" w:rsidRPr="00E24129" w14:paraId="0ADA6F16" w14:textId="77777777" w:rsidTr="00623ED6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F5E388F" w14:textId="0ADF7D1E" w:rsidR="0004678B" w:rsidRPr="00816AA2" w:rsidRDefault="0004678B" w:rsidP="0004678B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  <w:r w:rsidR="000D1D0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 xml:space="preserve">. 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CBB5C8E" w14:textId="48243A55" w:rsidR="0004678B" w:rsidRPr="00816AA2" w:rsidRDefault="0004678B" w:rsidP="0004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03EE2D2C" w14:textId="468FCDE1" w:rsidR="0098229D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4"/>
                <w:szCs w:val="24"/>
              </w:rPr>
            </w:pPr>
            <w:r w:rsidRPr="00F467FD">
              <w:rPr>
                <w:rFonts w:cs="Georgia"/>
                <w:b/>
                <w:bCs/>
                <w:color w:val="000000"/>
                <w:sz w:val="24"/>
                <w:szCs w:val="24"/>
              </w:rPr>
              <w:t>Objednáváme u Vás:</w:t>
            </w:r>
          </w:p>
          <w:p w14:paraId="3EB3D336" w14:textId="77777777" w:rsidR="00C24CE1" w:rsidRPr="009F1FF7" w:rsidRDefault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F1FF7">
              <w:rPr>
                <w:sz w:val="16"/>
                <w:szCs w:val="16"/>
              </w:rPr>
              <w:t>Aktualizace webové aplikace AIS pro zobrazení dalších informací, které jsou nyní dostupné v</w:t>
            </w:r>
            <w:r w:rsidR="00C527CD" w:rsidRPr="009F1FF7">
              <w:rPr>
                <w:sz w:val="16"/>
                <w:szCs w:val="16"/>
              </w:rPr>
              <w:t> </w:t>
            </w:r>
            <w:r w:rsidRPr="009F1FF7">
              <w:rPr>
                <w:sz w:val="16"/>
                <w:szCs w:val="16"/>
              </w:rPr>
              <w:t>CAS</w:t>
            </w:r>
            <w:r w:rsidR="00C527CD" w:rsidRPr="009F1FF7">
              <w:rPr>
                <w:sz w:val="16"/>
                <w:szCs w:val="16"/>
              </w:rPr>
              <w:t>.</w:t>
            </w:r>
            <w:r w:rsidR="003E4D63" w:rsidRPr="009F1FF7">
              <w:rPr>
                <w:sz w:val="16"/>
                <w:szCs w:val="16"/>
              </w:rPr>
              <w:t xml:space="preserve"> </w:t>
            </w:r>
          </w:p>
          <w:p w14:paraId="0ABABD31" w14:textId="6B8EAFC4" w:rsidR="00534785" w:rsidRPr="009F1FF7" w:rsidRDefault="00C2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F1FF7">
              <w:rPr>
                <w:sz w:val="16"/>
                <w:szCs w:val="16"/>
              </w:rPr>
              <w:t>(zrušení neplatných události na AIS webu, v t</w:t>
            </w:r>
            <w:r w:rsidRPr="009F1FF7">
              <w:rPr>
                <w:rFonts w:cs="Calibri"/>
                <w:sz w:val="16"/>
                <w:szCs w:val="16"/>
              </w:rPr>
              <w:t xml:space="preserve">ext pro AIS </w:t>
            </w:r>
            <w:r w:rsidRPr="009F1FF7">
              <w:rPr>
                <w:sz w:val="16"/>
                <w:szCs w:val="16"/>
              </w:rPr>
              <w:t xml:space="preserve">oprava km od-do, opravit druh omezení – km se uvádí chybně, není uvedeno kam se vystaví zpráva VHF, </w:t>
            </w:r>
            <w:r w:rsidRPr="009F1FF7">
              <w:rPr>
                <w:rFonts w:cs="Calibri"/>
                <w:sz w:val="16"/>
                <w:szCs w:val="16"/>
              </w:rPr>
              <w:t xml:space="preserve">jméno plavidla se objevuje pouze u některých, většinou jen MMSI, </w:t>
            </w:r>
          </w:p>
          <w:p w14:paraId="6DC9DEA5" w14:textId="04405259" w:rsidR="00C24CE1" w:rsidRPr="009F1FF7" w:rsidRDefault="00C2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6"/>
                <w:szCs w:val="16"/>
              </w:rPr>
            </w:pPr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u </w:t>
            </w:r>
            <w:r w:rsidRPr="009F1FF7">
              <w:rPr>
                <w:rFonts w:cs="Calibri"/>
                <w:sz w:val="16"/>
                <w:szCs w:val="16"/>
              </w:rPr>
              <w:t xml:space="preserve">lokalizace se zobrazuje AIS web měl by být zobrazen </w:t>
            </w:r>
            <w:hyperlink r:id="rId9" w:history="1">
              <w:r w:rsidR="009F1FF7" w:rsidRPr="009F1FF7">
                <w:rPr>
                  <w:rStyle w:val="Hypertextovodkaz"/>
                  <w:rFonts w:cs="Calibri"/>
                  <w:sz w:val="16"/>
                  <w:szCs w:val="16"/>
                </w:rPr>
                <w:t xml:space="preserve"> </w:t>
              </w:r>
              <w:r w:rsidRPr="009F1FF7">
                <w:rPr>
                  <w:rStyle w:val="Hypertextovodkaz"/>
                  <w:rFonts w:cs="Calibri"/>
                  <w:sz w:val="16"/>
                  <w:szCs w:val="16"/>
                </w:rPr>
                <w:t>ais.lavdis.cz</w:t>
              </w:r>
            </w:hyperlink>
            <w:r w:rsidRPr="009F1FF7">
              <w:rPr>
                <w:sz w:val="16"/>
                <w:szCs w:val="16"/>
              </w:rPr>
              <w:t>.</w:t>
            </w:r>
          </w:p>
          <w:p w14:paraId="6936A70C" w14:textId="1A76AC3B" w:rsidR="001C72DE" w:rsidRPr="00190EA0" w:rsidRDefault="001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 w:rsidRPr="001C72DE">
              <w:rPr>
                <w:rFonts w:cs="Georgia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cs="Georgia"/>
                <w:color w:val="000000"/>
                <w:sz w:val="24"/>
                <w:szCs w:val="24"/>
              </w:rPr>
              <w:t xml:space="preserve">                                                                                              ………………………………… </w:t>
            </w:r>
            <w:r w:rsidR="00057B4E">
              <w:rPr>
                <w:rFonts w:cs="Georgia"/>
                <w:b/>
                <w:bCs/>
                <w:color w:val="000000"/>
                <w:sz w:val="24"/>
                <w:szCs w:val="24"/>
              </w:rPr>
              <w:t>12</w:t>
            </w:r>
            <w:r w:rsidRPr="001C72DE">
              <w:rPr>
                <w:rFonts w:cs="Georgia"/>
                <w:b/>
                <w:bCs/>
                <w:color w:val="000000"/>
                <w:sz w:val="24"/>
                <w:szCs w:val="24"/>
              </w:rPr>
              <w:t>.</w:t>
            </w:r>
            <w:r w:rsidR="00057B4E">
              <w:rPr>
                <w:rFonts w:cs="Georgia"/>
                <w:b/>
                <w:bCs/>
                <w:color w:val="000000"/>
                <w:sz w:val="24"/>
                <w:szCs w:val="24"/>
              </w:rPr>
              <w:t>800</w:t>
            </w:r>
            <w:r w:rsidRPr="001C72DE">
              <w:rPr>
                <w:rFonts w:cs="Georgia"/>
                <w:b/>
                <w:bCs/>
                <w:color w:val="000000"/>
                <w:sz w:val="24"/>
                <w:szCs w:val="24"/>
              </w:rPr>
              <w:t xml:space="preserve"> EUR</w:t>
            </w:r>
          </w:p>
        </w:tc>
      </w:tr>
      <w:tr w:rsidR="0098229D" w:rsidRPr="000F53D1" w14:paraId="297EA611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52412D96" w14:textId="746F60AA" w:rsidR="00C63A6C" w:rsidRPr="00C24CE1" w:rsidRDefault="00720A8A" w:rsidP="00C24CE1">
            <w:pPr>
              <w:rPr>
                <w:b/>
                <w:bCs/>
              </w:rPr>
            </w:pPr>
            <w:r>
              <w:rPr>
                <w:b/>
                <w:bCs/>
              </w:rPr>
              <w:t>Plnění je pro nezbytné dokončení zajištění řádné funkce služeb implementovaných v rámci projektu RIS COMEX.</w:t>
            </w: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0D1D0955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04678B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04678B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04678B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04678B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04678B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623ED6" w:rsidRPr="0004678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623ED6" w:rsidRPr="0004678B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623ED6" w:rsidRPr="0004678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04678B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04678B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9C270F" w:rsidRPr="009C270F">
              <w:rPr>
                <w:rFonts w:cs="Arial"/>
                <w:color w:val="000000"/>
                <w:sz w:val="17"/>
                <w:szCs w:val="17"/>
              </w:rPr>
              <w:t>XXXXXXXXXXXXXX</w:t>
            </w:r>
            <w:r w:rsidR="006378B9" w:rsidRPr="0004678B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616167">
              <w:rPr>
                <w:rFonts w:cs="Arial"/>
                <w:color w:val="000000"/>
                <w:sz w:val="17"/>
                <w:szCs w:val="17"/>
              </w:rPr>
              <w:t>referent O</w:t>
            </w:r>
            <w:r w:rsidR="00081160">
              <w:rPr>
                <w:rFonts w:cs="Arial"/>
                <w:color w:val="000000"/>
                <w:sz w:val="17"/>
                <w:szCs w:val="17"/>
              </w:rPr>
              <w:t>RI</w:t>
            </w:r>
          </w:p>
          <w:p w14:paraId="42AB694D" w14:textId="1F3FEB55" w:rsidR="0098229D" w:rsidRPr="005051CD" w:rsidRDefault="00AF7E54" w:rsidP="0004678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>celkem</w:t>
            </w:r>
            <w:r w:rsidR="00DB2213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</w:t>
            </w:r>
            <w:r w:rsidR="00385797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</w:t>
            </w:r>
            <w:r w:rsidR="00057B4E">
              <w:rPr>
                <w:rFonts w:cs="Georgia"/>
                <w:b/>
                <w:color w:val="000000"/>
                <w:sz w:val="24"/>
                <w:szCs w:val="24"/>
              </w:rPr>
              <w:t>12</w:t>
            </w:r>
            <w:r w:rsidR="00F467FD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057B4E">
              <w:rPr>
                <w:rFonts w:cs="Georgia"/>
                <w:b/>
                <w:color w:val="000000"/>
                <w:sz w:val="24"/>
                <w:szCs w:val="24"/>
              </w:rPr>
              <w:t>800</w:t>
            </w:r>
            <w:r w:rsidR="00BF3FAE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CF335B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5051CD" w:rsidRPr="0029366C">
              <w:rPr>
                <w:rStyle w:val="fontstyle01"/>
                <w:b/>
                <w:bCs/>
              </w:rPr>
              <w:t>€</w:t>
            </w:r>
            <w:r w:rsidR="0029366C">
              <w:rPr>
                <w:rStyle w:val="fontstyle01"/>
              </w:rPr>
              <w:t xml:space="preserve"> </w:t>
            </w:r>
            <w:r w:rsidR="0029366C">
              <w:rPr>
                <w:rStyle w:val="fontstyle01"/>
                <w:b/>
                <w:bCs/>
              </w:rPr>
              <w:t xml:space="preserve">bez DPH, aplikován bude režim „Reverse </w:t>
            </w:r>
            <w:proofErr w:type="gramStart"/>
            <w:r w:rsidR="0029366C">
              <w:rPr>
                <w:rStyle w:val="fontstyle01"/>
                <w:b/>
                <w:bCs/>
              </w:rPr>
              <w:t>chargé„</w:t>
            </w:r>
            <w:proofErr w:type="gramEnd"/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77777777" w:rsidR="0098229D" w:rsidRPr="0004678B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4678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4678B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4678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4B18802C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</w:t>
            </w:r>
            <w:r w:rsidR="009173C5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do</w:t>
            </w: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7323581A" w14:textId="1D2D86B5" w:rsidR="0098229D" w:rsidRPr="00142CB2" w:rsidRDefault="00E07E8A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27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057B4E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5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04678B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057B4E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4E4ABD67" w:rsidR="0098229D" w:rsidRPr="000F53D1" w:rsidRDefault="0008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</w:t>
            </w:r>
            <w:r w:rsidR="0098229D"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4655E633" w14:textId="63076A11" w:rsidR="0098229D" w:rsidRPr="00142CB2" w:rsidRDefault="00081160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14</w:t>
            </w:r>
            <w:r w:rsidR="007F6D9E">
              <w:rPr>
                <w:rFonts w:cs="Georgia"/>
                <w:color w:val="000000"/>
                <w:sz w:val="21"/>
                <w:szCs w:val="21"/>
              </w:rPr>
              <w:t>.</w:t>
            </w:r>
            <w:r w:rsidR="00057B4E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7F6D9E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057B4E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534EEEDE" w14:textId="162EA8B9" w:rsidR="009F1FF7" w:rsidRPr="009F1FF7" w:rsidRDefault="00720A8A" w:rsidP="00C24CE1">
      <w:pPr>
        <w:rPr>
          <w:rFonts w:cs="Calibri"/>
          <w:b/>
          <w:bCs/>
        </w:rPr>
      </w:pPr>
      <w:r>
        <w:rPr>
          <w:b/>
          <w:bCs/>
        </w:rPr>
        <w:t xml:space="preserve">Plnění bude financováno z: SFDI vypořádání projektu RIS COMEX č. 5005510015, v případě neuskutečnění převodu prostředků do rozpočtu 2023 bude financováno z položky neinvestičních výdajů F1 „Provoz infrastruktury RIS“. </w:t>
      </w:r>
      <w:r w:rsidR="00386DE4" w:rsidRPr="00386DE4">
        <w:rPr>
          <w:rFonts w:cs="Calibri"/>
          <w:b/>
          <w:bCs/>
        </w:rPr>
        <w:t>Plnění není pro ekonomickou činnost ŘVC ČR</w:t>
      </w:r>
    </w:p>
    <w:p w14:paraId="05F40CF2" w14:textId="5F539F54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6ED88275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9C270F" w:rsidRPr="009C270F">
        <w:rPr>
          <w:b/>
          <w:bCs/>
        </w:rPr>
        <w:t>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621FE468" w14:textId="723B1EFC" w:rsidR="0004678B" w:rsidRDefault="00670F35" w:rsidP="00720A8A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BE1160">
        <w:rPr>
          <w:b/>
          <w:bCs/>
        </w:rPr>
        <w:t>RI</w:t>
      </w:r>
      <w:r>
        <w:rPr>
          <w:b/>
          <w:bCs/>
        </w:rPr>
        <w:tab/>
        <w:t>ředitel ŘVC ČR</w:t>
      </w:r>
    </w:p>
    <w:p w14:paraId="68C83C3C" w14:textId="70BA5C24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48A8506D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9C270F" w:rsidRPr="009C270F">
        <w:rPr>
          <w:b/>
          <w:bCs/>
        </w:rPr>
        <w:t>XXXXXXXXXXXXXX</w:t>
      </w:r>
    </w:p>
    <w:p w14:paraId="4A828FF1" w14:textId="35CA77A4" w:rsidR="00FE2A0D" w:rsidRDefault="00670F35" w:rsidP="00057B4E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4416D469" w14:textId="77777777" w:rsidR="00C40303" w:rsidRDefault="00C40303" w:rsidP="00C40303">
      <w:pPr>
        <w:spacing w:after="0"/>
      </w:pPr>
    </w:p>
    <w:p w14:paraId="4FA1D838" w14:textId="364F2D27" w:rsidR="00C40303" w:rsidRDefault="00816AA2" w:rsidP="00C40303">
      <w:pPr>
        <w:spacing w:after="0"/>
      </w:pPr>
      <w:r w:rsidRPr="00816AA2">
        <w:t>Za dodavatele převzal a akceptuje:</w:t>
      </w:r>
    </w:p>
    <w:p w14:paraId="73CFFFF9" w14:textId="7480B26D" w:rsidR="00C24CE1" w:rsidRDefault="00816AA2" w:rsidP="009F1FF7">
      <w:pPr>
        <w:spacing w:after="0"/>
      </w:pPr>
      <w:r w:rsidRPr="00816AA2">
        <w:t>Dne:</w:t>
      </w:r>
      <w:r w:rsidR="00C40303" w:rsidRPr="00C40303">
        <w:t xml:space="preserve"> </w:t>
      </w:r>
    </w:p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534785" w14:paraId="527D136A" w14:textId="77777777" w:rsidTr="009E6B70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84089E6" w14:textId="6FDC5C5B" w:rsidR="00534785" w:rsidRPr="00E34032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cs="Georgia"/>
                <w:b/>
                <w:bCs/>
                <w:color w:val="000000"/>
                <w:sz w:val="43"/>
                <w:szCs w:val="43"/>
              </w:rPr>
              <w:lastRenderedPageBreak/>
              <w:t>Order</w:t>
            </w:r>
            <w:proofErr w:type="spellEnd"/>
            <w:r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color w:val="000000"/>
                <w:sz w:val="43"/>
                <w:szCs w:val="43"/>
              </w:rPr>
              <w:t>Nr</w:t>
            </w:r>
            <w:proofErr w:type="spellEnd"/>
            <w:r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. </w:t>
            </w:r>
            <w:r w:rsidR="00081160">
              <w:rPr>
                <w:rFonts w:cs="Georgia"/>
                <w:b/>
                <w:bCs/>
                <w:color w:val="000000"/>
                <w:sz w:val="43"/>
                <w:szCs w:val="43"/>
              </w:rPr>
              <w:t>12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>
              <w:rPr>
                <w:rFonts w:cs="Georgia"/>
                <w:b/>
                <w:bCs/>
                <w:color w:val="000000"/>
                <w:sz w:val="43"/>
                <w:szCs w:val="43"/>
              </w:rPr>
              <w:t>2022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2EF6F0B5" w14:textId="77777777" w:rsidR="00534785" w:rsidRPr="00B4150D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1DF7541C" wp14:editId="34626C0C">
                  <wp:extent cx="895350" cy="581025"/>
                  <wp:effectExtent l="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785" w:rsidRPr="00E24129" w14:paraId="4CD9C5E1" w14:textId="77777777" w:rsidTr="009E6B70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235EA42C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0CCFD96" w14:textId="77777777" w:rsidR="00534785" w:rsidRPr="008D459D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8D459D">
              <w:rPr>
                <w:rFonts w:cs="Georgia"/>
                <w:b/>
                <w:bCs/>
                <w:color w:val="000000"/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3290F8D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69466691" w14:textId="77777777" w:rsidR="00534785" w:rsidRPr="00C453E8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453E8">
              <w:rPr>
                <w:rFonts w:asciiTheme="minorHAnsi" w:hAnsiTheme="minorHAnsi" w:cstheme="minorHAnsi"/>
                <w:b/>
                <w:bCs/>
                <w:color w:val="000000"/>
              </w:rPr>
              <w:t>RGO COMMUNICATIONS Ltd.</w:t>
            </w:r>
          </w:p>
        </w:tc>
      </w:tr>
      <w:tr w:rsidR="00534785" w:rsidRPr="00E24129" w14:paraId="4C73B50C" w14:textId="77777777" w:rsidTr="009E6B70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9893695" w14:textId="77777777" w:rsidR="00534785" w:rsidRPr="00566F6C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D6E7" w14:textId="77777777" w:rsidR="00534785" w:rsidRPr="00EF5B87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14E467E3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9722EA2" w14:textId="77777777" w:rsidR="00534785" w:rsidRPr="00C63A6C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Palinovečka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ul. 19/J</w:t>
            </w:r>
            <w:r w:rsidRPr="00C63A6C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                                       </w:t>
            </w:r>
          </w:p>
        </w:tc>
      </w:tr>
      <w:tr w:rsidR="00534785" w:rsidRPr="00E24129" w14:paraId="183659E1" w14:textId="77777777" w:rsidTr="009E6B70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DF5700B" w14:textId="77777777" w:rsidR="00534785" w:rsidRPr="00EF5B87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811F1" w14:textId="77777777" w:rsidR="00534785" w:rsidRPr="00EF5B87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B350A04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CCE0F86" w14:textId="77777777" w:rsidR="00534785" w:rsidRPr="00C63A6C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HR 10000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Zageb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CROATIA</w:t>
            </w:r>
          </w:p>
        </w:tc>
      </w:tr>
      <w:tr w:rsidR="00534785" w:rsidRPr="00E24129" w14:paraId="5A3FAA91" w14:textId="77777777" w:rsidTr="009E6B70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822CA2D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1E73" w14:textId="77777777" w:rsidR="00534785" w:rsidRPr="00BC6B0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7A41698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037F84" w14:textId="77777777" w:rsidR="00534785" w:rsidRPr="00DB2213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b/>
                <w:bCs/>
                <w:noProof/>
                <w:spacing w:val="5"/>
              </w:rPr>
              <w:t>25484249</w:t>
            </w:r>
          </w:p>
        </w:tc>
      </w:tr>
      <w:tr w:rsidR="00534785" w:rsidRPr="00E24129" w14:paraId="1014BFB0" w14:textId="77777777" w:rsidTr="009E6B70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77F5EAE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2987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20260499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D8B3247" w14:textId="77777777" w:rsidR="00534785" w:rsidRPr="00281342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81342">
              <w:rPr>
                <w:rFonts w:cs="Calibri"/>
                <w:b/>
                <w:bCs/>
                <w:color w:val="000000"/>
              </w:rPr>
              <w:t>HR51551401153</w:t>
            </w:r>
          </w:p>
        </w:tc>
      </w:tr>
      <w:tr w:rsidR="00534785" w:rsidRPr="00E24129" w14:paraId="45EC02F3" w14:textId="77777777" w:rsidTr="009E6B70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70A7A03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78BF9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2EC1A2DB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5916567" w14:textId="77777777" w:rsidR="00534785" w:rsidRPr="00C63A6C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534785" w:rsidRPr="00E24129" w14:paraId="0DCD6D42" w14:textId="77777777" w:rsidTr="009E6B70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A39F8A6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4C002" w14:textId="577678D1" w:rsidR="00534785" w:rsidRPr="00AF7E54" w:rsidRDefault="009C270F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70668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1CDC362" w14:textId="0C0C888D" w:rsidR="00534785" w:rsidRPr="00281342" w:rsidRDefault="009C270F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534785" w:rsidRPr="00E24129" w14:paraId="116DEA9F" w14:textId="77777777" w:rsidTr="009E6B70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CE52A9C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06DE7" w14:textId="233A8D4F" w:rsidR="00534785" w:rsidRPr="00AF7E54" w:rsidRDefault="009C270F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4F87C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IBAN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2DD5E0D" w14:textId="53E67E12" w:rsidR="00534785" w:rsidRPr="005051CD" w:rsidRDefault="009C270F" w:rsidP="009E6B70">
            <w:pPr>
              <w:spacing w:after="0" w:line="240" w:lineRule="auto"/>
              <w:rPr>
                <w:rFonts w:cs="Calibri"/>
                <w:color w:val="363435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534785" w:rsidRPr="00E24129" w14:paraId="31CF903C" w14:textId="77777777" w:rsidTr="009E6B70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0CE9DB1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47786" w14:textId="22829F5F" w:rsidR="00534785" w:rsidRPr="00AF7E54" w:rsidRDefault="009C270F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A42EB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3161925" w14:textId="40D0A485" w:rsidR="00534785" w:rsidRPr="00281342" w:rsidRDefault="009C270F" w:rsidP="009E6B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534785" w:rsidRPr="00E24129" w14:paraId="1DAA158C" w14:textId="77777777" w:rsidTr="009E6B70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2DD27F1" w14:textId="77777777" w:rsidR="00534785" w:rsidRPr="00D67FF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1E95E" w14:textId="03CEDD70" w:rsidR="00534785" w:rsidRPr="000563D1" w:rsidRDefault="009C270F" w:rsidP="009C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2AA6B" w14:textId="77777777" w:rsidR="00534785" w:rsidRPr="00AF7E54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800B19A" w14:textId="2CD378B0" w:rsidR="00534785" w:rsidRPr="00C63A6C" w:rsidRDefault="009C270F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534785" w:rsidRPr="00E24129" w14:paraId="60F0B4C0" w14:textId="77777777" w:rsidTr="009E6B70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210962F8" w14:textId="77777777" w:rsidR="00534785" w:rsidRPr="00816AA2" w:rsidRDefault="00534785" w:rsidP="009E6B70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  <w:r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 xml:space="preserve">. 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0268609" w14:textId="77777777" w:rsidR="00534785" w:rsidRPr="00816AA2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0D530D69" w14:textId="77777777" w:rsidR="00534785" w:rsidRPr="00E34032" w:rsidRDefault="00534785" w:rsidP="005347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534785" w:rsidRPr="00E24129" w14:paraId="2611B724" w14:textId="77777777" w:rsidTr="009E6B70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2681F048" w14:textId="10CE29F7" w:rsidR="00534785" w:rsidRPr="009F1FF7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Georgia"/>
                <w:b/>
                <w:bCs/>
                <w:color w:val="000000"/>
                <w:sz w:val="24"/>
                <w:szCs w:val="24"/>
              </w:rPr>
              <w:t>We</w:t>
            </w:r>
            <w:proofErr w:type="spellEnd"/>
            <w:r>
              <w:rPr>
                <w:rFonts w:cs="Georg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color w:val="000000"/>
                <w:sz w:val="24"/>
                <w:szCs w:val="24"/>
              </w:rPr>
              <w:t>order</w:t>
            </w:r>
            <w:proofErr w:type="spellEnd"/>
            <w:r>
              <w:rPr>
                <w:rFonts w:cs="Georg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color w:val="000000"/>
                <w:sz w:val="24"/>
                <w:szCs w:val="24"/>
              </w:rPr>
              <w:t>from</w:t>
            </w:r>
            <w:proofErr w:type="spellEnd"/>
            <w:r>
              <w:rPr>
                <w:rFonts w:cs="Georg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color w:val="000000"/>
                <w:sz w:val="24"/>
                <w:szCs w:val="24"/>
              </w:rPr>
              <w:t>you</w:t>
            </w:r>
            <w:proofErr w:type="spellEnd"/>
            <w:r w:rsidRPr="00F467FD">
              <w:rPr>
                <w:rFonts w:cs="Georgia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670EF63" w14:textId="3653D96E" w:rsidR="00534785" w:rsidRPr="009F1FF7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F1FF7">
              <w:rPr>
                <w:sz w:val="16"/>
                <w:szCs w:val="16"/>
              </w:rPr>
              <w:t>Updating</w:t>
            </w:r>
            <w:proofErr w:type="spellEnd"/>
            <w:r w:rsidRPr="009F1FF7">
              <w:rPr>
                <w:sz w:val="16"/>
                <w:szCs w:val="16"/>
              </w:rPr>
              <w:t xml:space="preserve"> AIS WEB </w:t>
            </w:r>
            <w:proofErr w:type="spellStart"/>
            <w:r w:rsidRPr="009F1FF7">
              <w:rPr>
                <w:sz w:val="16"/>
                <w:szCs w:val="16"/>
              </w:rPr>
              <w:t>application</w:t>
            </w:r>
            <w:proofErr w:type="spellEnd"/>
            <w:r w:rsidRPr="009F1FF7">
              <w:rPr>
                <w:sz w:val="16"/>
                <w:szCs w:val="16"/>
              </w:rPr>
              <w:t xml:space="preserve"> to display </w:t>
            </w:r>
            <w:proofErr w:type="spellStart"/>
            <w:r w:rsidRPr="009F1FF7">
              <w:rPr>
                <w:sz w:val="16"/>
                <w:szCs w:val="16"/>
              </w:rPr>
              <w:t>additional</w:t>
            </w:r>
            <w:proofErr w:type="spellEnd"/>
            <w:r w:rsidRPr="009F1FF7">
              <w:rPr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sz w:val="16"/>
                <w:szCs w:val="16"/>
              </w:rPr>
              <w:t>information</w:t>
            </w:r>
            <w:proofErr w:type="spellEnd"/>
            <w:r w:rsidRPr="009F1FF7">
              <w:rPr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sz w:val="16"/>
                <w:szCs w:val="16"/>
              </w:rPr>
              <w:t>now</w:t>
            </w:r>
            <w:proofErr w:type="spellEnd"/>
            <w:r w:rsidRPr="009F1FF7">
              <w:rPr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sz w:val="16"/>
                <w:szCs w:val="16"/>
              </w:rPr>
              <w:t>available</w:t>
            </w:r>
            <w:proofErr w:type="spellEnd"/>
            <w:r w:rsidRPr="009F1FF7">
              <w:rPr>
                <w:sz w:val="16"/>
                <w:szCs w:val="16"/>
              </w:rPr>
              <w:t xml:space="preserve"> in CAS </w:t>
            </w:r>
          </w:p>
          <w:p w14:paraId="6F89A713" w14:textId="77777777" w:rsidR="009F1FF7" w:rsidRPr="009F1FF7" w:rsidRDefault="009F1FF7" w:rsidP="009F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6"/>
                <w:szCs w:val="16"/>
              </w:rPr>
            </w:pP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Updating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the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AIS web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application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to show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additional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information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now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available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in CAS.</w:t>
            </w:r>
          </w:p>
          <w:p w14:paraId="0EDB6D7B" w14:textId="77777777" w:rsidR="009F1FF7" w:rsidRPr="009F1FF7" w:rsidRDefault="009F1FF7" w:rsidP="009F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6"/>
                <w:szCs w:val="16"/>
              </w:rPr>
            </w:pPr>
            <w:r w:rsidRPr="009F1FF7">
              <w:rPr>
                <w:rFonts w:cs="Georgia"/>
                <w:color w:val="000000"/>
                <w:sz w:val="16"/>
                <w:szCs w:val="16"/>
              </w:rPr>
              <w:t>(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cancellation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of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invalid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events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on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the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AIS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website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, in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the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text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for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AIS,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correction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of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km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from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-to,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correction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of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the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type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of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limitation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– km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is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indicated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incorrectly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it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is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not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indicated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where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the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VHF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message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is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issued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the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name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of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the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vessel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appears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only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for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some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mostly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only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MMSI,</w:t>
            </w:r>
          </w:p>
          <w:p w14:paraId="2EBAB7AC" w14:textId="1303B89D" w:rsidR="00534785" w:rsidRPr="009F1FF7" w:rsidRDefault="009F1FF7" w:rsidP="009F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6"/>
                <w:szCs w:val="16"/>
              </w:rPr>
            </w:pPr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AIS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website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is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displayed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for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localization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, ais.lavdis.cz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should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be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FF7">
              <w:rPr>
                <w:rFonts w:cs="Georgia"/>
                <w:color w:val="000000"/>
                <w:sz w:val="16"/>
                <w:szCs w:val="16"/>
              </w:rPr>
              <w:t>displayed</w:t>
            </w:r>
            <w:proofErr w:type="spellEnd"/>
            <w:r w:rsidRPr="009F1FF7">
              <w:rPr>
                <w:rFonts w:cs="Georgia"/>
                <w:color w:val="000000"/>
                <w:sz w:val="16"/>
                <w:szCs w:val="16"/>
              </w:rPr>
              <w:t>.)</w:t>
            </w:r>
          </w:p>
          <w:p w14:paraId="659C9443" w14:textId="77777777" w:rsidR="00534785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4"/>
                <w:szCs w:val="24"/>
              </w:rPr>
            </w:pPr>
            <w:r w:rsidRPr="001C72DE">
              <w:rPr>
                <w:rFonts w:cs="Georgia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cs="Georgia"/>
                <w:color w:val="000000"/>
                <w:sz w:val="24"/>
                <w:szCs w:val="24"/>
              </w:rPr>
              <w:t xml:space="preserve">                                                                                              ………………………………… </w:t>
            </w:r>
            <w:r>
              <w:rPr>
                <w:rFonts w:cs="Georgia"/>
                <w:b/>
                <w:bCs/>
                <w:color w:val="000000"/>
                <w:sz w:val="24"/>
                <w:szCs w:val="24"/>
              </w:rPr>
              <w:t>12</w:t>
            </w:r>
            <w:r w:rsidRPr="001C72DE">
              <w:rPr>
                <w:rFonts w:cs="Georgia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cs="Georgia"/>
                <w:b/>
                <w:bCs/>
                <w:color w:val="000000"/>
                <w:sz w:val="24"/>
                <w:szCs w:val="24"/>
              </w:rPr>
              <w:t>800</w:t>
            </w:r>
            <w:r w:rsidRPr="001C72DE">
              <w:rPr>
                <w:rFonts w:cs="Georgia"/>
                <w:b/>
                <w:bCs/>
                <w:color w:val="000000"/>
                <w:sz w:val="24"/>
                <w:szCs w:val="24"/>
              </w:rPr>
              <w:t xml:space="preserve"> EUR</w:t>
            </w:r>
          </w:p>
          <w:p w14:paraId="42F0AC60" w14:textId="45DB479E" w:rsidR="00534785" w:rsidRPr="00190EA0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</w:p>
        </w:tc>
      </w:tr>
      <w:tr w:rsidR="00534785" w:rsidRPr="000F53D1" w14:paraId="26DFFFDB" w14:textId="77777777" w:rsidTr="009E6B70">
        <w:trPr>
          <w:cantSplit/>
          <w:trHeight w:val="629"/>
        </w:trPr>
        <w:tc>
          <w:tcPr>
            <w:tcW w:w="10495" w:type="dxa"/>
            <w:gridSpan w:val="2"/>
            <w:vAlign w:val="bottom"/>
          </w:tcPr>
          <w:p w14:paraId="10ABB8DF" w14:textId="771872BC" w:rsidR="00534785" w:rsidRPr="00720A8A" w:rsidRDefault="00720A8A" w:rsidP="009E6B70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20A8A">
              <w:rPr>
                <w:b/>
                <w:bCs/>
              </w:rPr>
              <w:t>Fulfillment</w:t>
            </w:r>
            <w:proofErr w:type="spellEnd"/>
            <w:r w:rsidRPr="00720A8A">
              <w:rPr>
                <w:b/>
                <w:bCs/>
              </w:rPr>
              <w:t xml:space="preserve"> </w:t>
            </w:r>
            <w:proofErr w:type="spellStart"/>
            <w:r w:rsidRPr="00720A8A">
              <w:rPr>
                <w:b/>
                <w:bCs/>
              </w:rPr>
              <w:t>is</w:t>
            </w:r>
            <w:proofErr w:type="spellEnd"/>
            <w:r w:rsidRPr="00720A8A">
              <w:rPr>
                <w:b/>
                <w:bCs/>
              </w:rPr>
              <w:t xml:space="preserve"> </w:t>
            </w:r>
            <w:proofErr w:type="spellStart"/>
            <w:r w:rsidRPr="00720A8A">
              <w:rPr>
                <w:b/>
                <w:bCs/>
              </w:rPr>
              <w:t>for</w:t>
            </w:r>
            <w:proofErr w:type="spellEnd"/>
            <w:r w:rsidRPr="00720A8A">
              <w:rPr>
                <w:b/>
                <w:bCs/>
              </w:rPr>
              <w:t xml:space="preserve"> </w:t>
            </w:r>
            <w:proofErr w:type="spellStart"/>
            <w:r w:rsidRPr="00720A8A">
              <w:rPr>
                <w:b/>
                <w:bCs/>
              </w:rPr>
              <w:t>the</w:t>
            </w:r>
            <w:proofErr w:type="spellEnd"/>
            <w:r w:rsidRPr="00720A8A">
              <w:rPr>
                <w:b/>
                <w:bCs/>
              </w:rPr>
              <w:t xml:space="preserve"> </w:t>
            </w:r>
            <w:proofErr w:type="spellStart"/>
            <w:r w:rsidRPr="00720A8A">
              <w:rPr>
                <w:b/>
                <w:bCs/>
              </w:rPr>
              <w:t>necessary</w:t>
            </w:r>
            <w:proofErr w:type="spellEnd"/>
            <w:r w:rsidRPr="00720A8A">
              <w:rPr>
                <w:b/>
                <w:bCs/>
              </w:rPr>
              <w:t xml:space="preserve"> </w:t>
            </w:r>
            <w:proofErr w:type="spellStart"/>
            <w:r w:rsidRPr="00720A8A">
              <w:rPr>
                <w:b/>
                <w:bCs/>
              </w:rPr>
              <w:t>completion</w:t>
            </w:r>
            <w:proofErr w:type="spellEnd"/>
            <w:r w:rsidRPr="00720A8A">
              <w:rPr>
                <w:b/>
                <w:bCs/>
              </w:rPr>
              <w:t xml:space="preserve"> </w:t>
            </w:r>
            <w:proofErr w:type="spellStart"/>
            <w:r w:rsidRPr="00720A8A">
              <w:rPr>
                <w:b/>
                <w:bCs/>
              </w:rPr>
              <w:t>of</w:t>
            </w:r>
            <w:proofErr w:type="spellEnd"/>
            <w:r w:rsidRPr="00720A8A">
              <w:rPr>
                <w:b/>
                <w:bCs/>
              </w:rPr>
              <w:t xml:space="preserve"> </w:t>
            </w:r>
            <w:proofErr w:type="spellStart"/>
            <w:r w:rsidRPr="00720A8A">
              <w:rPr>
                <w:b/>
                <w:bCs/>
              </w:rPr>
              <w:t>ensuring</w:t>
            </w:r>
            <w:proofErr w:type="spellEnd"/>
            <w:r w:rsidRPr="00720A8A">
              <w:rPr>
                <w:b/>
                <w:bCs/>
              </w:rPr>
              <w:t xml:space="preserve"> </w:t>
            </w:r>
            <w:proofErr w:type="spellStart"/>
            <w:r w:rsidRPr="00720A8A">
              <w:rPr>
                <w:b/>
                <w:bCs/>
              </w:rPr>
              <w:t>the</w:t>
            </w:r>
            <w:proofErr w:type="spellEnd"/>
            <w:r w:rsidRPr="00720A8A">
              <w:rPr>
                <w:b/>
                <w:bCs/>
              </w:rPr>
              <w:t xml:space="preserve"> proper </w:t>
            </w:r>
            <w:proofErr w:type="spellStart"/>
            <w:r w:rsidRPr="00720A8A">
              <w:rPr>
                <w:b/>
                <w:bCs/>
              </w:rPr>
              <w:t>functioning</w:t>
            </w:r>
            <w:proofErr w:type="spellEnd"/>
            <w:r w:rsidRPr="00720A8A">
              <w:rPr>
                <w:b/>
                <w:bCs/>
              </w:rPr>
              <w:t xml:space="preserve"> </w:t>
            </w:r>
            <w:proofErr w:type="spellStart"/>
            <w:r w:rsidRPr="00720A8A">
              <w:rPr>
                <w:b/>
                <w:bCs/>
              </w:rPr>
              <w:t>of</w:t>
            </w:r>
            <w:proofErr w:type="spellEnd"/>
            <w:r w:rsidRPr="00720A8A">
              <w:rPr>
                <w:b/>
                <w:bCs/>
              </w:rPr>
              <w:t xml:space="preserve"> </w:t>
            </w:r>
            <w:proofErr w:type="spellStart"/>
            <w:r w:rsidRPr="00720A8A">
              <w:rPr>
                <w:b/>
                <w:bCs/>
              </w:rPr>
              <w:t>the</w:t>
            </w:r>
            <w:proofErr w:type="spellEnd"/>
            <w:r w:rsidRPr="00720A8A">
              <w:rPr>
                <w:b/>
                <w:bCs/>
              </w:rPr>
              <w:t xml:space="preserve"> </w:t>
            </w:r>
            <w:proofErr w:type="spellStart"/>
            <w:r w:rsidRPr="00720A8A">
              <w:rPr>
                <w:b/>
                <w:bCs/>
              </w:rPr>
              <w:t>services</w:t>
            </w:r>
            <w:proofErr w:type="spellEnd"/>
            <w:r w:rsidRPr="00720A8A">
              <w:rPr>
                <w:b/>
                <w:bCs/>
              </w:rPr>
              <w:t xml:space="preserve"> </w:t>
            </w:r>
            <w:proofErr w:type="spellStart"/>
            <w:r w:rsidRPr="00720A8A">
              <w:rPr>
                <w:b/>
                <w:bCs/>
              </w:rPr>
              <w:t>implemented</w:t>
            </w:r>
            <w:proofErr w:type="spellEnd"/>
            <w:r w:rsidRPr="00720A8A">
              <w:rPr>
                <w:b/>
                <w:bCs/>
              </w:rPr>
              <w:t xml:space="preserve"> </w:t>
            </w:r>
            <w:proofErr w:type="spellStart"/>
            <w:r w:rsidRPr="00720A8A">
              <w:rPr>
                <w:b/>
                <w:bCs/>
              </w:rPr>
              <w:t>within</w:t>
            </w:r>
            <w:proofErr w:type="spellEnd"/>
            <w:r w:rsidRPr="00720A8A">
              <w:rPr>
                <w:b/>
                <w:bCs/>
              </w:rPr>
              <w:t xml:space="preserve"> </w:t>
            </w:r>
            <w:proofErr w:type="spellStart"/>
            <w:r w:rsidRPr="00720A8A">
              <w:rPr>
                <w:b/>
                <w:bCs/>
              </w:rPr>
              <w:t>the</w:t>
            </w:r>
            <w:proofErr w:type="spellEnd"/>
            <w:r w:rsidRPr="00720A8A">
              <w:rPr>
                <w:b/>
                <w:bCs/>
              </w:rPr>
              <w:t xml:space="preserve"> framework </w:t>
            </w:r>
            <w:proofErr w:type="spellStart"/>
            <w:r w:rsidRPr="00720A8A">
              <w:rPr>
                <w:b/>
                <w:bCs/>
              </w:rPr>
              <w:t>of</w:t>
            </w:r>
            <w:proofErr w:type="spellEnd"/>
            <w:r w:rsidRPr="00720A8A">
              <w:rPr>
                <w:b/>
                <w:bCs/>
              </w:rPr>
              <w:t xml:space="preserve"> </w:t>
            </w:r>
            <w:proofErr w:type="spellStart"/>
            <w:r w:rsidRPr="00720A8A">
              <w:rPr>
                <w:b/>
                <w:bCs/>
              </w:rPr>
              <w:t>the</w:t>
            </w:r>
            <w:proofErr w:type="spellEnd"/>
            <w:r w:rsidRPr="00720A8A">
              <w:rPr>
                <w:b/>
                <w:bCs/>
              </w:rPr>
              <w:t xml:space="preserve"> RIS COMEX </w:t>
            </w:r>
            <w:proofErr w:type="spellStart"/>
            <w:r w:rsidRPr="00720A8A">
              <w:rPr>
                <w:b/>
                <w:bCs/>
              </w:rPr>
              <w:t>project</w:t>
            </w:r>
            <w:proofErr w:type="spellEnd"/>
          </w:p>
        </w:tc>
      </w:tr>
      <w:tr w:rsidR="00534785" w:rsidRPr="000F53D1" w14:paraId="3268DD8A" w14:textId="77777777" w:rsidTr="009E6B70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673AEA" w14:textId="6743AB1A" w:rsidR="00534785" w:rsidRPr="000F53D1" w:rsidRDefault="00534785" w:rsidP="009E6B70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supplier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is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entitled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to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issue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a tax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document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only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on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basis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handover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protocol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agreed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and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signed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by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authorised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person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customer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>.</w:t>
            </w:r>
            <w:r w:rsidRPr="0004678B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customer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authorised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peson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to také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over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tho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subject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fulfillmet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this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order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is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9C270F" w:rsidRPr="009C270F">
              <w:rPr>
                <w:rFonts w:cs="Arial"/>
                <w:color w:val="000000"/>
                <w:sz w:val="17"/>
                <w:szCs w:val="17"/>
              </w:rPr>
              <w:t>XXXXXXXXXXXXXX</w:t>
            </w:r>
            <w:r w:rsidRPr="0004678B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>
              <w:rPr>
                <w:rFonts w:cs="Arial"/>
                <w:color w:val="000000"/>
                <w:sz w:val="17"/>
                <w:szCs w:val="17"/>
              </w:rPr>
              <w:t>referent O</w:t>
            </w:r>
            <w:r w:rsidR="00081160">
              <w:rPr>
                <w:rFonts w:cs="Arial"/>
                <w:color w:val="000000"/>
                <w:sz w:val="17"/>
                <w:szCs w:val="17"/>
              </w:rPr>
              <w:t>RI</w:t>
            </w:r>
          </w:p>
          <w:p w14:paraId="654C1259" w14:textId="77777777" w:rsidR="00534785" w:rsidRPr="005051CD" w:rsidRDefault="00534785" w:rsidP="009E6B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proofErr w:type="spellStart"/>
            <w:r w:rsidRPr="000D39F8">
              <w:rPr>
                <w:rFonts w:cs="Georgia"/>
                <w:b/>
                <w:color w:val="000000"/>
                <w:sz w:val="24"/>
                <w:szCs w:val="24"/>
              </w:rPr>
              <w:t>The</w:t>
            </w:r>
            <w:proofErr w:type="spellEnd"/>
            <w:r w:rsidRPr="000D39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39F8">
              <w:rPr>
                <w:rFonts w:cs="Georgia"/>
                <w:b/>
                <w:color w:val="000000"/>
                <w:sz w:val="24"/>
                <w:szCs w:val="24"/>
              </w:rPr>
              <w:t>estimated</w:t>
            </w:r>
            <w:proofErr w:type="spellEnd"/>
            <w:r w:rsidRPr="000D39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39F8">
              <w:rPr>
                <w:rFonts w:cs="Georgia"/>
                <w:b/>
                <w:color w:val="000000"/>
                <w:sz w:val="24"/>
                <w:szCs w:val="24"/>
              </w:rPr>
              <w:t>total</w:t>
            </w:r>
            <w:proofErr w:type="spellEnd"/>
            <w:r w:rsidRPr="000D39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39F8">
              <w:rPr>
                <w:rFonts w:cs="Georgia"/>
                <w:b/>
                <w:color w:val="000000"/>
                <w:sz w:val="24"/>
                <w:szCs w:val="24"/>
              </w:rPr>
              <w:t>price</w:t>
            </w:r>
            <w:proofErr w:type="spellEnd"/>
            <w:r w:rsidRPr="000D39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39F8">
              <w:rPr>
                <w:rFonts w:cs="Georgia"/>
                <w:b/>
                <w:color w:val="000000"/>
                <w:sz w:val="24"/>
                <w:szCs w:val="24"/>
              </w:rPr>
              <w:t>is</w:t>
            </w:r>
            <w:proofErr w:type="spellEnd"/>
            <w:r w:rsidRPr="000D39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12.800,00 </w:t>
            </w:r>
            <w:r w:rsidRPr="0029366C">
              <w:rPr>
                <w:rStyle w:val="fontstyle01"/>
                <w:b/>
                <w:bCs/>
              </w:rPr>
              <w:t>€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  <w:b/>
                <w:bCs/>
              </w:rPr>
              <w:t xml:space="preserve">bez DPH, </w:t>
            </w:r>
            <w:r w:rsidRPr="000D39F8">
              <w:rPr>
                <w:rStyle w:val="fontstyle01"/>
                <w:b/>
                <w:bCs/>
              </w:rPr>
              <w:t xml:space="preserve">mode </w:t>
            </w:r>
            <w:proofErr w:type="spellStart"/>
            <w:r w:rsidRPr="000D39F8">
              <w:rPr>
                <w:rStyle w:val="fontstyle01"/>
                <w:b/>
                <w:bCs/>
              </w:rPr>
              <w:t>will</w:t>
            </w:r>
            <w:proofErr w:type="spellEnd"/>
            <w:r w:rsidRPr="000D39F8">
              <w:rPr>
                <w:rStyle w:val="fontstyle01"/>
                <w:b/>
                <w:bCs/>
              </w:rPr>
              <w:t xml:space="preserve"> </w:t>
            </w:r>
            <w:proofErr w:type="spellStart"/>
            <w:r w:rsidRPr="000D39F8">
              <w:rPr>
                <w:rStyle w:val="fontstyle01"/>
                <w:b/>
                <w:bCs/>
              </w:rPr>
              <w:t>be</w:t>
            </w:r>
            <w:proofErr w:type="spellEnd"/>
            <w:r w:rsidRPr="000D39F8">
              <w:rPr>
                <w:rStyle w:val="fontstyle01"/>
                <w:b/>
                <w:bCs/>
              </w:rPr>
              <w:t xml:space="preserve"> </w:t>
            </w:r>
            <w:proofErr w:type="spellStart"/>
            <w:proofErr w:type="gramStart"/>
            <w:r w:rsidRPr="000D39F8">
              <w:rPr>
                <w:rStyle w:val="fontstyle01"/>
                <w:b/>
                <w:bCs/>
              </w:rPr>
              <w:t>applied</w:t>
            </w:r>
            <w:proofErr w:type="spellEnd"/>
            <w:r w:rsidRPr="000D39F8">
              <w:rPr>
                <w:rStyle w:val="fontstyle01"/>
                <w:b/>
                <w:bCs/>
              </w:rPr>
              <w:t xml:space="preserve">  </w:t>
            </w:r>
            <w:r>
              <w:rPr>
                <w:rStyle w:val="fontstyle01"/>
                <w:b/>
                <w:bCs/>
              </w:rPr>
              <w:t>„</w:t>
            </w:r>
            <w:proofErr w:type="gramEnd"/>
            <w:r>
              <w:rPr>
                <w:rStyle w:val="fontstyle01"/>
                <w:b/>
                <w:bCs/>
              </w:rPr>
              <w:t xml:space="preserve">Reverse </w:t>
            </w:r>
            <w:proofErr w:type="spellStart"/>
            <w:r>
              <w:rPr>
                <w:rStyle w:val="fontstyle01"/>
                <w:b/>
                <w:bCs/>
              </w:rPr>
              <w:t>charge</w:t>
            </w:r>
            <w:proofErr w:type="spellEnd"/>
            <w:r>
              <w:rPr>
                <w:rStyle w:val="fontstyle01"/>
                <w:b/>
                <w:bCs/>
              </w:rPr>
              <w:t>„</w:t>
            </w:r>
          </w:p>
        </w:tc>
      </w:tr>
      <w:tr w:rsidR="00534785" w:rsidRPr="000F53D1" w14:paraId="3AA31E3E" w14:textId="77777777" w:rsidTr="009E6B70">
        <w:trPr>
          <w:cantSplit/>
          <w:trHeight w:val="256"/>
        </w:trPr>
        <w:tc>
          <w:tcPr>
            <w:tcW w:w="2413" w:type="dxa"/>
          </w:tcPr>
          <w:p w14:paraId="7C07BE9C" w14:textId="77777777" w:rsidR="00534785" w:rsidRPr="000F53D1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D39F8">
              <w:rPr>
                <w:rFonts w:cs="Georgia"/>
                <w:b/>
                <w:bCs/>
                <w:color w:val="000000"/>
                <w:sz w:val="21"/>
                <w:szCs w:val="21"/>
              </w:rPr>
              <w:t>Payment</w:t>
            </w:r>
            <w:proofErr w:type="spellEnd"/>
            <w:r w:rsidRPr="000D39F8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D39F8">
              <w:rPr>
                <w:rFonts w:cs="Georgia"/>
                <w:b/>
                <w:bCs/>
                <w:color w:val="000000"/>
                <w:sz w:val="21"/>
                <w:szCs w:val="21"/>
              </w:rPr>
              <w:t>Terms</w:t>
            </w:r>
            <w:proofErr w:type="spellEnd"/>
            <w:r w:rsidRPr="000D39F8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</w:tcPr>
          <w:p w14:paraId="502871D0" w14:textId="77777777" w:rsidR="00534785" w:rsidRPr="0004678B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E5730C">
              <w:rPr>
                <w:rFonts w:cs="Arial"/>
                <w:color w:val="000000"/>
                <w:sz w:val="17"/>
                <w:szCs w:val="17"/>
              </w:rPr>
              <w:t>transfer</w:t>
            </w:r>
          </w:p>
        </w:tc>
      </w:tr>
      <w:tr w:rsidR="00534785" w:rsidRPr="000F53D1" w14:paraId="69BB8FA6" w14:textId="77777777" w:rsidTr="009E6B70">
        <w:trPr>
          <w:cantSplit/>
          <w:trHeight w:val="241"/>
        </w:trPr>
        <w:tc>
          <w:tcPr>
            <w:tcW w:w="2413" w:type="dxa"/>
            <w:vAlign w:val="bottom"/>
          </w:tcPr>
          <w:p w14:paraId="1ECBF6A9" w14:textId="77777777" w:rsidR="00534785" w:rsidRPr="000F53D1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>Delivery</w:t>
            </w:r>
            <w:proofErr w:type="spellEnd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>date</w:t>
            </w:r>
            <w:proofErr w:type="spellEnd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by:</w:t>
            </w:r>
          </w:p>
        </w:tc>
        <w:tc>
          <w:tcPr>
            <w:tcW w:w="8082" w:type="dxa"/>
            <w:vAlign w:val="bottom"/>
          </w:tcPr>
          <w:p w14:paraId="11C26579" w14:textId="4DAA4CFE" w:rsidR="00534785" w:rsidRPr="00142CB2" w:rsidRDefault="00E07E8A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27</w:t>
            </w:r>
            <w:r w:rsidR="00534785">
              <w:rPr>
                <w:rFonts w:cs="Georgia"/>
                <w:color w:val="000000"/>
                <w:sz w:val="21"/>
                <w:szCs w:val="21"/>
              </w:rPr>
              <w:t>.0</w:t>
            </w:r>
            <w:r>
              <w:rPr>
                <w:rFonts w:cs="Georgia"/>
                <w:color w:val="000000"/>
                <w:sz w:val="21"/>
                <w:szCs w:val="21"/>
              </w:rPr>
              <w:t>5</w:t>
            </w:r>
            <w:r w:rsidR="00534785">
              <w:rPr>
                <w:rFonts w:cs="Georgia"/>
                <w:color w:val="000000"/>
                <w:sz w:val="21"/>
                <w:szCs w:val="21"/>
              </w:rPr>
              <w:t>.2023</w:t>
            </w:r>
          </w:p>
        </w:tc>
      </w:tr>
      <w:tr w:rsidR="00534785" w:rsidRPr="000F53D1" w14:paraId="7F051CB4" w14:textId="77777777" w:rsidTr="009E6B70">
        <w:trPr>
          <w:cantSplit/>
          <w:trHeight w:val="241"/>
        </w:trPr>
        <w:tc>
          <w:tcPr>
            <w:tcW w:w="2413" w:type="dxa"/>
            <w:vAlign w:val="bottom"/>
          </w:tcPr>
          <w:p w14:paraId="5B82B216" w14:textId="77777777" w:rsidR="00534785" w:rsidRPr="000F53D1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>Due</w:t>
            </w:r>
            <w:proofErr w:type="spellEnd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>date</w:t>
            </w:r>
            <w:proofErr w:type="spellEnd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3FF6ED94" w14:textId="4148FCB9" w:rsidR="00534785" w:rsidRPr="00142CB2" w:rsidRDefault="00081160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14</w:t>
            </w:r>
            <w:r w:rsidR="00534785">
              <w:rPr>
                <w:rFonts w:cs="Georgia"/>
                <w:color w:val="000000"/>
                <w:sz w:val="21"/>
                <w:szCs w:val="21"/>
              </w:rPr>
              <w:t>.0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534785">
              <w:rPr>
                <w:rFonts w:cs="Georgia"/>
                <w:color w:val="000000"/>
                <w:sz w:val="21"/>
                <w:szCs w:val="21"/>
              </w:rPr>
              <w:t>.2023</w:t>
            </w:r>
          </w:p>
        </w:tc>
      </w:tr>
      <w:tr w:rsidR="00534785" w:rsidRPr="000F53D1" w14:paraId="4B066BD4" w14:textId="77777777" w:rsidTr="009E6B70">
        <w:trPr>
          <w:cantSplit/>
          <w:trHeight w:val="174"/>
        </w:trPr>
        <w:tc>
          <w:tcPr>
            <w:tcW w:w="2413" w:type="dxa"/>
            <w:vAlign w:val="bottom"/>
          </w:tcPr>
          <w:p w14:paraId="022B32B6" w14:textId="77777777" w:rsidR="00534785" w:rsidRPr="000F53D1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Warranty </w:t>
            </w:r>
            <w:proofErr w:type="spellStart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>conditions</w:t>
            </w:r>
            <w:proofErr w:type="spellEnd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4E451368" w14:textId="77777777" w:rsidR="00534785" w:rsidRPr="000F53D1" w:rsidRDefault="00534785" w:rsidP="009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12AC7A12" w14:textId="7FF12C8A" w:rsidR="00534785" w:rsidRDefault="00720A8A" w:rsidP="0053478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proofErr w:type="spellStart"/>
      <w:r w:rsidRPr="00720A8A">
        <w:rPr>
          <w:rFonts w:cs="Calibri"/>
          <w:b/>
          <w:bCs/>
        </w:rPr>
        <w:t>Implementation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will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be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financed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from</w:t>
      </w:r>
      <w:proofErr w:type="spellEnd"/>
      <w:r w:rsidRPr="00720A8A">
        <w:rPr>
          <w:rFonts w:cs="Calibri"/>
          <w:b/>
          <w:bCs/>
        </w:rPr>
        <w:t xml:space="preserve">: SFDI settlement </w:t>
      </w:r>
      <w:proofErr w:type="spellStart"/>
      <w:r w:rsidRPr="00720A8A">
        <w:rPr>
          <w:rFonts w:cs="Calibri"/>
          <w:b/>
          <w:bCs/>
        </w:rPr>
        <w:t>of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the</w:t>
      </w:r>
      <w:proofErr w:type="spellEnd"/>
      <w:r w:rsidRPr="00720A8A">
        <w:rPr>
          <w:rFonts w:cs="Calibri"/>
          <w:b/>
          <w:bCs/>
        </w:rPr>
        <w:t xml:space="preserve"> RIS COMEX </w:t>
      </w:r>
      <w:proofErr w:type="spellStart"/>
      <w:r w:rsidRPr="00720A8A">
        <w:rPr>
          <w:rFonts w:cs="Calibri"/>
          <w:b/>
          <w:bCs/>
        </w:rPr>
        <w:t>project</w:t>
      </w:r>
      <w:proofErr w:type="spellEnd"/>
      <w:r w:rsidRPr="00720A8A">
        <w:rPr>
          <w:rFonts w:cs="Calibri"/>
          <w:b/>
          <w:bCs/>
        </w:rPr>
        <w:t xml:space="preserve"> No. 5005510015, in </w:t>
      </w:r>
      <w:proofErr w:type="spellStart"/>
      <w:r w:rsidRPr="00720A8A">
        <w:rPr>
          <w:rFonts w:cs="Calibri"/>
          <w:b/>
          <w:bCs/>
        </w:rPr>
        <w:t>the</w:t>
      </w:r>
      <w:proofErr w:type="spellEnd"/>
      <w:r w:rsidRPr="00720A8A">
        <w:rPr>
          <w:rFonts w:cs="Calibri"/>
          <w:b/>
          <w:bCs/>
        </w:rPr>
        <w:t xml:space="preserve"> event </w:t>
      </w:r>
      <w:proofErr w:type="spellStart"/>
      <w:r w:rsidRPr="00720A8A">
        <w:rPr>
          <w:rFonts w:cs="Calibri"/>
          <w:b/>
          <w:bCs/>
        </w:rPr>
        <w:t>that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the</w:t>
      </w:r>
      <w:proofErr w:type="spellEnd"/>
      <w:r w:rsidRPr="00720A8A">
        <w:rPr>
          <w:rFonts w:cs="Calibri"/>
          <w:b/>
          <w:bCs/>
        </w:rPr>
        <w:t xml:space="preserve"> transfer </w:t>
      </w:r>
      <w:proofErr w:type="spellStart"/>
      <w:r w:rsidRPr="00720A8A">
        <w:rPr>
          <w:rFonts w:cs="Calibri"/>
          <w:b/>
          <w:bCs/>
        </w:rPr>
        <w:t>of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funds</w:t>
      </w:r>
      <w:proofErr w:type="spellEnd"/>
      <w:r w:rsidRPr="00720A8A">
        <w:rPr>
          <w:rFonts w:cs="Calibri"/>
          <w:b/>
          <w:bCs/>
        </w:rPr>
        <w:t xml:space="preserve"> to </w:t>
      </w:r>
      <w:proofErr w:type="spellStart"/>
      <w:r w:rsidRPr="00720A8A">
        <w:rPr>
          <w:rFonts w:cs="Calibri"/>
          <w:b/>
          <w:bCs/>
        </w:rPr>
        <w:t>the</w:t>
      </w:r>
      <w:proofErr w:type="spellEnd"/>
      <w:r w:rsidRPr="00720A8A">
        <w:rPr>
          <w:rFonts w:cs="Calibri"/>
          <w:b/>
          <w:bCs/>
        </w:rPr>
        <w:t xml:space="preserve"> 2023 budget </w:t>
      </w:r>
      <w:proofErr w:type="spellStart"/>
      <w:r w:rsidRPr="00720A8A">
        <w:rPr>
          <w:rFonts w:cs="Calibri"/>
          <w:b/>
          <w:bCs/>
        </w:rPr>
        <w:t>is</w:t>
      </w:r>
      <w:proofErr w:type="spellEnd"/>
      <w:r w:rsidRPr="00720A8A">
        <w:rPr>
          <w:rFonts w:cs="Calibri"/>
          <w:b/>
          <w:bCs/>
        </w:rPr>
        <w:t xml:space="preserve"> not </w:t>
      </w:r>
      <w:proofErr w:type="spellStart"/>
      <w:r w:rsidRPr="00720A8A">
        <w:rPr>
          <w:rFonts w:cs="Calibri"/>
          <w:b/>
          <w:bCs/>
        </w:rPr>
        <w:t>carried</w:t>
      </w:r>
      <w:proofErr w:type="spellEnd"/>
      <w:r w:rsidRPr="00720A8A">
        <w:rPr>
          <w:rFonts w:cs="Calibri"/>
          <w:b/>
          <w:bCs/>
        </w:rPr>
        <w:t xml:space="preserve"> out, </w:t>
      </w:r>
      <w:proofErr w:type="spellStart"/>
      <w:r w:rsidRPr="00720A8A">
        <w:rPr>
          <w:rFonts w:cs="Calibri"/>
          <w:b/>
          <w:bCs/>
        </w:rPr>
        <w:t>it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will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be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financed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from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the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item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of</w:t>
      </w:r>
      <w:proofErr w:type="spellEnd"/>
      <w:r w:rsidRPr="00720A8A">
        <w:rPr>
          <w:rFonts w:cs="Calibri"/>
          <w:b/>
          <w:bCs/>
        </w:rPr>
        <w:t xml:space="preserve"> non-</w:t>
      </w:r>
      <w:proofErr w:type="spellStart"/>
      <w:r w:rsidRPr="00720A8A">
        <w:rPr>
          <w:rFonts w:cs="Calibri"/>
          <w:b/>
          <w:bCs/>
        </w:rPr>
        <w:t>investment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expenses</w:t>
      </w:r>
      <w:proofErr w:type="spellEnd"/>
      <w:r w:rsidRPr="00720A8A">
        <w:rPr>
          <w:rFonts w:cs="Calibri"/>
          <w:b/>
          <w:bCs/>
        </w:rPr>
        <w:t xml:space="preserve"> F1 "</w:t>
      </w:r>
      <w:proofErr w:type="spellStart"/>
      <w:r w:rsidRPr="00720A8A">
        <w:rPr>
          <w:rFonts w:cs="Calibri"/>
          <w:b/>
          <w:bCs/>
        </w:rPr>
        <w:t>Operation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of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the</w:t>
      </w:r>
      <w:proofErr w:type="spellEnd"/>
      <w:r w:rsidRPr="00720A8A">
        <w:rPr>
          <w:rFonts w:cs="Calibri"/>
          <w:b/>
          <w:bCs/>
        </w:rPr>
        <w:t xml:space="preserve"> RIS </w:t>
      </w:r>
      <w:proofErr w:type="spellStart"/>
      <w:r w:rsidRPr="00720A8A">
        <w:rPr>
          <w:rFonts w:cs="Calibri"/>
          <w:b/>
          <w:bCs/>
        </w:rPr>
        <w:t>infrastructure</w:t>
      </w:r>
      <w:proofErr w:type="spellEnd"/>
      <w:r w:rsidRPr="00720A8A">
        <w:rPr>
          <w:rFonts w:cs="Calibri"/>
          <w:b/>
          <w:bCs/>
        </w:rPr>
        <w:t xml:space="preserve">". </w:t>
      </w:r>
      <w:proofErr w:type="spellStart"/>
      <w:r w:rsidRPr="00720A8A">
        <w:rPr>
          <w:rFonts w:cs="Calibri"/>
          <w:b/>
          <w:bCs/>
        </w:rPr>
        <w:t>Fulfillment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is</w:t>
      </w:r>
      <w:proofErr w:type="spellEnd"/>
      <w:r w:rsidRPr="00720A8A">
        <w:rPr>
          <w:rFonts w:cs="Calibri"/>
          <w:b/>
          <w:bCs/>
        </w:rPr>
        <w:t xml:space="preserve"> not </w:t>
      </w:r>
      <w:proofErr w:type="spellStart"/>
      <w:r w:rsidRPr="00720A8A">
        <w:rPr>
          <w:rFonts w:cs="Calibri"/>
          <w:b/>
          <w:bCs/>
        </w:rPr>
        <w:t>for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the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economic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activity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of</w:t>
      </w:r>
      <w:proofErr w:type="spellEnd"/>
      <w:r w:rsidRPr="00720A8A">
        <w:rPr>
          <w:rFonts w:cs="Calibri"/>
          <w:b/>
          <w:bCs/>
        </w:rPr>
        <w:t xml:space="preserve"> </w:t>
      </w:r>
      <w:proofErr w:type="spellStart"/>
      <w:r w:rsidRPr="00720A8A">
        <w:rPr>
          <w:rFonts w:cs="Calibri"/>
          <w:b/>
          <w:bCs/>
        </w:rPr>
        <w:t>the</w:t>
      </w:r>
      <w:proofErr w:type="spellEnd"/>
      <w:r w:rsidRPr="00720A8A">
        <w:rPr>
          <w:rFonts w:cs="Calibri"/>
          <w:b/>
          <w:bCs/>
        </w:rPr>
        <w:t xml:space="preserve"> ŘVC CR</w:t>
      </w:r>
      <w:r w:rsidR="00534785" w:rsidRPr="0063378F">
        <w:rPr>
          <w:rFonts w:cs="Calibri"/>
          <w:b/>
          <w:bCs/>
        </w:rPr>
        <w:t>.</w:t>
      </w:r>
      <w:r w:rsidR="00534785" w:rsidRPr="00386DE4">
        <w:rPr>
          <w:rFonts w:cs="Calibri"/>
          <w:b/>
          <w:bCs/>
        </w:rPr>
        <w:t xml:space="preserve"> </w:t>
      </w:r>
    </w:p>
    <w:p w14:paraId="671A0AD1" w14:textId="77777777" w:rsidR="00720A8A" w:rsidRDefault="00720A8A" w:rsidP="0053478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34D72716" w14:textId="77777777" w:rsidR="00534785" w:rsidRDefault="00534785" w:rsidP="0053478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proofErr w:type="spellStart"/>
      <w:r w:rsidRPr="00E5730C">
        <w:rPr>
          <w:b/>
          <w:bCs/>
        </w:rPr>
        <w:t>Issued</w:t>
      </w:r>
      <w:proofErr w:type="spellEnd"/>
      <w:r w:rsidRPr="00E5730C">
        <w:rPr>
          <w:b/>
          <w:bCs/>
        </w:rPr>
        <w:t xml:space="preserve"> by: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E5730C">
        <w:rPr>
          <w:b/>
          <w:bCs/>
        </w:rPr>
        <w:t>Approves</w:t>
      </w:r>
      <w:proofErr w:type="spellEnd"/>
      <w:r w:rsidRPr="00E5730C">
        <w:rPr>
          <w:b/>
          <w:bCs/>
        </w:rPr>
        <w:t>:</w:t>
      </w:r>
      <w:r>
        <w:tab/>
      </w:r>
    </w:p>
    <w:p w14:paraId="3D0335A2" w14:textId="493269D4" w:rsidR="00534785" w:rsidRDefault="00534785" w:rsidP="0053478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9C270F" w:rsidRPr="009C270F">
        <w:rPr>
          <w:b/>
          <w:bCs/>
        </w:rPr>
        <w:t>XXXXXXXXXXXXXX</w:t>
      </w:r>
      <w:r>
        <w:rPr>
          <w:b/>
          <w:bCs/>
        </w:rPr>
        <w:tab/>
        <w:t>Ing. Lubomír Fojtů</w:t>
      </w:r>
    </w:p>
    <w:p w14:paraId="4A2F1ECD" w14:textId="6130E5D8" w:rsidR="00534785" w:rsidRDefault="00534785" w:rsidP="0053478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BE1160">
        <w:rPr>
          <w:b/>
          <w:bCs/>
        </w:rPr>
        <w:t>RI</w:t>
      </w:r>
      <w:r>
        <w:rPr>
          <w:b/>
          <w:bCs/>
        </w:rPr>
        <w:tab/>
        <w:t>ředitel ŘVC ČR</w:t>
      </w:r>
    </w:p>
    <w:p w14:paraId="0CBD7E29" w14:textId="77777777" w:rsidR="00534785" w:rsidRDefault="00534785" w:rsidP="0053478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proofErr w:type="spellStart"/>
      <w:r w:rsidRPr="00E5730C">
        <w:rPr>
          <w:b/>
          <w:bCs/>
        </w:rPr>
        <w:t>Agrees</w:t>
      </w:r>
      <w:proofErr w:type="spellEnd"/>
      <w:r w:rsidRPr="00E5730C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</w:p>
    <w:p w14:paraId="5C9D9CA5" w14:textId="739B7D42" w:rsidR="00534785" w:rsidRPr="00D11E48" w:rsidRDefault="00534785" w:rsidP="0053478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9C270F" w:rsidRPr="009C270F">
        <w:rPr>
          <w:b/>
          <w:bCs/>
        </w:rPr>
        <w:t>XXXXXXXXXXXXXX</w:t>
      </w:r>
    </w:p>
    <w:p w14:paraId="1DEFEFFA" w14:textId="77777777" w:rsidR="00720A8A" w:rsidRDefault="00534785" w:rsidP="00720A8A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Pr="00D11E48">
        <w:t>Správce rozpočtu</w:t>
      </w:r>
    </w:p>
    <w:p w14:paraId="5832BC1A" w14:textId="77777777" w:rsidR="00720A8A" w:rsidRDefault="00720A8A" w:rsidP="00720A8A">
      <w:pPr>
        <w:tabs>
          <w:tab w:val="center" w:pos="5245"/>
        </w:tabs>
        <w:spacing w:after="0" w:line="240" w:lineRule="auto"/>
      </w:pPr>
    </w:p>
    <w:p w14:paraId="137F09E8" w14:textId="0BABC860" w:rsidR="00720A8A" w:rsidRDefault="00534785" w:rsidP="00720A8A">
      <w:pPr>
        <w:tabs>
          <w:tab w:val="center" w:pos="5245"/>
        </w:tabs>
        <w:spacing w:after="0" w:line="240" w:lineRule="auto"/>
      </w:pPr>
      <w:r w:rsidRPr="00E5730C">
        <w:t xml:space="preserve">He </w:t>
      </w:r>
      <w:proofErr w:type="spellStart"/>
      <w:r w:rsidRPr="00E5730C">
        <w:t>took</w:t>
      </w:r>
      <w:proofErr w:type="spellEnd"/>
      <w:r w:rsidRPr="00E5730C">
        <w:t xml:space="preserve"> </w:t>
      </w:r>
      <w:proofErr w:type="spellStart"/>
      <w:r w:rsidRPr="00E5730C">
        <w:t>over</w:t>
      </w:r>
      <w:proofErr w:type="spellEnd"/>
      <w:r w:rsidRPr="00E5730C">
        <w:t xml:space="preserve"> and </w:t>
      </w:r>
      <w:proofErr w:type="spellStart"/>
      <w:r w:rsidRPr="00E5730C">
        <w:t>accepts</w:t>
      </w:r>
      <w:proofErr w:type="spellEnd"/>
      <w:r w:rsidRPr="00E5730C">
        <w:t xml:space="preserve"> as a </w:t>
      </w:r>
      <w:proofErr w:type="spellStart"/>
      <w:r w:rsidRPr="00E5730C">
        <w:t>supplier</w:t>
      </w:r>
      <w:proofErr w:type="spellEnd"/>
      <w:r w:rsidR="00720A8A">
        <w:tab/>
      </w:r>
      <w:r w:rsidR="00720A8A">
        <w:tab/>
      </w:r>
      <w:r w:rsidR="00720A8A">
        <w:tab/>
      </w:r>
      <w:r w:rsidR="00720A8A">
        <w:tab/>
      </w:r>
      <w:r w:rsidR="00720A8A">
        <w:tab/>
      </w:r>
      <w:r w:rsidR="00720A8A">
        <w:tab/>
      </w:r>
    </w:p>
    <w:p w14:paraId="796D56CA" w14:textId="0A1645C3" w:rsidR="00534785" w:rsidRDefault="00720A8A" w:rsidP="00720A8A">
      <w:pPr>
        <w:tabs>
          <w:tab w:val="center" w:pos="5245"/>
        </w:tabs>
        <w:spacing w:after="0" w:line="240" w:lineRule="auto"/>
      </w:pPr>
      <w:proofErr w:type="spellStart"/>
      <w:r>
        <w:t>Day</w:t>
      </w:r>
      <w:proofErr w:type="spellEnd"/>
      <w:r w:rsidRPr="00816AA2">
        <w:t>:</w:t>
      </w:r>
    </w:p>
    <w:sectPr w:rsidR="00534785" w:rsidSect="00566F6C">
      <w:footerReference w:type="default" r:id="rId10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C1BD" w14:textId="77777777" w:rsidR="00FA6C1D" w:rsidRDefault="00FA6C1D">
      <w:pPr>
        <w:spacing w:after="0" w:line="240" w:lineRule="auto"/>
      </w:pPr>
      <w:r>
        <w:separator/>
      </w:r>
    </w:p>
  </w:endnote>
  <w:endnote w:type="continuationSeparator" w:id="0">
    <w:p w14:paraId="63D81B6A" w14:textId="77777777" w:rsidR="00FA6C1D" w:rsidRDefault="00FA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C479" w14:textId="77777777" w:rsidR="00FA6C1D" w:rsidRDefault="00FA6C1D">
      <w:pPr>
        <w:spacing w:after="0" w:line="240" w:lineRule="auto"/>
      </w:pPr>
      <w:r>
        <w:separator/>
      </w:r>
    </w:p>
  </w:footnote>
  <w:footnote w:type="continuationSeparator" w:id="0">
    <w:p w14:paraId="057B539C" w14:textId="77777777" w:rsidR="00FA6C1D" w:rsidRDefault="00FA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0766912">
    <w:abstractNumId w:val="1"/>
  </w:num>
  <w:num w:numId="2" w16cid:durableId="72136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678B"/>
    <w:rsid w:val="000477D3"/>
    <w:rsid w:val="00055384"/>
    <w:rsid w:val="000563D1"/>
    <w:rsid w:val="00056FCC"/>
    <w:rsid w:val="00057B4E"/>
    <w:rsid w:val="00067C02"/>
    <w:rsid w:val="00067CF9"/>
    <w:rsid w:val="00081160"/>
    <w:rsid w:val="00083B76"/>
    <w:rsid w:val="00085BD1"/>
    <w:rsid w:val="00092777"/>
    <w:rsid w:val="00096AFA"/>
    <w:rsid w:val="000A0FEC"/>
    <w:rsid w:val="000B69E5"/>
    <w:rsid w:val="000B78F4"/>
    <w:rsid w:val="000C63BC"/>
    <w:rsid w:val="000D052F"/>
    <w:rsid w:val="000D1D05"/>
    <w:rsid w:val="000D521B"/>
    <w:rsid w:val="000E1D6A"/>
    <w:rsid w:val="000F432D"/>
    <w:rsid w:val="000F53D1"/>
    <w:rsid w:val="0010131A"/>
    <w:rsid w:val="00120C96"/>
    <w:rsid w:val="001354F5"/>
    <w:rsid w:val="00142CB2"/>
    <w:rsid w:val="00150B96"/>
    <w:rsid w:val="00150E23"/>
    <w:rsid w:val="00165917"/>
    <w:rsid w:val="00170DB8"/>
    <w:rsid w:val="00171069"/>
    <w:rsid w:val="00171B65"/>
    <w:rsid w:val="00176811"/>
    <w:rsid w:val="00176EB3"/>
    <w:rsid w:val="00190D93"/>
    <w:rsid w:val="00190EA0"/>
    <w:rsid w:val="00191D77"/>
    <w:rsid w:val="001A29F8"/>
    <w:rsid w:val="001C72DE"/>
    <w:rsid w:val="001D0FE1"/>
    <w:rsid w:val="001D22D6"/>
    <w:rsid w:val="001D41F9"/>
    <w:rsid w:val="001E49CD"/>
    <w:rsid w:val="001E5ECB"/>
    <w:rsid w:val="001F0568"/>
    <w:rsid w:val="001F3008"/>
    <w:rsid w:val="001F3976"/>
    <w:rsid w:val="00213C03"/>
    <w:rsid w:val="00213E1A"/>
    <w:rsid w:val="00217F55"/>
    <w:rsid w:val="00222C17"/>
    <w:rsid w:val="002250B1"/>
    <w:rsid w:val="0023021D"/>
    <w:rsid w:val="0023044E"/>
    <w:rsid w:val="00246C94"/>
    <w:rsid w:val="00251675"/>
    <w:rsid w:val="0026146B"/>
    <w:rsid w:val="00267E1E"/>
    <w:rsid w:val="00273403"/>
    <w:rsid w:val="00273631"/>
    <w:rsid w:val="00273FDD"/>
    <w:rsid w:val="0027456E"/>
    <w:rsid w:val="002770F8"/>
    <w:rsid w:val="00281342"/>
    <w:rsid w:val="0029366C"/>
    <w:rsid w:val="00297309"/>
    <w:rsid w:val="00297614"/>
    <w:rsid w:val="002A5EF2"/>
    <w:rsid w:val="002A6A77"/>
    <w:rsid w:val="002B3CB9"/>
    <w:rsid w:val="002B5756"/>
    <w:rsid w:val="002D437A"/>
    <w:rsid w:val="00304A1B"/>
    <w:rsid w:val="00305BF6"/>
    <w:rsid w:val="003079DB"/>
    <w:rsid w:val="00323B27"/>
    <w:rsid w:val="003347D7"/>
    <w:rsid w:val="00340545"/>
    <w:rsid w:val="0034167F"/>
    <w:rsid w:val="00360C8B"/>
    <w:rsid w:val="00362C3A"/>
    <w:rsid w:val="00374631"/>
    <w:rsid w:val="00385797"/>
    <w:rsid w:val="00386DE4"/>
    <w:rsid w:val="003872C4"/>
    <w:rsid w:val="0039145E"/>
    <w:rsid w:val="003A64DD"/>
    <w:rsid w:val="003B25AA"/>
    <w:rsid w:val="003E2D12"/>
    <w:rsid w:val="003E4D63"/>
    <w:rsid w:val="003E5966"/>
    <w:rsid w:val="003F2364"/>
    <w:rsid w:val="00401216"/>
    <w:rsid w:val="00423124"/>
    <w:rsid w:val="004308AD"/>
    <w:rsid w:val="004336B4"/>
    <w:rsid w:val="00455802"/>
    <w:rsid w:val="0046035B"/>
    <w:rsid w:val="00463B6A"/>
    <w:rsid w:val="00463D83"/>
    <w:rsid w:val="004A292A"/>
    <w:rsid w:val="004C4BD3"/>
    <w:rsid w:val="004C54FB"/>
    <w:rsid w:val="004D1265"/>
    <w:rsid w:val="004F1490"/>
    <w:rsid w:val="00504226"/>
    <w:rsid w:val="005051CD"/>
    <w:rsid w:val="00505A0C"/>
    <w:rsid w:val="00507CE9"/>
    <w:rsid w:val="00534785"/>
    <w:rsid w:val="00534A12"/>
    <w:rsid w:val="00535C2D"/>
    <w:rsid w:val="00542083"/>
    <w:rsid w:val="00542F67"/>
    <w:rsid w:val="00566F6C"/>
    <w:rsid w:val="00567701"/>
    <w:rsid w:val="005716E0"/>
    <w:rsid w:val="00574445"/>
    <w:rsid w:val="00582B3C"/>
    <w:rsid w:val="00585546"/>
    <w:rsid w:val="005928C8"/>
    <w:rsid w:val="005A6748"/>
    <w:rsid w:val="005C0E2F"/>
    <w:rsid w:val="005C7E19"/>
    <w:rsid w:val="005D45EC"/>
    <w:rsid w:val="005F1E73"/>
    <w:rsid w:val="0060187D"/>
    <w:rsid w:val="00603131"/>
    <w:rsid w:val="00615A94"/>
    <w:rsid w:val="00615B31"/>
    <w:rsid w:val="00616167"/>
    <w:rsid w:val="00616F9D"/>
    <w:rsid w:val="00623ED6"/>
    <w:rsid w:val="00625F19"/>
    <w:rsid w:val="00631B68"/>
    <w:rsid w:val="006378B9"/>
    <w:rsid w:val="006515C9"/>
    <w:rsid w:val="00651FA4"/>
    <w:rsid w:val="00656ED8"/>
    <w:rsid w:val="00667C66"/>
    <w:rsid w:val="00670F35"/>
    <w:rsid w:val="00690093"/>
    <w:rsid w:val="006B2D53"/>
    <w:rsid w:val="006B71F4"/>
    <w:rsid w:val="006C19DA"/>
    <w:rsid w:val="006D3060"/>
    <w:rsid w:val="006D47EE"/>
    <w:rsid w:val="006E246A"/>
    <w:rsid w:val="006E3348"/>
    <w:rsid w:val="006E65AE"/>
    <w:rsid w:val="006E75A3"/>
    <w:rsid w:val="006F59A1"/>
    <w:rsid w:val="006F5D79"/>
    <w:rsid w:val="006F61B6"/>
    <w:rsid w:val="007013A3"/>
    <w:rsid w:val="0070144E"/>
    <w:rsid w:val="00704A47"/>
    <w:rsid w:val="0071229C"/>
    <w:rsid w:val="00717262"/>
    <w:rsid w:val="00720A8A"/>
    <w:rsid w:val="00720D87"/>
    <w:rsid w:val="00725DCF"/>
    <w:rsid w:val="00730E1E"/>
    <w:rsid w:val="00742CFF"/>
    <w:rsid w:val="00775387"/>
    <w:rsid w:val="00775F44"/>
    <w:rsid w:val="007769C5"/>
    <w:rsid w:val="007846C5"/>
    <w:rsid w:val="00785B87"/>
    <w:rsid w:val="00785C31"/>
    <w:rsid w:val="00786073"/>
    <w:rsid w:val="007A4ABD"/>
    <w:rsid w:val="007B4B59"/>
    <w:rsid w:val="007E4C27"/>
    <w:rsid w:val="007F333D"/>
    <w:rsid w:val="007F40AB"/>
    <w:rsid w:val="007F5C8C"/>
    <w:rsid w:val="007F6D9E"/>
    <w:rsid w:val="00805997"/>
    <w:rsid w:val="00816AA2"/>
    <w:rsid w:val="008302CA"/>
    <w:rsid w:val="00836EC4"/>
    <w:rsid w:val="00840826"/>
    <w:rsid w:val="00850A1C"/>
    <w:rsid w:val="00852A6D"/>
    <w:rsid w:val="00880AF8"/>
    <w:rsid w:val="00882612"/>
    <w:rsid w:val="008C6BAA"/>
    <w:rsid w:val="008D459D"/>
    <w:rsid w:val="008E4C60"/>
    <w:rsid w:val="009173C5"/>
    <w:rsid w:val="00924F15"/>
    <w:rsid w:val="00937DCE"/>
    <w:rsid w:val="0094106E"/>
    <w:rsid w:val="009532C2"/>
    <w:rsid w:val="00955150"/>
    <w:rsid w:val="009560C7"/>
    <w:rsid w:val="00957E22"/>
    <w:rsid w:val="0096143E"/>
    <w:rsid w:val="0096739E"/>
    <w:rsid w:val="009764A9"/>
    <w:rsid w:val="00976DF8"/>
    <w:rsid w:val="0098229D"/>
    <w:rsid w:val="0098239C"/>
    <w:rsid w:val="00987E92"/>
    <w:rsid w:val="009936F1"/>
    <w:rsid w:val="00994DDF"/>
    <w:rsid w:val="009C08F8"/>
    <w:rsid w:val="009C15B8"/>
    <w:rsid w:val="009C270F"/>
    <w:rsid w:val="009E6599"/>
    <w:rsid w:val="009E79E1"/>
    <w:rsid w:val="009F1FF7"/>
    <w:rsid w:val="00A10645"/>
    <w:rsid w:val="00A22369"/>
    <w:rsid w:val="00A30A31"/>
    <w:rsid w:val="00A33837"/>
    <w:rsid w:val="00A434B9"/>
    <w:rsid w:val="00A43D3F"/>
    <w:rsid w:val="00A44C32"/>
    <w:rsid w:val="00A461FE"/>
    <w:rsid w:val="00A72BBE"/>
    <w:rsid w:val="00A74B91"/>
    <w:rsid w:val="00A762E5"/>
    <w:rsid w:val="00A77CEF"/>
    <w:rsid w:val="00A96809"/>
    <w:rsid w:val="00A978BF"/>
    <w:rsid w:val="00AA7B05"/>
    <w:rsid w:val="00AB08F2"/>
    <w:rsid w:val="00AC4AF0"/>
    <w:rsid w:val="00AC7366"/>
    <w:rsid w:val="00AD0588"/>
    <w:rsid w:val="00AD0A6B"/>
    <w:rsid w:val="00AD5CE6"/>
    <w:rsid w:val="00AD620F"/>
    <w:rsid w:val="00AE6150"/>
    <w:rsid w:val="00AF7E54"/>
    <w:rsid w:val="00B017DD"/>
    <w:rsid w:val="00B04813"/>
    <w:rsid w:val="00B05F07"/>
    <w:rsid w:val="00B06100"/>
    <w:rsid w:val="00B203C6"/>
    <w:rsid w:val="00B4150D"/>
    <w:rsid w:val="00B74242"/>
    <w:rsid w:val="00B936BA"/>
    <w:rsid w:val="00B93A66"/>
    <w:rsid w:val="00BA0791"/>
    <w:rsid w:val="00BA5FE9"/>
    <w:rsid w:val="00BB050A"/>
    <w:rsid w:val="00BB3EE3"/>
    <w:rsid w:val="00BB50D1"/>
    <w:rsid w:val="00BC1A7F"/>
    <w:rsid w:val="00BC2A3C"/>
    <w:rsid w:val="00BC6B04"/>
    <w:rsid w:val="00BD086A"/>
    <w:rsid w:val="00BD2091"/>
    <w:rsid w:val="00BD6EAD"/>
    <w:rsid w:val="00BE1160"/>
    <w:rsid w:val="00BF3FAE"/>
    <w:rsid w:val="00C10375"/>
    <w:rsid w:val="00C12BCD"/>
    <w:rsid w:val="00C24BD8"/>
    <w:rsid w:val="00C24CE1"/>
    <w:rsid w:val="00C3364B"/>
    <w:rsid w:val="00C37BCE"/>
    <w:rsid w:val="00C40303"/>
    <w:rsid w:val="00C453E8"/>
    <w:rsid w:val="00C520CE"/>
    <w:rsid w:val="00C527CD"/>
    <w:rsid w:val="00C63A6C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AD6"/>
    <w:rsid w:val="00CF0C82"/>
    <w:rsid w:val="00CF335B"/>
    <w:rsid w:val="00CF5AD1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4428C"/>
    <w:rsid w:val="00D44EE3"/>
    <w:rsid w:val="00D56591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B2213"/>
    <w:rsid w:val="00DC200A"/>
    <w:rsid w:val="00DC7D0A"/>
    <w:rsid w:val="00DD0A8E"/>
    <w:rsid w:val="00DD21B3"/>
    <w:rsid w:val="00DD40DA"/>
    <w:rsid w:val="00DD6AFD"/>
    <w:rsid w:val="00DE0DDE"/>
    <w:rsid w:val="00E07E8A"/>
    <w:rsid w:val="00E13208"/>
    <w:rsid w:val="00E14D68"/>
    <w:rsid w:val="00E20339"/>
    <w:rsid w:val="00E24129"/>
    <w:rsid w:val="00E31742"/>
    <w:rsid w:val="00E34032"/>
    <w:rsid w:val="00E510F5"/>
    <w:rsid w:val="00E601E0"/>
    <w:rsid w:val="00E71112"/>
    <w:rsid w:val="00E86BEE"/>
    <w:rsid w:val="00EA2390"/>
    <w:rsid w:val="00EB75C4"/>
    <w:rsid w:val="00EC6A26"/>
    <w:rsid w:val="00ED13FC"/>
    <w:rsid w:val="00EE147D"/>
    <w:rsid w:val="00EE2D0D"/>
    <w:rsid w:val="00EE7917"/>
    <w:rsid w:val="00EF5B87"/>
    <w:rsid w:val="00EF79CC"/>
    <w:rsid w:val="00F104F1"/>
    <w:rsid w:val="00F1081C"/>
    <w:rsid w:val="00F10CAE"/>
    <w:rsid w:val="00F237B0"/>
    <w:rsid w:val="00F3345D"/>
    <w:rsid w:val="00F467FD"/>
    <w:rsid w:val="00F54D50"/>
    <w:rsid w:val="00F85F35"/>
    <w:rsid w:val="00F92078"/>
    <w:rsid w:val="00F92A13"/>
    <w:rsid w:val="00FA6C1D"/>
    <w:rsid w:val="00FB1D80"/>
    <w:rsid w:val="00FD1614"/>
    <w:rsid w:val="00FE2A0D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0C6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Revize">
    <w:name w:val="Revision"/>
    <w:hidden/>
    <w:uiPriority w:val="99"/>
    <w:semiHidden/>
    <w:rsid w:val="002B3CB9"/>
    <w:rPr>
      <w:sz w:val="22"/>
      <w:szCs w:val="22"/>
    </w:rPr>
  </w:style>
  <w:style w:type="character" w:customStyle="1" w:styleId="fontstyle01">
    <w:name w:val="fontstyle01"/>
    <w:basedOn w:val="Standardnpsmoodstavce"/>
    <w:rsid w:val="005C7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0C63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0C63B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A8A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2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A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is.lavdi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98B5-C6DB-4C0E-B55F-351F3FF1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5061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2023-03-29T10:39:00Z</dcterms:created>
  <dcterms:modified xsi:type="dcterms:W3CDTF">2023-03-29T10:39:00Z</dcterms:modified>
</cp:coreProperties>
</file>