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6C750F58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6A1F45">
        <w:rPr>
          <w:rFonts w:asciiTheme="minorHAnsi" w:hAnsiTheme="minorHAnsi"/>
          <w:b/>
          <w:sz w:val="28"/>
          <w:szCs w:val="28"/>
        </w:rPr>
        <w:t>00047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F03365">
        <w:rPr>
          <w:rFonts w:asciiTheme="minorHAnsi" w:hAnsiTheme="minorHAnsi"/>
          <w:b/>
          <w:sz w:val="28"/>
          <w:szCs w:val="28"/>
        </w:rPr>
        <w:t>2</w:t>
      </w:r>
      <w:r w:rsidR="00304439">
        <w:rPr>
          <w:rFonts w:asciiTheme="minorHAnsi" w:hAnsiTheme="minorHAnsi"/>
          <w:b/>
          <w:sz w:val="28"/>
          <w:szCs w:val="28"/>
        </w:rPr>
        <w:t>3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CE0C7C1" w14:textId="77777777" w:rsidR="008A512E" w:rsidRPr="00C36C43" w:rsidRDefault="008A512E" w:rsidP="008A512E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36C43">
        <w:rPr>
          <w:rFonts w:asciiTheme="minorHAnsi" w:hAnsiTheme="minorHAnsi"/>
          <w:b/>
          <w:sz w:val="22"/>
          <w:szCs w:val="22"/>
        </w:rPr>
        <w:t>Příjemce dotace:</w:t>
      </w:r>
    </w:p>
    <w:p w14:paraId="065C3B11" w14:textId="77777777" w:rsidR="008A512E" w:rsidRPr="00AD234F" w:rsidRDefault="008A512E" w:rsidP="008A512E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D234F">
        <w:rPr>
          <w:rFonts w:ascii="Calibri" w:hAnsi="Calibri"/>
          <w:color w:val="000000" w:themeColor="text1"/>
          <w:sz w:val="22"/>
          <w:szCs w:val="22"/>
        </w:rPr>
        <w:t xml:space="preserve">HOCKEY CLUB DYNAMO PARDUBICE a.s., </w:t>
      </w:r>
    </w:p>
    <w:p w14:paraId="1B52A9B5" w14:textId="77777777" w:rsidR="008A512E" w:rsidRPr="00AD234F" w:rsidRDefault="008A512E" w:rsidP="008A512E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D234F">
        <w:rPr>
          <w:rFonts w:ascii="Calibri" w:hAnsi="Calibri"/>
          <w:color w:val="000000" w:themeColor="text1"/>
          <w:sz w:val="22"/>
          <w:szCs w:val="22"/>
        </w:rPr>
        <w:t>sídlo: Sukova třída 1735, Zelené Předměstí, 530 02 Pardubice,</w:t>
      </w:r>
    </w:p>
    <w:p w14:paraId="4D4556E0" w14:textId="77777777" w:rsidR="008A512E" w:rsidRPr="00AD234F" w:rsidRDefault="008A512E" w:rsidP="008A512E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D234F">
        <w:rPr>
          <w:rFonts w:ascii="Calibri" w:hAnsi="Calibri"/>
          <w:color w:val="000000" w:themeColor="text1"/>
          <w:sz w:val="22"/>
          <w:szCs w:val="22"/>
        </w:rPr>
        <w:t>IČO: 60112476,</w:t>
      </w:r>
    </w:p>
    <w:p w14:paraId="7822AC35" w14:textId="77777777" w:rsidR="008A512E" w:rsidRPr="00AD234F" w:rsidRDefault="008A512E" w:rsidP="008A512E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D234F">
        <w:rPr>
          <w:rFonts w:ascii="Calibri" w:hAnsi="Calibri"/>
          <w:color w:val="000000" w:themeColor="text1"/>
          <w:sz w:val="22"/>
          <w:szCs w:val="22"/>
        </w:rPr>
        <w:t>zapsaná v obchodním rejstříku vedeném Krajským soudem v Hradci Králové pod sp. zn. B 1078</w:t>
      </w:r>
    </w:p>
    <w:p w14:paraId="65356F7A" w14:textId="77777777" w:rsidR="008A512E" w:rsidRPr="00AD234F" w:rsidRDefault="008A512E" w:rsidP="008A512E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D234F">
        <w:rPr>
          <w:rFonts w:ascii="Calibri" w:hAnsi="Calibri"/>
          <w:color w:val="000000" w:themeColor="text1"/>
          <w:sz w:val="22"/>
          <w:szCs w:val="22"/>
        </w:rPr>
        <w:t>číslo bankovního účtu: 1206778349/0800,</w:t>
      </w:r>
    </w:p>
    <w:p w14:paraId="4E028FD5" w14:textId="77777777" w:rsidR="008A512E" w:rsidRPr="00C36C43" w:rsidRDefault="008A512E" w:rsidP="008A512E">
      <w:pPr>
        <w:pStyle w:val="Odstavecseseznamem"/>
        <w:ind w:left="1701" w:hanging="1275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D234F">
        <w:rPr>
          <w:rFonts w:ascii="Calibri" w:hAnsi="Calibri"/>
          <w:color w:val="000000" w:themeColor="text1"/>
          <w:sz w:val="22"/>
          <w:szCs w:val="22"/>
        </w:rPr>
        <w:t xml:space="preserve">zastoupená: </w:t>
      </w:r>
      <w:r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AD234F">
        <w:rPr>
          <w:rFonts w:ascii="Calibri" w:hAnsi="Calibri"/>
          <w:color w:val="000000" w:themeColor="text1"/>
          <w:sz w:val="22"/>
          <w:szCs w:val="22"/>
        </w:rPr>
        <w:t xml:space="preserve">Mgr. Ondřejem Heřmanem, předsedou představenstva, a Mgr. Ivanem Čonkou </w:t>
      </w:r>
      <w:r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AD234F">
        <w:rPr>
          <w:rFonts w:ascii="Calibri" w:hAnsi="Calibri"/>
          <w:color w:val="000000" w:themeColor="text1"/>
          <w:sz w:val="22"/>
          <w:szCs w:val="22"/>
        </w:rPr>
        <w:t>místopředsedou představenstva</w:t>
      </w:r>
    </w:p>
    <w:p w14:paraId="0CB8C149" w14:textId="5354C987" w:rsidR="000A0147" w:rsidRDefault="008A512E" w:rsidP="008A512E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C36C43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790BE27D" w:rsidR="00CD3B0A" w:rsidRPr="00F03365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C46289" w:rsidRPr="00F03365">
        <w:rPr>
          <w:rFonts w:asciiTheme="minorHAnsi" w:hAnsiTheme="minorHAnsi"/>
          <w:sz w:val="22"/>
          <w:szCs w:val="22"/>
        </w:rPr>
        <w:t>202</w:t>
      </w:r>
      <w:r w:rsidR="00C46289">
        <w:rPr>
          <w:rFonts w:asciiTheme="minorHAnsi" w:hAnsiTheme="minorHAnsi"/>
          <w:sz w:val="22"/>
          <w:szCs w:val="22"/>
        </w:rPr>
        <w:t>3</w:t>
      </w:r>
      <w:r w:rsidR="00C46289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C46289">
        <w:rPr>
          <w:rFonts w:asciiTheme="minorHAnsi" w:hAnsiTheme="minorHAnsi"/>
          <w:sz w:val="22"/>
          <w:szCs w:val="22"/>
        </w:rPr>
        <w:t>19.12.2022</w:t>
      </w:r>
      <w:r w:rsidRPr="00F03365">
        <w:rPr>
          <w:rFonts w:asciiTheme="minorHAnsi" w:hAnsiTheme="minorHAnsi"/>
          <w:sz w:val="22"/>
          <w:szCs w:val="22"/>
        </w:rPr>
        <w:t xml:space="preserve"> usnesením č. 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C46289">
        <w:rPr>
          <w:rFonts w:asciiTheme="minorHAnsi" w:hAnsiTheme="minorHAnsi"/>
          <w:sz w:val="22"/>
          <w:szCs w:val="22"/>
        </w:rPr>
        <w:t>122/2022</w:t>
      </w:r>
      <w:r w:rsidR="008D2316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(dále jen „Pravidla“) a Zásady pro poskytování dotací z rozpočtu statutárního města Pardubice přijaté Zastupitelstvem města Pardubic dne </w:t>
      </w:r>
      <w:r w:rsidR="00C46289">
        <w:rPr>
          <w:rFonts w:asciiTheme="minorHAnsi" w:hAnsiTheme="minorHAnsi"/>
          <w:sz w:val="22"/>
          <w:szCs w:val="22"/>
        </w:rPr>
        <w:t>19.12.2022</w:t>
      </w:r>
      <w:r w:rsidRPr="00F03365">
        <w:rPr>
          <w:rFonts w:asciiTheme="minorHAnsi" w:hAnsiTheme="minorHAnsi"/>
          <w:sz w:val="22"/>
          <w:szCs w:val="22"/>
        </w:rPr>
        <w:t xml:space="preserve"> usnesením č. 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C46289">
        <w:rPr>
          <w:rFonts w:asciiTheme="minorHAnsi" w:hAnsiTheme="minorHAnsi"/>
          <w:sz w:val="22"/>
          <w:szCs w:val="22"/>
        </w:rPr>
        <w:t>117/2022</w:t>
      </w:r>
      <w:r w:rsidR="008D2316" w:rsidRPr="00F03365" w:rsidDel="008D2316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(Směrnice č. </w:t>
      </w:r>
      <w:r w:rsidR="00C46289">
        <w:rPr>
          <w:rFonts w:asciiTheme="minorHAnsi" w:hAnsiTheme="minorHAnsi"/>
          <w:sz w:val="22"/>
          <w:szCs w:val="22"/>
        </w:rPr>
        <w:t>14/2022</w:t>
      </w:r>
      <w:r w:rsidRPr="00F03365"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F0336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F0336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A39425" w14:textId="31B48710" w:rsidR="00CD3B0A" w:rsidRPr="00811AF4" w:rsidRDefault="008D2316" w:rsidP="008D2316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C785D">
        <w:rPr>
          <w:rFonts w:asciiTheme="minorHAnsi" w:hAnsiTheme="minorHAnsi"/>
          <w:sz w:val="22"/>
          <w:szCs w:val="22"/>
        </w:rPr>
        <w:t>1.</w:t>
      </w:r>
      <w:r w:rsidRPr="00BC785D">
        <w:rPr>
          <w:rFonts w:asciiTheme="minorHAnsi" w:hAnsiTheme="minorHAnsi"/>
          <w:sz w:val="22"/>
          <w:szCs w:val="22"/>
        </w:rPr>
        <w:tab/>
      </w:r>
      <w:r w:rsidRPr="005B3743">
        <w:rPr>
          <w:rFonts w:asciiTheme="minorHAnsi" w:hAnsiTheme="minorHAnsi"/>
          <w:sz w:val="22"/>
          <w:szCs w:val="22"/>
        </w:rPr>
        <w:t>Poskytovatel touto smlouvou poskytuje příjemci individuální dotaci z</w:t>
      </w:r>
      <w:r w:rsidR="008A512E">
        <w:rPr>
          <w:rFonts w:asciiTheme="minorHAnsi" w:hAnsiTheme="minorHAnsi"/>
          <w:sz w:val="22"/>
          <w:szCs w:val="22"/>
        </w:rPr>
        <w:t> rozpočtu města</w:t>
      </w:r>
      <w:r w:rsidRPr="005B3743">
        <w:rPr>
          <w:rFonts w:asciiTheme="minorHAnsi" w:hAnsiTheme="minorHAnsi"/>
          <w:sz w:val="22"/>
          <w:szCs w:val="22"/>
        </w:rPr>
        <w:t xml:space="preserve"> pro rok </w:t>
      </w:r>
      <w:r w:rsidR="009E3F17" w:rsidRPr="005B3743">
        <w:rPr>
          <w:rFonts w:asciiTheme="minorHAnsi" w:hAnsiTheme="minorHAnsi"/>
          <w:sz w:val="22"/>
          <w:szCs w:val="22"/>
        </w:rPr>
        <w:t xml:space="preserve">2023 </w:t>
      </w:r>
      <w:r w:rsidRPr="005B3743">
        <w:rPr>
          <w:rFonts w:asciiTheme="minorHAnsi" w:hAnsiTheme="minorHAnsi"/>
          <w:sz w:val="22"/>
          <w:szCs w:val="22"/>
        </w:rPr>
        <w:t xml:space="preserve">ve </w:t>
      </w:r>
      <w:r w:rsidRPr="008A512E">
        <w:rPr>
          <w:rFonts w:asciiTheme="minorHAnsi" w:hAnsiTheme="minorHAnsi"/>
          <w:sz w:val="22"/>
          <w:szCs w:val="22"/>
        </w:rPr>
        <w:t xml:space="preserve">výši </w:t>
      </w:r>
      <w:r w:rsidR="008A512E" w:rsidRPr="008A512E">
        <w:rPr>
          <w:rFonts w:asciiTheme="minorHAnsi" w:hAnsiTheme="minorHAnsi"/>
          <w:b/>
          <w:bCs/>
          <w:sz w:val="22"/>
          <w:szCs w:val="22"/>
        </w:rPr>
        <w:t>17</w:t>
      </w:r>
      <w:r w:rsidRPr="008A512E">
        <w:rPr>
          <w:rFonts w:asciiTheme="minorHAnsi" w:hAnsiTheme="minorHAnsi"/>
          <w:b/>
          <w:bCs/>
          <w:sz w:val="22"/>
          <w:szCs w:val="22"/>
        </w:rPr>
        <w:t>.</w:t>
      </w:r>
      <w:r w:rsidR="008A512E" w:rsidRPr="008A512E">
        <w:rPr>
          <w:rFonts w:asciiTheme="minorHAnsi" w:hAnsiTheme="minorHAnsi"/>
          <w:b/>
          <w:bCs/>
          <w:sz w:val="22"/>
          <w:szCs w:val="22"/>
        </w:rPr>
        <w:t>100</w:t>
      </w:r>
      <w:r w:rsidRPr="008A512E">
        <w:rPr>
          <w:rFonts w:asciiTheme="minorHAnsi" w:hAnsiTheme="minorHAnsi"/>
          <w:b/>
          <w:bCs/>
          <w:sz w:val="22"/>
          <w:szCs w:val="22"/>
        </w:rPr>
        <w:t>.000,-</w:t>
      </w:r>
      <w:r w:rsidRPr="005B3743">
        <w:rPr>
          <w:rFonts w:asciiTheme="minorHAnsi" w:hAnsiTheme="minorHAnsi"/>
          <w:b/>
          <w:bCs/>
          <w:sz w:val="22"/>
          <w:szCs w:val="22"/>
        </w:rPr>
        <w:t xml:space="preserve"> Kč</w:t>
      </w:r>
      <w:r w:rsidRPr="005B3743">
        <w:rPr>
          <w:rFonts w:asciiTheme="minorHAnsi" w:hAnsiTheme="minorHAnsi"/>
          <w:sz w:val="22"/>
          <w:szCs w:val="22"/>
        </w:rPr>
        <w:t xml:space="preserve"> (slovy: </w:t>
      </w:r>
      <w:r w:rsidR="008A512E">
        <w:rPr>
          <w:rFonts w:asciiTheme="minorHAnsi" w:hAnsiTheme="minorHAnsi"/>
          <w:sz w:val="22"/>
          <w:szCs w:val="22"/>
        </w:rPr>
        <w:t>sedmnáct milionů jedno sto</w:t>
      </w:r>
      <w:r w:rsidRPr="005B3743">
        <w:rPr>
          <w:rFonts w:asciiTheme="minorHAnsi" w:hAnsiTheme="minorHAnsi"/>
          <w:sz w:val="22"/>
          <w:szCs w:val="22"/>
        </w:rPr>
        <w:t xml:space="preserve"> tisíc korun českých) na realizaci projektu „</w:t>
      </w:r>
      <w:r w:rsidR="008A512E">
        <w:rPr>
          <w:rFonts w:asciiTheme="minorHAnsi" w:hAnsiTheme="minorHAnsi"/>
          <w:b/>
          <w:bCs/>
          <w:sz w:val="22"/>
          <w:szCs w:val="22"/>
        </w:rPr>
        <w:t>Podpora mládežnického hokeje v roce 2023</w:t>
      </w:r>
      <w:r w:rsidRPr="005B3743">
        <w:rPr>
          <w:rFonts w:asciiTheme="minorHAnsi" w:hAnsiTheme="minorHAnsi"/>
          <w:sz w:val="22"/>
          <w:szCs w:val="22"/>
        </w:rPr>
        <w:t>“ 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77777777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11E7741C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5212F035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Účelu dotace</w:t>
      </w:r>
      <w:r w:rsidR="00177473" w:rsidRPr="00F03365">
        <w:rPr>
          <w:rFonts w:asciiTheme="minorHAnsi" w:hAnsiTheme="minorHAnsi"/>
          <w:sz w:val="22"/>
          <w:szCs w:val="22"/>
        </w:rPr>
        <w:t xml:space="preserve"> a realizace projektu</w:t>
      </w:r>
      <w:r w:rsidRPr="00F03365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F03365">
        <w:rPr>
          <w:rFonts w:asciiTheme="minorHAnsi" w:hAnsiTheme="minorHAnsi"/>
          <w:b/>
          <w:sz w:val="22"/>
          <w:szCs w:val="22"/>
        </w:rPr>
        <w:t>31.12.</w:t>
      </w:r>
      <w:r w:rsidR="00C46289">
        <w:rPr>
          <w:rFonts w:asciiTheme="minorHAnsi" w:hAnsiTheme="minorHAnsi"/>
          <w:b/>
          <w:sz w:val="22"/>
          <w:szCs w:val="22"/>
        </w:rPr>
        <w:t>2023</w:t>
      </w:r>
      <w:r w:rsidRPr="00F03365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8A512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C785D">
        <w:rPr>
          <w:rFonts w:asciiTheme="minorHAnsi" w:hAnsiTheme="minorHAnsi"/>
          <w:sz w:val="22"/>
          <w:szCs w:val="22"/>
        </w:rPr>
        <w:t xml:space="preserve">při použití a vyúčtování poskytnuté dotace řídit se touto smlouvou, podmínkami uvedenými v Pravidlech a Zásadách a obecně </w:t>
      </w:r>
      <w:r w:rsidRPr="008A512E">
        <w:rPr>
          <w:rFonts w:asciiTheme="minorHAnsi" w:hAnsiTheme="minorHAnsi"/>
          <w:sz w:val="22"/>
          <w:szCs w:val="22"/>
        </w:rPr>
        <w:t>závaznými právními předpisy,</w:t>
      </w:r>
    </w:p>
    <w:p w14:paraId="1C301A3D" w14:textId="79C26DFC" w:rsidR="00CD3B0A" w:rsidRPr="008A512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A512E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BC785D" w:rsidRPr="008A512E">
        <w:rPr>
          <w:rFonts w:asciiTheme="minorHAnsi" w:hAnsiTheme="minorHAnsi"/>
          <w:sz w:val="22"/>
          <w:szCs w:val="22"/>
        </w:rPr>
        <w:t>30</w:t>
      </w:r>
      <w:r w:rsidR="00811AF4" w:rsidRPr="008A512E">
        <w:rPr>
          <w:rFonts w:asciiTheme="minorHAnsi" w:hAnsiTheme="minorHAnsi"/>
          <w:sz w:val="22"/>
          <w:szCs w:val="22"/>
        </w:rPr>
        <w:t>.</w:t>
      </w:r>
      <w:r w:rsidR="00177473" w:rsidRPr="008A512E">
        <w:rPr>
          <w:rFonts w:asciiTheme="minorHAnsi" w:hAnsiTheme="minorHAnsi"/>
          <w:sz w:val="22"/>
          <w:szCs w:val="22"/>
        </w:rPr>
        <w:t>12</w:t>
      </w:r>
      <w:r w:rsidR="00811AF4" w:rsidRPr="008A512E">
        <w:rPr>
          <w:rFonts w:asciiTheme="minorHAnsi" w:hAnsiTheme="minorHAnsi"/>
          <w:sz w:val="22"/>
          <w:szCs w:val="22"/>
        </w:rPr>
        <w:t>.</w:t>
      </w:r>
      <w:r w:rsidRPr="008A512E">
        <w:rPr>
          <w:rFonts w:asciiTheme="minorHAnsi" w:hAnsiTheme="minorHAnsi"/>
          <w:sz w:val="22"/>
          <w:szCs w:val="22"/>
        </w:rPr>
        <w:t>20</w:t>
      </w:r>
      <w:r w:rsidR="006917AC" w:rsidRPr="008A512E">
        <w:rPr>
          <w:rFonts w:asciiTheme="minorHAnsi" w:hAnsiTheme="minorHAnsi"/>
          <w:sz w:val="22"/>
          <w:szCs w:val="22"/>
        </w:rPr>
        <w:t>2</w:t>
      </w:r>
      <w:r w:rsidR="005B3743" w:rsidRPr="008A512E">
        <w:rPr>
          <w:rFonts w:asciiTheme="minorHAnsi" w:hAnsiTheme="minorHAnsi"/>
          <w:sz w:val="22"/>
          <w:szCs w:val="22"/>
        </w:rPr>
        <w:t>2</w:t>
      </w:r>
      <w:r w:rsidRPr="008A512E">
        <w:rPr>
          <w:rFonts w:asciiTheme="minorHAnsi" w:hAnsiTheme="minorHAnsi"/>
          <w:sz w:val="22"/>
          <w:szCs w:val="22"/>
        </w:rPr>
        <w:t xml:space="preserve"> a zaevidované poskytovatelem pod č. j. MmP </w:t>
      </w:r>
      <w:r w:rsidR="005B3743" w:rsidRPr="008A512E">
        <w:rPr>
          <w:rFonts w:asciiTheme="minorHAnsi" w:hAnsiTheme="minorHAnsi"/>
          <w:sz w:val="22"/>
          <w:szCs w:val="22"/>
        </w:rPr>
        <w:t>154</w:t>
      </w:r>
      <w:r w:rsidR="008A512E" w:rsidRPr="008A512E">
        <w:rPr>
          <w:rFonts w:asciiTheme="minorHAnsi" w:hAnsiTheme="minorHAnsi"/>
          <w:sz w:val="22"/>
          <w:szCs w:val="22"/>
        </w:rPr>
        <w:t>164</w:t>
      </w:r>
      <w:r w:rsidR="00177473" w:rsidRPr="008A512E">
        <w:rPr>
          <w:rFonts w:asciiTheme="minorHAnsi" w:hAnsiTheme="minorHAnsi"/>
          <w:sz w:val="22"/>
          <w:szCs w:val="22"/>
        </w:rPr>
        <w:t>/202</w:t>
      </w:r>
      <w:r w:rsidR="005B3743" w:rsidRPr="008A512E">
        <w:rPr>
          <w:rFonts w:asciiTheme="minorHAnsi" w:hAnsiTheme="minorHAnsi"/>
          <w:sz w:val="22"/>
          <w:szCs w:val="22"/>
        </w:rPr>
        <w:t>2</w:t>
      </w:r>
      <w:r w:rsidRPr="008A512E">
        <w:rPr>
          <w:rFonts w:asciiTheme="minorHAnsi" w:hAnsiTheme="minorHAnsi"/>
          <w:sz w:val="22"/>
          <w:szCs w:val="22"/>
        </w:rPr>
        <w:t>,</w:t>
      </w:r>
      <w:r w:rsidR="00177473" w:rsidRPr="008A512E">
        <w:rPr>
          <w:rFonts w:asciiTheme="minorHAnsi" w:hAnsiTheme="minorHAnsi"/>
          <w:sz w:val="22"/>
          <w:szCs w:val="22"/>
        </w:rPr>
        <w:t xml:space="preserve"> vyúčtovat dotaci na položky stanovené v rozpočtu, který je nedílnou součástí této smlouvy jako příloha č. 1,</w:t>
      </w:r>
    </w:p>
    <w:p w14:paraId="7C6B5565" w14:textId="77777777" w:rsidR="00CD3B0A" w:rsidRPr="006C0A7E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A512E">
        <w:rPr>
          <w:rFonts w:asciiTheme="minorHAnsi" w:hAnsiTheme="minorHAnsi"/>
          <w:sz w:val="22"/>
          <w:szCs w:val="22"/>
        </w:rPr>
        <w:t>vést ve svém účetnictví přehled o čerpání dotace na projekt odděleně</w:t>
      </w:r>
      <w:r w:rsidRPr="00BC785D">
        <w:rPr>
          <w:rFonts w:asciiTheme="minorHAnsi" w:hAnsiTheme="minorHAnsi"/>
          <w:sz w:val="22"/>
          <w:szCs w:val="22"/>
        </w:rPr>
        <w:t>, a to v</w:t>
      </w:r>
      <w:r w:rsidRPr="00BC785D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BC785D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BC785D">
        <w:rPr>
          <w:rFonts w:asciiTheme="minorHAnsi" w:hAnsiTheme="minorHAnsi" w:cstheme="minorHAnsi"/>
          <w:iCs/>
          <w:sz w:val="22"/>
          <w:szCs w:val="22"/>
        </w:rPr>
        <w:t xml:space="preserve">Vedením odděleně se rozumí při vedení podvojného </w:t>
      </w:r>
      <w:r w:rsidRPr="006C0A7E">
        <w:rPr>
          <w:rFonts w:asciiTheme="minorHAnsi" w:hAnsiTheme="minorHAnsi" w:cstheme="minorHAnsi"/>
          <w:iCs/>
          <w:sz w:val="22"/>
          <w:szCs w:val="22"/>
        </w:rPr>
        <w:t>účetnictví analyticky, na střediska nebo zakázky, při vedení účetnictví ve zjednodušeném rozsahu, jednoduchého účetnictví a daňové evidence způsobem umožňujícím jednoznačnou identifikaci poskytnuté dotace</w:t>
      </w:r>
      <w:r w:rsidRPr="006C0A7E">
        <w:rPr>
          <w:rFonts w:asciiTheme="minorHAnsi" w:hAnsiTheme="minorHAnsi" w:cstheme="minorHAnsi"/>
          <w:sz w:val="22"/>
          <w:szCs w:val="22"/>
        </w:rPr>
        <w:t>,</w:t>
      </w:r>
      <w:r w:rsidR="00CD3B0A" w:rsidRPr="006C0A7E">
        <w:rPr>
          <w:rFonts w:asciiTheme="minorHAnsi" w:hAnsiTheme="minorHAnsi"/>
          <w:sz w:val="22"/>
          <w:szCs w:val="22"/>
        </w:rPr>
        <w:t xml:space="preserve"> </w:t>
      </w:r>
    </w:p>
    <w:p w14:paraId="3CB80F95" w14:textId="4E3F23E1" w:rsidR="00CD3B0A" w:rsidRPr="006C0A7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6C0A7E">
        <w:rPr>
          <w:rFonts w:ascii="Calibri" w:hAnsi="Calibri"/>
          <w:sz w:val="22"/>
          <w:szCs w:val="22"/>
        </w:rPr>
        <w:t xml:space="preserve">předložit poskytovateli </w:t>
      </w:r>
      <w:r w:rsidRPr="006C0A7E">
        <w:rPr>
          <w:rFonts w:ascii="Calibri" w:hAnsi="Calibri"/>
          <w:b/>
          <w:sz w:val="22"/>
          <w:szCs w:val="22"/>
        </w:rPr>
        <w:t>nejpozději do </w:t>
      </w:r>
      <w:r w:rsidR="00177473" w:rsidRPr="006C0A7E">
        <w:rPr>
          <w:rFonts w:ascii="Calibri" w:hAnsi="Calibri"/>
          <w:b/>
          <w:sz w:val="22"/>
          <w:szCs w:val="22"/>
        </w:rPr>
        <w:t>31</w:t>
      </w:r>
      <w:r w:rsidRPr="006C0A7E">
        <w:rPr>
          <w:rFonts w:ascii="Calibri" w:hAnsi="Calibri"/>
          <w:b/>
          <w:sz w:val="22"/>
          <w:szCs w:val="22"/>
        </w:rPr>
        <w:t>.01.</w:t>
      </w:r>
      <w:r w:rsidR="00C46289" w:rsidRPr="006C0A7E">
        <w:rPr>
          <w:rFonts w:ascii="Calibri" w:hAnsi="Calibri"/>
          <w:b/>
          <w:sz w:val="22"/>
          <w:szCs w:val="22"/>
        </w:rPr>
        <w:t>2024</w:t>
      </w:r>
      <w:r w:rsidR="00C46289" w:rsidRPr="006C0A7E">
        <w:rPr>
          <w:rFonts w:ascii="Calibri" w:hAnsi="Calibri"/>
          <w:sz w:val="22"/>
          <w:szCs w:val="22"/>
        </w:rPr>
        <w:t xml:space="preserve"> </w:t>
      </w:r>
      <w:r w:rsidRPr="006C0A7E">
        <w:rPr>
          <w:rFonts w:ascii="Calibri" w:hAnsi="Calibri"/>
          <w:sz w:val="22"/>
          <w:szCs w:val="22"/>
        </w:rPr>
        <w:t xml:space="preserve">vyúčtování dotace, včetně čestného prohlášení o účelovém použití prostředků dotace, </w:t>
      </w:r>
      <w:r w:rsidR="009E3F17" w:rsidRPr="006C0A7E">
        <w:rPr>
          <w:rFonts w:ascii="Calibri" w:hAnsi="Calibri"/>
          <w:sz w:val="22"/>
          <w:szCs w:val="22"/>
        </w:rPr>
        <w:t>a to v listinné podobě nebo v elektronické podobě do datové schránky, s připojeným podpisem oprávněné osoby.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C0A7E">
        <w:rPr>
          <w:rFonts w:asciiTheme="minorHAnsi" w:hAnsiTheme="minorHAnsi"/>
          <w:sz w:val="22"/>
          <w:szCs w:val="22"/>
        </w:rPr>
        <w:t>účetní doklady vztahující se k dotaci viditelně, nesmazatelně a způsobem zaručujícím trvalost označit textem, ze kterého bude jednoznačně zřejmé, že doklad byl hrazen z dotace poskytovatele (např. uvedení nápisu: Financováno z dotace statutárního města Pardubice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0F8415DA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03365">
        <w:rPr>
          <w:rFonts w:asciiTheme="minorHAnsi" w:hAnsiTheme="minorHAnsi"/>
          <w:b/>
          <w:sz w:val="22"/>
          <w:szCs w:val="22"/>
        </w:rPr>
        <w:t xml:space="preserve">nejpozději do </w:t>
      </w:r>
      <w:r w:rsidR="00177473" w:rsidRPr="00F03365">
        <w:rPr>
          <w:rFonts w:asciiTheme="minorHAnsi" w:hAnsiTheme="minorHAnsi"/>
          <w:b/>
          <w:sz w:val="22"/>
          <w:szCs w:val="22"/>
        </w:rPr>
        <w:t>15.01.</w:t>
      </w:r>
      <w:r w:rsidR="009E3F17">
        <w:rPr>
          <w:rFonts w:asciiTheme="minorHAnsi" w:hAnsiTheme="minorHAnsi"/>
          <w:b/>
          <w:sz w:val="22"/>
          <w:szCs w:val="22"/>
        </w:rPr>
        <w:t>2024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15F8E212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</w:t>
      </w:r>
      <w:r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b/>
          <w:sz w:val="22"/>
          <w:szCs w:val="22"/>
        </w:rPr>
        <w:t>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177473" w:rsidRPr="00F03365">
        <w:rPr>
          <w:rFonts w:asciiTheme="minorHAnsi" w:hAnsiTheme="minorHAnsi"/>
          <w:b/>
          <w:sz w:val="22"/>
          <w:szCs w:val="22"/>
        </w:rPr>
        <w:t>31</w:t>
      </w:r>
      <w:r w:rsidR="004F7826" w:rsidRPr="00F03365">
        <w:rPr>
          <w:rFonts w:asciiTheme="minorHAnsi" w:hAnsiTheme="minorHAnsi"/>
          <w:b/>
          <w:sz w:val="22"/>
          <w:szCs w:val="22"/>
        </w:rPr>
        <w:t>.</w:t>
      </w:r>
      <w:r w:rsidRPr="00F03365">
        <w:rPr>
          <w:rFonts w:asciiTheme="minorHAnsi" w:hAnsiTheme="minorHAnsi"/>
          <w:b/>
          <w:sz w:val="22"/>
          <w:szCs w:val="22"/>
        </w:rPr>
        <w:t>01.</w:t>
      </w:r>
      <w:r w:rsidR="009E3F17">
        <w:rPr>
          <w:rFonts w:asciiTheme="minorHAnsi" w:hAnsiTheme="minorHAnsi"/>
          <w:b/>
          <w:sz w:val="22"/>
          <w:szCs w:val="22"/>
        </w:rPr>
        <w:t>2024</w:t>
      </w:r>
      <w:r w:rsidRPr="00F03365">
        <w:rPr>
          <w:rFonts w:asciiTheme="minorHAnsi" w:hAnsiTheme="minorHAnsi"/>
          <w:b/>
          <w:sz w:val="22"/>
          <w:szCs w:val="22"/>
        </w:rPr>
        <w:t>.</w:t>
      </w:r>
      <w:r w:rsidRPr="00F03365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56E7614C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 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177473" w:rsidRPr="00F03365">
        <w:rPr>
          <w:rFonts w:asciiTheme="minorHAnsi" w:hAnsiTheme="minorHAnsi"/>
          <w:b/>
          <w:sz w:val="22"/>
          <w:szCs w:val="22"/>
        </w:rPr>
        <w:t>31</w:t>
      </w:r>
      <w:r w:rsidR="004F7826" w:rsidRPr="00F03365">
        <w:rPr>
          <w:rFonts w:asciiTheme="minorHAnsi" w:hAnsiTheme="minorHAnsi"/>
          <w:b/>
          <w:sz w:val="22"/>
          <w:szCs w:val="22"/>
        </w:rPr>
        <w:t>.01.</w:t>
      </w:r>
      <w:r w:rsidR="009E3F17">
        <w:rPr>
          <w:rFonts w:asciiTheme="minorHAnsi" w:hAnsiTheme="minorHAnsi"/>
          <w:b/>
          <w:sz w:val="22"/>
          <w:szCs w:val="22"/>
        </w:rPr>
        <w:t>2024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51C8437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798D46CF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BE26697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7867E34" w14:textId="77777777" w:rsidR="00CD3B0A" w:rsidRPr="00C64B35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7DA47870" w14:textId="77777777" w:rsidR="00DE6083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29AD6217" w14:textId="77777777" w:rsidR="00DE6083" w:rsidRPr="00606EDE" w:rsidRDefault="00DE6083" w:rsidP="00577DE3">
      <w:pPr>
        <w:ind w:left="426" w:hanging="426"/>
      </w:pPr>
    </w:p>
    <w:p w14:paraId="7B98DA81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2037203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939AD56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44BBAAB0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E8FF1BC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2339A44C" w14:textId="77777777" w:rsidR="00DE6083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560B9C5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AC3A352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5D31DE" w14:textId="77777777" w:rsidR="00DE6083" w:rsidRPr="000929D4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r w:rsidRPr="000929D4">
        <w:rPr>
          <w:rFonts w:asciiTheme="minorHAnsi" w:hAnsiTheme="minorHAnsi" w:cs="Arial"/>
          <w:sz w:val="22"/>
        </w:rPr>
        <w:t xml:space="preserve">ust.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>o volném 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obecné nařízení o ochraně osobních údajů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0929D4">
        <w:rPr>
          <w:rFonts w:asciiTheme="minorHAnsi" w:hAnsiTheme="minorHAnsi" w:cstheme="minorHAnsi"/>
          <w:sz w:val="22"/>
          <w:szCs w:val="22"/>
        </w:rPr>
        <w:t>GDPR).</w:t>
      </w:r>
    </w:p>
    <w:p w14:paraId="384EEA84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878DC3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</w:t>
      </w:r>
      <w:r w:rsidRPr="001F31C9">
        <w:rPr>
          <w:rFonts w:asciiTheme="minorHAnsi" w:hAnsiTheme="minorHAnsi" w:cstheme="minorHAnsi"/>
          <w:color w:val="000000"/>
          <w:sz w:val="22"/>
          <w:szCs w:val="22"/>
        </w:rPr>
        <w:lastRenderedPageBreak/>
        <w:t>této smlouvy nesmí být vykládán v rozporu s výslovnými ustanoveními této smlouvy a nezakládá žádný závazek žádné ze stran.</w:t>
      </w:r>
    </w:p>
    <w:p w14:paraId="59565A70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0D86A67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6976EAF3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2205DF2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7EC0D571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C949A9" w14:textId="77777777" w:rsidR="00DE6083" w:rsidRPr="001F31C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331BAAB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772066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C6C6CEA" w14:textId="77777777" w:rsidR="00536010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358346E4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C26849">
        <w:rPr>
          <w:rFonts w:asciiTheme="minorHAnsi" w:hAnsiTheme="minorHAnsi"/>
          <w:sz w:val="22"/>
          <w:szCs w:val="22"/>
        </w:rPr>
        <w:t>29.03.2023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1C0B2E26" w14:textId="77777777" w:rsidR="008A512E" w:rsidRPr="000A22E6" w:rsidRDefault="008A512E" w:rsidP="008A512E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Za poskytovatele:</w:t>
      </w:r>
      <w:r w:rsidRPr="000A22E6">
        <w:rPr>
          <w:rFonts w:asciiTheme="minorHAnsi" w:hAnsiTheme="minorHAnsi"/>
          <w:sz w:val="22"/>
          <w:szCs w:val="22"/>
        </w:rPr>
        <w:tab/>
        <w:t>Za příjemce:</w:t>
      </w:r>
    </w:p>
    <w:p w14:paraId="73F61941" w14:textId="77777777" w:rsidR="008A512E" w:rsidRDefault="008A512E" w:rsidP="008A512E">
      <w:pPr>
        <w:rPr>
          <w:rFonts w:asciiTheme="minorHAnsi" w:hAnsiTheme="minorHAnsi"/>
          <w:sz w:val="22"/>
          <w:szCs w:val="22"/>
        </w:rPr>
      </w:pPr>
    </w:p>
    <w:p w14:paraId="4333CE52" w14:textId="77777777" w:rsidR="008A512E" w:rsidRDefault="008A512E" w:rsidP="008A512E">
      <w:pPr>
        <w:rPr>
          <w:rFonts w:asciiTheme="minorHAnsi" w:hAnsiTheme="minorHAnsi"/>
          <w:sz w:val="22"/>
          <w:szCs w:val="22"/>
        </w:rPr>
      </w:pPr>
    </w:p>
    <w:p w14:paraId="357EF56F" w14:textId="77777777" w:rsidR="008A512E" w:rsidRDefault="008A512E" w:rsidP="008A512E">
      <w:pPr>
        <w:rPr>
          <w:rFonts w:asciiTheme="minorHAnsi" w:hAnsiTheme="minorHAnsi"/>
          <w:sz w:val="22"/>
          <w:szCs w:val="22"/>
        </w:rPr>
      </w:pPr>
    </w:p>
    <w:p w14:paraId="629A6E67" w14:textId="77777777" w:rsidR="008A512E" w:rsidRDefault="008A512E" w:rsidP="008A512E">
      <w:pPr>
        <w:rPr>
          <w:rFonts w:asciiTheme="minorHAnsi" w:hAnsiTheme="minorHAnsi"/>
          <w:sz w:val="22"/>
          <w:szCs w:val="22"/>
        </w:rPr>
      </w:pPr>
    </w:p>
    <w:p w14:paraId="598A3F68" w14:textId="77777777" w:rsidR="008A512E" w:rsidRDefault="008A512E" w:rsidP="008A512E">
      <w:pPr>
        <w:rPr>
          <w:rFonts w:asciiTheme="minorHAnsi" w:hAnsiTheme="minorHAnsi"/>
          <w:sz w:val="22"/>
          <w:szCs w:val="22"/>
        </w:rPr>
      </w:pPr>
    </w:p>
    <w:p w14:paraId="27AF5864" w14:textId="77777777" w:rsidR="008A512E" w:rsidRDefault="008A512E" w:rsidP="008A512E">
      <w:pPr>
        <w:rPr>
          <w:rFonts w:asciiTheme="minorHAnsi" w:hAnsiTheme="minorHAnsi"/>
          <w:sz w:val="22"/>
          <w:szCs w:val="22"/>
        </w:rPr>
      </w:pPr>
    </w:p>
    <w:p w14:paraId="0CDEC57B" w14:textId="77777777" w:rsidR="008A512E" w:rsidRDefault="008A512E" w:rsidP="008A512E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</w:t>
      </w:r>
    </w:p>
    <w:p w14:paraId="594AA84B" w14:textId="77777777" w:rsidR="008A512E" w:rsidRDefault="008A512E" w:rsidP="008A512E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Mgr. Ivan Čonka</w:t>
      </w:r>
    </w:p>
    <w:p w14:paraId="20273052" w14:textId="77777777" w:rsidR="008A512E" w:rsidRDefault="008A512E" w:rsidP="008A512E">
      <w:pPr>
        <w:rPr>
          <w:rFonts w:asciiTheme="minorHAnsi" w:hAnsiTheme="minorHAnsi"/>
          <w:sz w:val="22"/>
          <w:szCs w:val="22"/>
        </w:rPr>
      </w:pPr>
    </w:p>
    <w:p w14:paraId="1A7582EC" w14:textId="77777777" w:rsidR="008A512E" w:rsidRDefault="008A512E" w:rsidP="008A512E">
      <w:pPr>
        <w:rPr>
          <w:rFonts w:asciiTheme="minorHAnsi" w:hAnsiTheme="minorHAnsi"/>
          <w:sz w:val="22"/>
          <w:szCs w:val="22"/>
        </w:rPr>
      </w:pPr>
    </w:p>
    <w:p w14:paraId="292C5600" w14:textId="77777777" w:rsidR="008A512E" w:rsidRDefault="008A512E" w:rsidP="008A512E">
      <w:pPr>
        <w:rPr>
          <w:rFonts w:asciiTheme="minorHAnsi" w:hAnsiTheme="minorHAnsi"/>
          <w:sz w:val="22"/>
          <w:szCs w:val="22"/>
        </w:rPr>
      </w:pPr>
    </w:p>
    <w:p w14:paraId="24EC15AB" w14:textId="77777777" w:rsidR="008A512E" w:rsidRDefault="008A512E" w:rsidP="008A512E">
      <w:pPr>
        <w:rPr>
          <w:rFonts w:asciiTheme="minorHAnsi" w:hAnsiTheme="minorHAnsi"/>
          <w:sz w:val="22"/>
          <w:szCs w:val="22"/>
        </w:rPr>
      </w:pPr>
    </w:p>
    <w:p w14:paraId="10080888" w14:textId="77777777" w:rsidR="008A512E" w:rsidRDefault="008A512E" w:rsidP="008A512E">
      <w:pPr>
        <w:rPr>
          <w:rFonts w:asciiTheme="minorHAnsi" w:hAnsiTheme="minorHAnsi"/>
          <w:sz w:val="22"/>
          <w:szCs w:val="22"/>
        </w:rPr>
      </w:pPr>
    </w:p>
    <w:p w14:paraId="1F3C00DB" w14:textId="77777777" w:rsidR="008A512E" w:rsidRDefault="008A512E" w:rsidP="008A512E">
      <w:pPr>
        <w:rPr>
          <w:rFonts w:asciiTheme="minorHAnsi" w:hAnsiTheme="minorHAnsi"/>
          <w:sz w:val="22"/>
          <w:szCs w:val="22"/>
        </w:rPr>
      </w:pPr>
    </w:p>
    <w:p w14:paraId="5BF994EB" w14:textId="77777777" w:rsidR="008A512E" w:rsidRPr="00515D12" w:rsidRDefault="008A512E" w:rsidP="008A512E">
      <w:pPr>
        <w:rPr>
          <w:rFonts w:asciiTheme="minorHAnsi" w:hAnsiTheme="minorHAnsi"/>
          <w:sz w:val="22"/>
          <w:szCs w:val="22"/>
        </w:rPr>
      </w:pPr>
    </w:p>
    <w:p w14:paraId="10D2E087" w14:textId="77777777" w:rsidR="008A512E" w:rsidRDefault="008A512E" w:rsidP="008A512E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</w:t>
      </w:r>
    </w:p>
    <w:p w14:paraId="04FC56C4" w14:textId="77777777" w:rsidR="008A512E" w:rsidRDefault="008A512E" w:rsidP="008A512E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Mgr. Ivana Liedermanová</w:t>
      </w:r>
      <w:r>
        <w:rPr>
          <w:rFonts w:asciiTheme="minorHAnsi" w:hAnsiTheme="minorHAnsi"/>
          <w:sz w:val="22"/>
          <w:szCs w:val="22"/>
        </w:rPr>
        <w:tab/>
        <w:t>Mgr. Ondřej Heřman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37C2FD96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5F8C4807" w:rsidR="00CD3B0A" w:rsidRPr="008455D8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usnesením Zastupitelstva </w:t>
      </w:r>
      <w:r w:rsidRPr="008455D8">
        <w:rPr>
          <w:rFonts w:asciiTheme="minorHAnsi" w:hAnsiTheme="minorHAnsi"/>
          <w:sz w:val="20"/>
          <w:szCs w:val="20"/>
        </w:rPr>
        <w:fldChar w:fldCharType="begin"/>
      </w:r>
      <w:r w:rsidRPr="008455D8">
        <w:rPr>
          <w:rFonts w:asciiTheme="minorHAnsi" w:hAnsiTheme="minorHAnsi"/>
          <w:sz w:val="20"/>
          <w:szCs w:val="20"/>
        </w:rPr>
        <w:instrText xml:space="preserve"> Schvaleno </w:instrText>
      </w:r>
      <w:r w:rsidRPr="008455D8">
        <w:rPr>
          <w:rFonts w:asciiTheme="minorHAnsi" w:hAnsiTheme="minorHAnsi"/>
          <w:sz w:val="20"/>
          <w:szCs w:val="20"/>
        </w:rPr>
        <w:fldChar w:fldCharType="separate"/>
      </w:r>
      <w:r w:rsidRPr="008455D8">
        <w:rPr>
          <w:rFonts w:ascii="Calibri" w:hAnsi="Calibri"/>
          <w:sz w:val="20"/>
          <w:szCs w:val="20"/>
        </w:rPr>
        <w:t>města Pardubic</w:t>
      </w:r>
      <w:r w:rsidRPr="008455D8">
        <w:rPr>
          <w:rFonts w:asciiTheme="minorHAnsi" w:hAnsiTheme="minorHAnsi"/>
          <w:sz w:val="20"/>
          <w:szCs w:val="20"/>
        </w:rPr>
        <w:fldChar w:fldCharType="end"/>
      </w:r>
      <w:r w:rsidRPr="008455D8">
        <w:rPr>
          <w:rFonts w:asciiTheme="minorHAnsi" w:hAnsiTheme="minorHAnsi"/>
          <w:sz w:val="20"/>
          <w:szCs w:val="20"/>
        </w:rPr>
        <w:t xml:space="preserve"> č</w:t>
      </w:r>
      <w:r w:rsidR="00577DE3" w:rsidRPr="008455D8">
        <w:rPr>
          <w:rFonts w:asciiTheme="minorHAnsi" w:hAnsiTheme="minorHAnsi"/>
          <w:sz w:val="20"/>
          <w:szCs w:val="20"/>
        </w:rPr>
        <w:t>. Z/</w:t>
      </w:r>
      <w:r w:rsidR="00BF38A4">
        <w:rPr>
          <w:rFonts w:asciiTheme="minorHAnsi" w:hAnsiTheme="minorHAnsi"/>
          <w:sz w:val="20"/>
          <w:szCs w:val="20"/>
        </w:rPr>
        <w:t>172</w:t>
      </w:r>
      <w:r w:rsidRPr="008455D8">
        <w:rPr>
          <w:rFonts w:asciiTheme="minorHAnsi" w:hAnsiTheme="minorHAnsi"/>
          <w:sz w:val="20"/>
          <w:szCs w:val="20"/>
        </w:rPr>
        <w:t>/</w:t>
      </w:r>
      <w:r w:rsidR="009E3F17">
        <w:rPr>
          <w:rFonts w:asciiTheme="minorHAnsi" w:hAnsiTheme="minorHAnsi"/>
          <w:sz w:val="20"/>
          <w:szCs w:val="20"/>
        </w:rPr>
        <w:t>2023</w:t>
      </w:r>
      <w:r w:rsidR="009E3F17" w:rsidRPr="008455D8">
        <w:rPr>
          <w:rFonts w:asciiTheme="minorHAnsi" w:hAnsiTheme="minorHAnsi"/>
          <w:sz w:val="20"/>
          <w:szCs w:val="20"/>
        </w:rPr>
        <w:t xml:space="preserve"> </w:t>
      </w:r>
      <w:r w:rsidRPr="008455D8">
        <w:rPr>
          <w:rFonts w:asciiTheme="minorHAnsi" w:hAnsiTheme="minorHAnsi"/>
          <w:sz w:val="20"/>
          <w:szCs w:val="20"/>
        </w:rPr>
        <w:t xml:space="preserve">ze dne </w:t>
      </w:r>
      <w:r w:rsidR="009E3F17">
        <w:rPr>
          <w:rFonts w:asciiTheme="minorHAnsi" w:hAnsiTheme="minorHAnsi"/>
          <w:sz w:val="20"/>
          <w:szCs w:val="20"/>
        </w:rPr>
        <w:t>30.01.2023</w:t>
      </w:r>
      <w:r w:rsidRPr="008455D8">
        <w:rPr>
          <w:rFonts w:asciiTheme="minorHAnsi" w:hAnsiTheme="minorHAnsi"/>
          <w:sz w:val="20"/>
          <w:szCs w:val="20"/>
        </w:rPr>
        <w:t>.</w:t>
      </w:r>
    </w:p>
    <w:p w14:paraId="31DBFEFF" w14:textId="664ECD26" w:rsidR="00872320" w:rsidRDefault="002C7B01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EF222E">
          <w:headerReference w:type="default" r:id="rId13"/>
          <w:footerReference w:type="even" r:id="rId14"/>
          <w:footerReference w:type="default" r:id="rId15"/>
          <w:headerReference w:type="first" r:id="rId16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docGrid w:linePitch="326"/>
        </w:sectPr>
      </w:pPr>
      <w:r w:rsidRPr="008455D8">
        <w:rPr>
          <w:rFonts w:asciiTheme="minorHAnsi" w:hAnsiTheme="minorHAnsi"/>
          <w:sz w:val="20"/>
          <w:szCs w:val="20"/>
        </w:rPr>
        <w:t>Ing. Jana Kroupová</w:t>
      </w:r>
      <w:r w:rsidR="00CD3B0A" w:rsidRPr="008455D8">
        <w:rPr>
          <w:rFonts w:asciiTheme="minorHAnsi" w:hAnsiTheme="minorHAnsi"/>
          <w:sz w:val="20"/>
          <w:szCs w:val="20"/>
        </w:rPr>
        <w:t>, ekonomické odd. odboru školství, kultury a sportu Magistrátu města Pardubic</w:t>
      </w: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2440"/>
        <w:gridCol w:w="2220"/>
      </w:tblGrid>
      <w:tr w:rsidR="008A512E" w:rsidRPr="008A512E" w14:paraId="587EE8E8" w14:textId="77777777" w:rsidTr="008A512E">
        <w:trPr>
          <w:trHeight w:val="420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4214" w14:textId="77777777" w:rsidR="008A512E" w:rsidRPr="008A512E" w:rsidRDefault="008A512E" w:rsidP="008A512E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bookmarkStart w:id="0" w:name="RANGE!A1:C39"/>
            <w:r w:rsidRPr="008A512E">
              <w:rPr>
                <w:rFonts w:ascii="Calibri" w:hAnsi="Calibri" w:cs="Calibri"/>
                <w:b/>
                <w:bCs/>
                <w:sz w:val="32"/>
                <w:szCs w:val="32"/>
              </w:rPr>
              <w:lastRenderedPageBreak/>
              <w:t>PODROBNÝ ROZPOČET AKCE/PROJEKTU</w:t>
            </w:r>
            <w:bookmarkEnd w:id="0"/>
          </w:p>
        </w:tc>
      </w:tr>
      <w:tr w:rsidR="008A512E" w:rsidRPr="008A512E" w14:paraId="55729A41" w14:textId="77777777" w:rsidTr="008A512E">
        <w:trPr>
          <w:trHeight w:val="199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FED9" w14:textId="77777777" w:rsidR="008A512E" w:rsidRPr="008A512E" w:rsidRDefault="008A512E" w:rsidP="008A512E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8A512E" w:rsidRPr="008A512E" w14:paraId="116546C7" w14:textId="77777777" w:rsidTr="008A512E">
        <w:trPr>
          <w:trHeight w:val="31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949E22" w14:textId="77777777" w:rsidR="008A512E" w:rsidRPr="008A512E" w:rsidRDefault="008A512E" w:rsidP="008A51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512E">
              <w:rPr>
                <w:rFonts w:ascii="Calibri" w:hAnsi="Calibri" w:cs="Calibri"/>
                <w:b/>
                <w:bCs/>
                <w:sz w:val="22"/>
                <w:szCs w:val="22"/>
              </w:rPr>
              <w:t>Název akce/projektu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551E" w14:textId="77777777" w:rsidR="008A512E" w:rsidRPr="008A512E" w:rsidRDefault="008A512E" w:rsidP="008A512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A512E">
              <w:rPr>
                <w:rFonts w:ascii="Calibri" w:hAnsi="Calibri" w:cs="Calibri"/>
                <w:b/>
                <w:bCs/>
              </w:rPr>
              <w:t>Podpora mládežnického hokeje v roce 2023</w:t>
            </w:r>
          </w:p>
        </w:tc>
      </w:tr>
      <w:tr w:rsidR="008A512E" w:rsidRPr="008A512E" w14:paraId="72CE643E" w14:textId="77777777" w:rsidTr="008A512E">
        <w:trPr>
          <w:trHeight w:val="885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902D4" w14:textId="77777777" w:rsidR="008A512E" w:rsidRPr="008A512E" w:rsidRDefault="008A512E" w:rsidP="008A512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A512E">
              <w:rPr>
                <w:rFonts w:ascii="Calibri" w:hAnsi="Calibri" w:cs="Calibri"/>
                <w:i/>
                <w:iCs/>
                <w:sz w:val="22"/>
                <w:szCs w:val="22"/>
              </w:rPr>
              <w:t>Věnujte sestavení rozpočtu patřičnou pozornost, protože se stane součástí smlouvy a bude podle něj požadováno vyúčtování poskytnuté dotace, a to dle položek uvedených ve sloupci "Požadovaná dotace (Kč)"</w:t>
            </w:r>
          </w:p>
        </w:tc>
      </w:tr>
      <w:tr w:rsidR="008A512E" w:rsidRPr="008A512E" w14:paraId="5280708B" w14:textId="77777777" w:rsidTr="008A512E">
        <w:trPr>
          <w:trHeight w:val="6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E887A5" w14:textId="77777777" w:rsidR="008A512E" w:rsidRPr="008A512E" w:rsidRDefault="008A512E" w:rsidP="008A51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512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Výdaje na akci/projekt  </w:t>
            </w:r>
            <w:r w:rsidRPr="008A512E">
              <w:rPr>
                <w:rFonts w:ascii="Calibri" w:hAnsi="Calibri" w:cs="Calibri"/>
                <w:i/>
                <w:iCs/>
                <w:sz w:val="22"/>
                <w:szCs w:val="22"/>
              </w:rPr>
              <w:t>(uveďte jednotlivé položky)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A8BF26" w14:textId="77777777" w:rsidR="008A512E" w:rsidRPr="008A512E" w:rsidRDefault="008A512E" w:rsidP="008A51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512E">
              <w:rPr>
                <w:rFonts w:ascii="Calibri" w:hAnsi="Calibri" w:cs="Calibri"/>
                <w:b/>
                <w:bCs/>
                <w:sz w:val="22"/>
                <w:szCs w:val="22"/>
              </w:rPr>
              <w:t>Částka (Kč)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B9F889" w14:textId="77777777" w:rsidR="008A512E" w:rsidRPr="008A512E" w:rsidRDefault="008A512E" w:rsidP="008A512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A5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Požadovaná dotace (Kč)</w:t>
            </w:r>
          </w:p>
        </w:tc>
      </w:tr>
      <w:tr w:rsidR="008A512E" w:rsidRPr="008A512E" w14:paraId="2B9F8F69" w14:textId="77777777" w:rsidTr="008A512E">
        <w:trPr>
          <w:trHeight w:val="6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56FF" w14:textId="77777777" w:rsidR="008A512E" w:rsidRPr="008A512E" w:rsidRDefault="008A512E" w:rsidP="008A512E">
            <w:pPr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>pronájem nebytových prostor, kabin a ostatní pronájem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2797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>1 370 138,00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931D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512E">
              <w:rPr>
                <w:rFonts w:ascii="Calibri" w:hAnsi="Calibri" w:cs="Calibri"/>
                <w:b/>
                <w:bCs/>
                <w:sz w:val="22"/>
                <w:szCs w:val="22"/>
              </w:rPr>
              <w:t>1 200 000,00</w:t>
            </w:r>
          </w:p>
        </w:tc>
      </w:tr>
      <w:tr w:rsidR="008A512E" w:rsidRPr="008A512E" w14:paraId="5EC64212" w14:textId="77777777" w:rsidTr="008A512E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7AC0" w14:textId="77777777" w:rsidR="008A512E" w:rsidRPr="008A512E" w:rsidRDefault="008A512E" w:rsidP="008A512E">
            <w:pPr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>pronájem sportovišť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D5CA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>4 729 424,00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8F83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512E">
              <w:rPr>
                <w:rFonts w:ascii="Calibri" w:hAnsi="Calibri" w:cs="Calibri"/>
                <w:b/>
                <w:bCs/>
                <w:sz w:val="22"/>
                <w:szCs w:val="22"/>
              </w:rPr>
              <w:t>4 100 000,00</w:t>
            </w:r>
          </w:p>
        </w:tc>
      </w:tr>
      <w:tr w:rsidR="008A512E" w:rsidRPr="008A512E" w14:paraId="57938DED" w14:textId="77777777" w:rsidTr="008A512E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9031" w14:textId="77777777" w:rsidR="008A512E" w:rsidRPr="008A512E" w:rsidRDefault="008A512E" w:rsidP="008A512E">
            <w:pPr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 xml:space="preserve">energie, vodné, teplo,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97F8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>1 800 000,00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DBC9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512E">
              <w:rPr>
                <w:rFonts w:ascii="Calibri" w:hAnsi="Calibri" w:cs="Calibri"/>
                <w:b/>
                <w:bCs/>
                <w:sz w:val="22"/>
                <w:szCs w:val="22"/>
              </w:rPr>
              <w:t>1 500 000,00</w:t>
            </w:r>
          </w:p>
        </w:tc>
      </w:tr>
      <w:tr w:rsidR="008A512E" w:rsidRPr="008A512E" w14:paraId="1DD3E233" w14:textId="77777777" w:rsidTr="008A512E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AA1E" w14:textId="77777777" w:rsidR="008A512E" w:rsidRPr="008A512E" w:rsidRDefault="008A512E" w:rsidP="008A512E">
            <w:pPr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>trenéři, asistenti, metodici, fyzio, broušení bruslí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25C1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>9 957 606,00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2353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512E">
              <w:rPr>
                <w:rFonts w:ascii="Calibri" w:hAnsi="Calibri" w:cs="Calibri"/>
                <w:b/>
                <w:bCs/>
                <w:sz w:val="22"/>
                <w:szCs w:val="22"/>
              </w:rPr>
              <w:t>5 500 000,00</w:t>
            </w:r>
          </w:p>
        </w:tc>
      </w:tr>
      <w:tr w:rsidR="008A512E" w:rsidRPr="008A512E" w14:paraId="11558B7C" w14:textId="77777777" w:rsidTr="008A512E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7719" w14:textId="77777777" w:rsidR="008A512E" w:rsidRPr="008A512E" w:rsidRDefault="008A512E" w:rsidP="008A512E">
            <w:pPr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>mzdy - DPP (zdravotníci, lékaři, trenéři, ostatní)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D93D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>630 000,00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ED39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512E">
              <w:rPr>
                <w:rFonts w:ascii="Calibri" w:hAnsi="Calibri" w:cs="Calibri"/>
                <w:b/>
                <w:bCs/>
                <w:sz w:val="22"/>
                <w:szCs w:val="22"/>
              </w:rPr>
              <w:t>500 000,00</w:t>
            </w:r>
          </w:p>
        </w:tc>
      </w:tr>
      <w:tr w:rsidR="008A512E" w:rsidRPr="008A512E" w14:paraId="184BECD5" w14:textId="77777777" w:rsidTr="008A512E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DD8E" w14:textId="77777777" w:rsidR="008A512E" w:rsidRPr="008A512E" w:rsidRDefault="008A512E" w:rsidP="008A512E">
            <w:pPr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>hokejová výstroj a výzbroj, ošacení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4B55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>2 794 000,00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BEF0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512E">
              <w:rPr>
                <w:rFonts w:ascii="Calibri" w:hAnsi="Calibri" w:cs="Calibri"/>
                <w:b/>
                <w:bCs/>
                <w:sz w:val="22"/>
                <w:szCs w:val="22"/>
              </w:rPr>
              <w:t>600 000,00</w:t>
            </w:r>
          </w:p>
        </w:tc>
      </w:tr>
      <w:tr w:rsidR="008A512E" w:rsidRPr="008A512E" w14:paraId="0EF77CCB" w14:textId="77777777" w:rsidTr="008A512E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7395" w14:textId="77777777" w:rsidR="008A512E" w:rsidRPr="008A512E" w:rsidRDefault="008A512E" w:rsidP="008A512E">
            <w:pPr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>rozhodčí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EA8D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>800 000,00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11BE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512E">
              <w:rPr>
                <w:rFonts w:ascii="Calibri" w:hAnsi="Calibri" w:cs="Calibri"/>
                <w:b/>
                <w:bCs/>
                <w:sz w:val="22"/>
                <w:szCs w:val="22"/>
              </w:rPr>
              <w:t>500 000,00</w:t>
            </w:r>
          </w:p>
        </w:tc>
      </w:tr>
      <w:tr w:rsidR="008A512E" w:rsidRPr="008A512E" w14:paraId="7F331EFE" w14:textId="77777777" w:rsidTr="008A512E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3842" w14:textId="77777777" w:rsidR="008A512E" w:rsidRPr="008A512E" w:rsidRDefault="008A512E" w:rsidP="008A512E">
            <w:pPr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>doprava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24E0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>2 200 000,00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8A9B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512E">
              <w:rPr>
                <w:rFonts w:ascii="Calibri" w:hAnsi="Calibri" w:cs="Calibri"/>
                <w:b/>
                <w:bCs/>
                <w:sz w:val="22"/>
                <w:szCs w:val="22"/>
              </w:rPr>
              <w:t>600 000,00</w:t>
            </w:r>
          </w:p>
        </w:tc>
      </w:tr>
      <w:tr w:rsidR="008A512E" w:rsidRPr="008A512E" w14:paraId="69CF4297" w14:textId="77777777" w:rsidTr="008A512E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E970" w14:textId="77777777" w:rsidR="008A512E" w:rsidRPr="008A512E" w:rsidRDefault="008A512E" w:rsidP="008A512E">
            <w:pPr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>strava a ubytování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4E93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>3 030 000,00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0B8F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512E">
              <w:rPr>
                <w:rFonts w:ascii="Calibri" w:hAnsi="Calibri" w:cs="Calibri"/>
                <w:b/>
                <w:bCs/>
                <w:sz w:val="22"/>
                <w:szCs w:val="22"/>
              </w:rPr>
              <w:t>2 000 000,00</w:t>
            </w:r>
          </w:p>
        </w:tc>
      </w:tr>
      <w:tr w:rsidR="008A512E" w:rsidRPr="008A512E" w14:paraId="231942F3" w14:textId="77777777" w:rsidTr="008A512E">
        <w:trPr>
          <w:trHeight w:val="6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8C4C" w14:textId="77777777" w:rsidR="008A512E" w:rsidRPr="008A512E" w:rsidRDefault="008A512E" w:rsidP="008A512E">
            <w:pPr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 xml:space="preserve">ostatní služby (úklid, IT, servis, vyšetření, opravy, školení,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199A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>980 000,00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E230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512E">
              <w:rPr>
                <w:rFonts w:ascii="Calibri" w:hAnsi="Calibri" w:cs="Calibri"/>
                <w:b/>
                <w:bCs/>
                <w:sz w:val="22"/>
                <w:szCs w:val="22"/>
              </w:rPr>
              <w:t>350 000,00</w:t>
            </w:r>
          </w:p>
        </w:tc>
      </w:tr>
      <w:tr w:rsidR="008A512E" w:rsidRPr="008A512E" w14:paraId="1E54C4FD" w14:textId="77777777" w:rsidTr="008A512E">
        <w:trPr>
          <w:trHeight w:val="6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3354" w14:textId="77777777" w:rsidR="008A512E" w:rsidRPr="008A512E" w:rsidRDefault="008A512E" w:rsidP="008A512E">
            <w:pPr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>OPN (materiál, marketing, poplatky, registrace, startovné, licence apod.)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E932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>1 816 324,00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E82C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512E">
              <w:rPr>
                <w:rFonts w:ascii="Calibri" w:hAnsi="Calibri" w:cs="Calibri"/>
                <w:b/>
                <w:bCs/>
                <w:sz w:val="22"/>
                <w:szCs w:val="22"/>
              </w:rPr>
              <w:t>250 000,00</w:t>
            </w:r>
          </w:p>
        </w:tc>
      </w:tr>
      <w:tr w:rsidR="008A512E" w:rsidRPr="008A512E" w14:paraId="41C142F1" w14:textId="77777777" w:rsidTr="008A512E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F20E" w14:textId="77777777" w:rsidR="008A512E" w:rsidRPr="008A512E" w:rsidRDefault="008A512E" w:rsidP="008A512E">
            <w:pPr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>Ostatní náklady (PHM, půjčovné, potraviny apod.)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DC41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>1 776 250,00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62F0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512E">
              <w:rPr>
                <w:rFonts w:ascii="Calibri" w:hAnsi="Calibri" w:cs="Calibri"/>
                <w:b/>
                <w:bCs/>
                <w:sz w:val="22"/>
                <w:szCs w:val="22"/>
              </w:rPr>
              <w:t>0,00</w:t>
            </w:r>
          </w:p>
        </w:tc>
      </w:tr>
      <w:tr w:rsidR="008A512E" w:rsidRPr="008A512E" w14:paraId="538A6A00" w14:textId="77777777" w:rsidTr="008A512E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31E268" w14:textId="77777777" w:rsidR="008A512E" w:rsidRPr="008A512E" w:rsidRDefault="008A512E" w:rsidP="008A51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512E">
              <w:rPr>
                <w:rFonts w:ascii="Calibri" w:hAnsi="Calibri" w:cs="Calibri"/>
                <w:b/>
                <w:bCs/>
                <w:sz w:val="22"/>
                <w:szCs w:val="22"/>
              </w:rPr>
              <w:t>Celkové výdaje na akci/projekt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C774DD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512E">
              <w:rPr>
                <w:rFonts w:ascii="Calibri" w:hAnsi="Calibri" w:cs="Calibri"/>
                <w:b/>
                <w:bCs/>
                <w:sz w:val="22"/>
                <w:szCs w:val="22"/>
              </w:rPr>
              <w:t>31 883 742,00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DB2E41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512E">
              <w:rPr>
                <w:rFonts w:ascii="Calibri" w:hAnsi="Calibri" w:cs="Calibri"/>
                <w:b/>
                <w:bCs/>
                <w:sz w:val="22"/>
                <w:szCs w:val="22"/>
              </w:rPr>
              <w:t>17 100 000,00</w:t>
            </w:r>
          </w:p>
        </w:tc>
      </w:tr>
      <w:tr w:rsidR="008A512E" w:rsidRPr="008A512E" w14:paraId="34F1994C" w14:textId="77777777" w:rsidTr="008A512E">
        <w:trPr>
          <w:trHeight w:val="585"/>
        </w:trPr>
        <w:tc>
          <w:tcPr>
            <w:tcW w:w="96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115B8B" w14:textId="77777777" w:rsidR="008A512E" w:rsidRPr="008A512E" w:rsidRDefault="008A512E" w:rsidP="008A512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A512E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8A512E" w:rsidRPr="008A512E" w14:paraId="1F47CBA1" w14:textId="77777777" w:rsidTr="008A512E">
        <w:trPr>
          <w:trHeight w:val="199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2BC1F" w14:textId="77777777" w:rsidR="008A512E" w:rsidRPr="008A512E" w:rsidRDefault="008A512E" w:rsidP="008A512E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8A512E" w:rsidRPr="008A512E" w14:paraId="3EC4B487" w14:textId="77777777" w:rsidTr="008A512E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05B9537" w14:textId="77777777" w:rsidR="008A512E" w:rsidRPr="008A512E" w:rsidRDefault="008A512E" w:rsidP="008A51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512E">
              <w:rPr>
                <w:rFonts w:ascii="Calibri" w:hAnsi="Calibri" w:cs="Calibri"/>
                <w:b/>
                <w:bCs/>
                <w:sz w:val="22"/>
                <w:szCs w:val="22"/>
              </w:rPr>
              <w:t>Předpokládané příjmy na akci/projekt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781B85" w14:textId="77777777" w:rsidR="008A512E" w:rsidRPr="008A512E" w:rsidRDefault="008A512E" w:rsidP="008A51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512E">
              <w:rPr>
                <w:rFonts w:ascii="Calibri" w:hAnsi="Calibri" w:cs="Calibri"/>
                <w:b/>
                <w:bCs/>
                <w:sz w:val="22"/>
                <w:szCs w:val="22"/>
              </w:rPr>
              <w:t>Částka (Kč)</w:t>
            </w:r>
          </w:p>
        </w:tc>
      </w:tr>
      <w:tr w:rsidR="008A512E" w:rsidRPr="008A512E" w14:paraId="1734A8C2" w14:textId="77777777" w:rsidTr="008A512E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E7896" w14:textId="77777777" w:rsidR="008A512E" w:rsidRPr="008A512E" w:rsidRDefault="008A512E" w:rsidP="008A512E">
            <w:pPr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>Startovné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C84B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>80 000,00</w:t>
            </w:r>
          </w:p>
        </w:tc>
      </w:tr>
      <w:tr w:rsidR="008A512E" w:rsidRPr="008A512E" w14:paraId="2FCACA9B" w14:textId="77777777" w:rsidTr="008A512E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3AE734" w14:textId="77777777" w:rsidR="008A512E" w:rsidRPr="008A512E" w:rsidRDefault="008A512E" w:rsidP="008A512E">
            <w:pPr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>Vstupné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8FBB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A512E" w:rsidRPr="008A512E" w14:paraId="5381E35D" w14:textId="77777777" w:rsidTr="008A512E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CB75B4" w14:textId="77777777" w:rsidR="008A512E" w:rsidRPr="008A512E" w:rsidRDefault="008A512E" w:rsidP="008A512E">
            <w:pPr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>Příspěvky sponzorů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2241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A512E" w:rsidRPr="008A512E" w14:paraId="02EAACC0" w14:textId="77777777" w:rsidTr="008A512E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C5920" w14:textId="77777777" w:rsidR="008A512E" w:rsidRPr="008A512E" w:rsidRDefault="008A512E" w:rsidP="008A512E">
            <w:pPr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 xml:space="preserve">Požadovaná výše dotace od statutárního města Pardubice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0182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>17 100 000,00</w:t>
            </w:r>
          </w:p>
        </w:tc>
      </w:tr>
      <w:tr w:rsidR="008A512E" w:rsidRPr="008A512E" w14:paraId="65B8D69D" w14:textId="77777777" w:rsidTr="008A512E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F1F107" w14:textId="77777777" w:rsidR="008A512E" w:rsidRPr="008A512E" w:rsidRDefault="008A512E" w:rsidP="008A512E">
            <w:pPr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>Dotace od jiných subjektů:     - Pardubický kraj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8AFC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>2 100 000,00</w:t>
            </w:r>
          </w:p>
        </w:tc>
      </w:tr>
      <w:tr w:rsidR="008A512E" w:rsidRPr="008A512E" w14:paraId="7796D947" w14:textId="77777777" w:rsidTr="008A512E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E229E" w14:textId="77777777" w:rsidR="008A512E" w:rsidRPr="008A512E" w:rsidRDefault="008A512E" w:rsidP="008A512E">
            <w:pPr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- Národní sportovní agentura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0294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A512E" w:rsidRPr="008A512E" w14:paraId="5C59DB84" w14:textId="77777777" w:rsidTr="008A512E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A801C" w14:textId="77777777" w:rsidR="008A512E" w:rsidRPr="008A512E" w:rsidRDefault="008A512E" w:rsidP="008A512E">
            <w:pPr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 xml:space="preserve">Vlastní zdroje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B42D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>12 603 742,00</w:t>
            </w:r>
          </w:p>
        </w:tc>
      </w:tr>
      <w:tr w:rsidR="008A512E" w:rsidRPr="008A512E" w14:paraId="6E8C1034" w14:textId="77777777" w:rsidTr="008A512E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7477E" w14:textId="77777777" w:rsidR="008A512E" w:rsidRPr="008A512E" w:rsidRDefault="008A512E" w:rsidP="008A512E">
            <w:pPr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>Ostatní (rozepište):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A63C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A512E" w:rsidRPr="008A512E" w14:paraId="2A13023E" w14:textId="77777777" w:rsidTr="008A512E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5694E1" w14:textId="77777777" w:rsidR="008A512E" w:rsidRPr="008A512E" w:rsidRDefault="008A512E" w:rsidP="008A512E">
            <w:pPr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A2420" w14:textId="77777777" w:rsidR="008A512E" w:rsidRPr="008A512E" w:rsidRDefault="008A512E" w:rsidP="008A512E">
            <w:pPr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B5CA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A512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A512E" w:rsidRPr="008A512E" w14:paraId="73259B27" w14:textId="77777777" w:rsidTr="008A512E">
        <w:trPr>
          <w:trHeight w:val="300"/>
        </w:trPr>
        <w:tc>
          <w:tcPr>
            <w:tcW w:w="7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466D700" w14:textId="77777777" w:rsidR="008A512E" w:rsidRPr="008A512E" w:rsidRDefault="008A512E" w:rsidP="008A51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512E">
              <w:rPr>
                <w:rFonts w:ascii="Calibri" w:hAnsi="Calibri" w:cs="Calibri"/>
                <w:b/>
                <w:bCs/>
                <w:sz w:val="22"/>
                <w:szCs w:val="22"/>
              </w:rPr>
              <w:t>Celkové příjmy z akce/projektu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52FFA2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512E">
              <w:rPr>
                <w:rFonts w:ascii="Calibri" w:hAnsi="Calibri" w:cs="Calibri"/>
                <w:b/>
                <w:bCs/>
                <w:sz w:val="22"/>
                <w:szCs w:val="22"/>
              </w:rPr>
              <w:t>31 883 742,00</w:t>
            </w:r>
          </w:p>
        </w:tc>
      </w:tr>
      <w:tr w:rsidR="008A512E" w:rsidRPr="008A512E" w14:paraId="0B361914" w14:textId="77777777" w:rsidTr="008A512E">
        <w:trPr>
          <w:trHeight w:val="300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E14F1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A512E" w:rsidRPr="008A512E" w14:paraId="3C3EB857" w14:textId="77777777" w:rsidTr="008A512E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6CB83B" w14:textId="77777777" w:rsidR="008A512E" w:rsidRPr="008A512E" w:rsidRDefault="008A512E" w:rsidP="008A51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512E">
              <w:rPr>
                <w:rFonts w:ascii="Calibri" w:hAnsi="Calibri" w:cs="Calibri"/>
                <w:b/>
                <w:bCs/>
                <w:sz w:val="22"/>
                <w:szCs w:val="22"/>
              </w:rPr>
              <w:t>Bilance rozpočtu akce/projektu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E49078" w14:textId="77777777" w:rsidR="008A512E" w:rsidRPr="008A512E" w:rsidRDefault="008A512E" w:rsidP="008A51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512E">
              <w:rPr>
                <w:rFonts w:ascii="Calibri" w:hAnsi="Calibri" w:cs="Calibri"/>
                <w:b/>
                <w:bCs/>
                <w:sz w:val="22"/>
                <w:szCs w:val="22"/>
              </w:rPr>
              <w:t>Částka (Kč)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707B0" w14:textId="77777777" w:rsidR="008A512E" w:rsidRPr="008A512E" w:rsidRDefault="008A512E" w:rsidP="008A51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A512E" w:rsidRPr="008A512E" w14:paraId="68D35EE8" w14:textId="77777777" w:rsidTr="008A512E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AD6F" w14:textId="77777777" w:rsidR="008A512E" w:rsidRPr="008A512E" w:rsidRDefault="008A512E" w:rsidP="008A51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512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4E45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512E">
              <w:rPr>
                <w:rFonts w:ascii="Calibri" w:hAnsi="Calibri" w:cs="Calibri"/>
                <w:b/>
                <w:bCs/>
                <w:sz w:val="22"/>
                <w:szCs w:val="22"/>
              </w:rPr>
              <w:t>31 883 742,00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B89D3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A512E" w:rsidRPr="008A512E" w14:paraId="00CABB58" w14:textId="77777777" w:rsidTr="008A512E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E2D8" w14:textId="77777777" w:rsidR="008A512E" w:rsidRPr="008A512E" w:rsidRDefault="008A512E" w:rsidP="008A51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512E">
              <w:rPr>
                <w:rFonts w:ascii="Calibri" w:hAnsi="Calibri" w:cs="Calibri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35EA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512E">
              <w:rPr>
                <w:rFonts w:ascii="Calibri" w:hAnsi="Calibri" w:cs="Calibri"/>
                <w:b/>
                <w:bCs/>
                <w:sz w:val="22"/>
                <w:szCs w:val="22"/>
              </w:rPr>
              <w:t>31 883 742,00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C0363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A512E" w:rsidRPr="008A512E" w14:paraId="78377380" w14:textId="77777777" w:rsidTr="008A512E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81D24B" w14:textId="77777777" w:rsidR="008A512E" w:rsidRPr="008A512E" w:rsidRDefault="008A512E" w:rsidP="008A51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512E">
              <w:rPr>
                <w:rFonts w:ascii="Calibri" w:hAnsi="Calibri" w:cs="Calibri"/>
                <w:b/>
                <w:bCs/>
                <w:sz w:val="22"/>
                <w:szCs w:val="22"/>
              </w:rPr>
              <w:t>Rozdíl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6D7159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A512E">
              <w:rPr>
                <w:rFonts w:ascii="Calibri" w:hAnsi="Calibri" w:cs="Calibr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22A23" w14:textId="77777777" w:rsidR="008A512E" w:rsidRPr="008A512E" w:rsidRDefault="008A512E" w:rsidP="008A512E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5FD24CF5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CD3B0A" w:rsidSect="004F7826">
      <w:headerReference w:type="first" r:id="rId17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8DDE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F56918" w14:textId="77777777" w:rsidR="00241A8F" w:rsidRDefault="00C2684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55257"/>
      <w:docPartObj>
        <w:docPartGallery w:val="Page Numbers (Bottom of Page)"/>
        <w:docPartUnique/>
      </w:docPartObj>
    </w:sdtPr>
    <w:sdtEndPr/>
    <w:sdtContent>
      <w:p w14:paraId="2A65B627" w14:textId="5FBD6E15" w:rsidR="00EF222E" w:rsidRDefault="00EF22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BB66" w14:textId="77777777" w:rsidR="00241A8F" w:rsidRDefault="00C26849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71AF" w14:textId="3B4C5921" w:rsidR="00EF222E" w:rsidRDefault="00EF222E">
    <w:pPr>
      <w:pStyle w:val="Zhlav"/>
    </w:pPr>
  </w:p>
  <w:p w14:paraId="7B04216C" w14:textId="688335A7" w:rsidR="00EF222E" w:rsidRDefault="00EF222E">
    <w:pPr>
      <w:pStyle w:val="Zhlav"/>
    </w:pPr>
  </w:p>
  <w:p w14:paraId="0CAE269B" w14:textId="2832E2F2" w:rsidR="00EF222E" w:rsidRDefault="00EF222E">
    <w:pPr>
      <w:pStyle w:val="Zhlav"/>
    </w:pPr>
  </w:p>
  <w:p w14:paraId="43392C10" w14:textId="77777777" w:rsidR="006A1F45" w:rsidRDefault="006A1F4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043A" w14:textId="76778B02" w:rsidR="00AE6FDF" w:rsidRDefault="00AE6FDF">
    <w:pPr>
      <w:pStyle w:val="Zhlav"/>
    </w:pPr>
  </w:p>
  <w:p w14:paraId="631CB898" w14:textId="5FE29C92" w:rsidR="005B3743" w:rsidRDefault="005B3743">
    <w:pPr>
      <w:pStyle w:val="Zhlav"/>
    </w:pPr>
  </w:p>
  <w:p w14:paraId="139D88D3" w14:textId="6B55E8A9" w:rsidR="005B3743" w:rsidRDefault="005B3743">
    <w:pPr>
      <w:pStyle w:val="Zhlav"/>
    </w:pPr>
    <w:r>
      <w:t xml:space="preserve">Příloha usnesení č. </w:t>
    </w:r>
    <w:r w:rsidRPr="0056743A">
      <w:rPr>
        <w:highlight w:val="yellow"/>
      </w:rPr>
      <w:t>1</w:t>
    </w: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394A" w14:textId="77777777" w:rsidR="00872320" w:rsidRDefault="00872320">
    <w:pPr>
      <w:pStyle w:val="Zhlav"/>
    </w:pPr>
  </w:p>
  <w:p w14:paraId="0BAFBBAE" w14:textId="77777777" w:rsidR="00872320" w:rsidRDefault="00872320">
    <w:pPr>
      <w:pStyle w:val="Zhlav"/>
    </w:pPr>
  </w:p>
  <w:p w14:paraId="6FBFB5FC" w14:textId="77777777" w:rsidR="00872320" w:rsidRDefault="00872320" w:rsidP="00AE6FDF">
    <w:pPr>
      <w:pStyle w:val="Zhlav"/>
      <w:rPr>
        <w:rFonts w:asciiTheme="minorHAnsi" w:hAnsiTheme="minorHAnsi" w:cstheme="minorHAnsi"/>
        <w:i/>
      </w:rPr>
    </w:pPr>
    <w:r w:rsidRPr="00322DD6">
      <w:rPr>
        <w:rFonts w:asciiTheme="minorHAnsi" w:hAnsiTheme="minorHAnsi"/>
        <w:b/>
        <w:sz w:val="22"/>
        <w:szCs w:val="22"/>
      </w:rPr>
      <w:t>Příloha č. 1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449277964">
    <w:abstractNumId w:val="16"/>
  </w:num>
  <w:num w:numId="2" w16cid:durableId="995381965">
    <w:abstractNumId w:val="19"/>
  </w:num>
  <w:num w:numId="3" w16cid:durableId="2073696642">
    <w:abstractNumId w:val="3"/>
  </w:num>
  <w:num w:numId="4" w16cid:durableId="1744376624">
    <w:abstractNumId w:val="20"/>
  </w:num>
  <w:num w:numId="5" w16cid:durableId="1637569101">
    <w:abstractNumId w:val="7"/>
  </w:num>
  <w:num w:numId="6" w16cid:durableId="767434966">
    <w:abstractNumId w:val="10"/>
  </w:num>
  <w:num w:numId="7" w16cid:durableId="2110539745">
    <w:abstractNumId w:val="18"/>
  </w:num>
  <w:num w:numId="8" w16cid:durableId="1757242974">
    <w:abstractNumId w:val="9"/>
  </w:num>
  <w:num w:numId="9" w16cid:durableId="62146069">
    <w:abstractNumId w:val="13"/>
  </w:num>
  <w:num w:numId="10" w16cid:durableId="1463694809">
    <w:abstractNumId w:val="0"/>
  </w:num>
  <w:num w:numId="11" w16cid:durableId="1726489092">
    <w:abstractNumId w:val="15"/>
  </w:num>
  <w:num w:numId="12" w16cid:durableId="67466398">
    <w:abstractNumId w:val="17"/>
  </w:num>
  <w:num w:numId="13" w16cid:durableId="85273789">
    <w:abstractNumId w:val="21"/>
  </w:num>
  <w:num w:numId="14" w16cid:durableId="2028825545">
    <w:abstractNumId w:val="5"/>
  </w:num>
  <w:num w:numId="15" w16cid:durableId="902326947">
    <w:abstractNumId w:val="6"/>
  </w:num>
  <w:num w:numId="16" w16cid:durableId="491457915">
    <w:abstractNumId w:val="11"/>
  </w:num>
  <w:num w:numId="17" w16cid:durableId="1953240124">
    <w:abstractNumId w:val="8"/>
  </w:num>
  <w:num w:numId="18" w16cid:durableId="45883451">
    <w:abstractNumId w:val="12"/>
  </w:num>
  <w:num w:numId="19" w16cid:durableId="240408722">
    <w:abstractNumId w:val="2"/>
  </w:num>
  <w:num w:numId="20" w16cid:durableId="2095741707">
    <w:abstractNumId w:val="4"/>
  </w:num>
  <w:num w:numId="21" w16cid:durableId="294725404">
    <w:abstractNumId w:val="14"/>
  </w:num>
  <w:num w:numId="22" w16cid:durableId="1517114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457C"/>
    <w:rsid w:val="00080349"/>
    <w:rsid w:val="00094CFE"/>
    <w:rsid w:val="000A0147"/>
    <w:rsid w:val="000B79C0"/>
    <w:rsid w:val="000C5054"/>
    <w:rsid w:val="000C7287"/>
    <w:rsid w:val="000F7E7A"/>
    <w:rsid w:val="001001C1"/>
    <w:rsid w:val="00107834"/>
    <w:rsid w:val="00113C3D"/>
    <w:rsid w:val="00126D25"/>
    <w:rsid w:val="001369A2"/>
    <w:rsid w:val="00156F3F"/>
    <w:rsid w:val="00161C77"/>
    <w:rsid w:val="00164740"/>
    <w:rsid w:val="00177473"/>
    <w:rsid w:val="00177B9D"/>
    <w:rsid w:val="0019135A"/>
    <w:rsid w:val="00196C43"/>
    <w:rsid w:val="001A7479"/>
    <w:rsid w:val="001B1447"/>
    <w:rsid w:val="001C42DC"/>
    <w:rsid w:val="001C4966"/>
    <w:rsid w:val="001D4FD4"/>
    <w:rsid w:val="001E5D57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C7B01"/>
    <w:rsid w:val="002E0237"/>
    <w:rsid w:val="002E3288"/>
    <w:rsid w:val="002E6D8D"/>
    <w:rsid w:val="002F00F9"/>
    <w:rsid w:val="0030161D"/>
    <w:rsid w:val="00304439"/>
    <w:rsid w:val="00310AEF"/>
    <w:rsid w:val="00311EE6"/>
    <w:rsid w:val="003140A4"/>
    <w:rsid w:val="00320AC5"/>
    <w:rsid w:val="00322DD6"/>
    <w:rsid w:val="00346869"/>
    <w:rsid w:val="00347987"/>
    <w:rsid w:val="0038224A"/>
    <w:rsid w:val="003B5C4F"/>
    <w:rsid w:val="003C153B"/>
    <w:rsid w:val="003C25DC"/>
    <w:rsid w:val="003E591D"/>
    <w:rsid w:val="003F7AC8"/>
    <w:rsid w:val="00420D16"/>
    <w:rsid w:val="004243B0"/>
    <w:rsid w:val="00427888"/>
    <w:rsid w:val="00436CC4"/>
    <w:rsid w:val="00443056"/>
    <w:rsid w:val="00484E8E"/>
    <w:rsid w:val="0049429F"/>
    <w:rsid w:val="004B190A"/>
    <w:rsid w:val="004B7B70"/>
    <w:rsid w:val="004C2811"/>
    <w:rsid w:val="004E3C79"/>
    <w:rsid w:val="004F7826"/>
    <w:rsid w:val="00535813"/>
    <w:rsid w:val="00536010"/>
    <w:rsid w:val="005501FD"/>
    <w:rsid w:val="005629B3"/>
    <w:rsid w:val="00565984"/>
    <w:rsid w:val="0056743A"/>
    <w:rsid w:val="00571C32"/>
    <w:rsid w:val="00577DE3"/>
    <w:rsid w:val="00581417"/>
    <w:rsid w:val="00581980"/>
    <w:rsid w:val="005920F0"/>
    <w:rsid w:val="005A0A3E"/>
    <w:rsid w:val="005A0E57"/>
    <w:rsid w:val="005A375E"/>
    <w:rsid w:val="005B3743"/>
    <w:rsid w:val="005F7BF3"/>
    <w:rsid w:val="006021C0"/>
    <w:rsid w:val="00604D57"/>
    <w:rsid w:val="006051CC"/>
    <w:rsid w:val="00621543"/>
    <w:rsid w:val="00637F66"/>
    <w:rsid w:val="006442CD"/>
    <w:rsid w:val="00645FCC"/>
    <w:rsid w:val="006564E0"/>
    <w:rsid w:val="00662BD3"/>
    <w:rsid w:val="0067290F"/>
    <w:rsid w:val="00691486"/>
    <w:rsid w:val="006917AC"/>
    <w:rsid w:val="00696A0E"/>
    <w:rsid w:val="006A1F45"/>
    <w:rsid w:val="006A2D31"/>
    <w:rsid w:val="006B11B7"/>
    <w:rsid w:val="006B1844"/>
    <w:rsid w:val="006C0A7E"/>
    <w:rsid w:val="006C0E73"/>
    <w:rsid w:val="006C40A3"/>
    <w:rsid w:val="006C6432"/>
    <w:rsid w:val="006D3843"/>
    <w:rsid w:val="006D5456"/>
    <w:rsid w:val="006E700E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75D0"/>
    <w:rsid w:val="007F765A"/>
    <w:rsid w:val="00811AF4"/>
    <w:rsid w:val="008149BC"/>
    <w:rsid w:val="00822EFA"/>
    <w:rsid w:val="00844BB2"/>
    <w:rsid w:val="008455D8"/>
    <w:rsid w:val="00861368"/>
    <w:rsid w:val="00872320"/>
    <w:rsid w:val="00877910"/>
    <w:rsid w:val="008A4CDB"/>
    <w:rsid w:val="008A512E"/>
    <w:rsid w:val="008B131C"/>
    <w:rsid w:val="008B3F83"/>
    <w:rsid w:val="008C22A2"/>
    <w:rsid w:val="008D2316"/>
    <w:rsid w:val="008D443C"/>
    <w:rsid w:val="008D53F1"/>
    <w:rsid w:val="008D6A1C"/>
    <w:rsid w:val="008D7FF1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5A3C"/>
    <w:rsid w:val="009D60BC"/>
    <w:rsid w:val="009D694E"/>
    <w:rsid w:val="009E3F17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E1E26"/>
    <w:rsid w:val="00AE6FDF"/>
    <w:rsid w:val="00B0295C"/>
    <w:rsid w:val="00B075D7"/>
    <w:rsid w:val="00B10BC8"/>
    <w:rsid w:val="00B30AA4"/>
    <w:rsid w:val="00B426A5"/>
    <w:rsid w:val="00B46E3A"/>
    <w:rsid w:val="00B56957"/>
    <w:rsid w:val="00B61C81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BC785D"/>
    <w:rsid w:val="00BD13C8"/>
    <w:rsid w:val="00BF38A4"/>
    <w:rsid w:val="00C26849"/>
    <w:rsid w:val="00C36C43"/>
    <w:rsid w:val="00C46289"/>
    <w:rsid w:val="00C46811"/>
    <w:rsid w:val="00C64BA1"/>
    <w:rsid w:val="00C8265D"/>
    <w:rsid w:val="00C8537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D6E14"/>
    <w:rsid w:val="00DE6083"/>
    <w:rsid w:val="00DE74F5"/>
    <w:rsid w:val="00E10816"/>
    <w:rsid w:val="00E12558"/>
    <w:rsid w:val="00E21A6E"/>
    <w:rsid w:val="00E22236"/>
    <w:rsid w:val="00E31367"/>
    <w:rsid w:val="00E43CB5"/>
    <w:rsid w:val="00E44E3C"/>
    <w:rsid w:val="00E522E8"/>
    <w:rsid w:val="00E5397A"/>
    <w:rsid w:val="00E57D96"/>
    <w:rsid w:val="00E67506"/>
    <w:rsid w:val="00E77A44"/>
    <w:rsid w:val="00E85EBF"/>
    <w:rsid w:val="00EA598B"/>
    <w:rsid w:val="00EB5E74"/>
    <w:rsid w:val="00EC510D"/>
    <w:rsid w:val="00ED2D4B"/>
    <w:rsid w:val="00EE1818"/>
    <w:rsid w:val="00EF222E"/>
    <w:rsid w:val="00EF353F"/>
    <w:rsid w:val="00EF4BE6"/>
    <w:rsid w:val="00F032F8"/>
    <w:rsid w:val="00F03365"/>
    <w:rsid w:val="00F230FE"/>
    <w:rsid w:val="00F53D8A"/>
    <w:rsid w:val="00F5783E"/>
    <w:rsid w:val="00F63730"/>
    <w:rsid w:val="00F64832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FAFC4B-DC2E-48EE-A9F7-60D4A8BF98DF}">
  <ds:schemaRefs>
    <ds:schemaRef ds:uri="http://schemas.openxmlformats.org/package/2006/metadata/core-properties"/>
    <ds:schemaRef ds:uri="df30a891-99dc-44a0-9782-3a4c8c525d86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f94004b3-5c85-4b6f-b2cb-b6e165aced0d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7</Pages>
  <Words>2507</Words>
  <Characters>14796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8</cp:revision>
  <cp:lastPrinted>2023-03-24T07:24:00Z</cp:lastPrinted>
  <dcterms:created xsi:type="dcterms:W3CDTF">2023-01-09T10:24:00Z</dcterms:created>
  <dcterms:modified xsi:type="dcterms:W3CDTF">2023-03-29T09:31:00Z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