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59" w:rsidRDefault="00DE699D">
      <w:pPr>
        <w:pStyle w:val="Zkladntext60"/>
        <w:shd w:val="clear" w:color="auto" w:fill="auto"/>
      </w:pPr>
      <w:r>
        <w:t>CRA\\'</w:t>
      </w:r>
    </w:p>
    <w:p w:rsidR="00963D59" w:rsidRDefault="00DE699D">
      <w:pPr>
        <w:pStyle w:val="Zkladntext50"/>
        <w:shd w:val="clear" w:color="auto" w:fill="auto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  <w:u w:val="none"/>
        </w:rPr>
        <w:t>Dodatek č. 1</w:t>
      </w:r>
    </w:p>
    <w:p w:rsidR="00963D59" w:rsidRDefault="00DE699D">
      <w:pPr>
        <w:pStyle w:val="Zkladntext30"/>
        <w:shd w:val="clear" w:color="auto" w:fill="auto"/>
        <w:spacing w:after="120" w:line="240" w:lineRule="auto"/>
        <w:ind w:left="140"/>
      </w:pPr>
      <w:r>
        <w:rPr>
          <w:b/>
          <w:bCs/>
          <w:i w:val="0"/>
          <w:iCs w:val="0"/>
        </w:rPr>
        <w:t>k Rámcové smlouvě o poskytování veřejně dostupných služeb elektronických komunikací číslo 2015-512899 ze dne 29.12.2014 (dále jen „Rámcová smlouva“).</w:t>
      </w:r>
    </w:p>
    <w:p w:rsidR="00963D59" w:rsidRDefault="00DE699D">
      <w:pPr>
        <w:pStyle w:val="Zkladntext30"/>
        <w:shd w:val="clear" w:color="auto" w:fill="auto"/>
        <w:spacing w:after="160"/>
        <w:ind w:left="0" w:firstLine="0"/>
        <w:jc w:val="right"/>
      </w:pPr>
      <w:r>
        <w:rPr>
          <w:b/>
          <w:bCs/>
          <w:i w:val="0"/>
          <w:iCs w:val="0"/>
        </w:rPr>
        <w:t>Číslo zákazníka:</w:t>
      </w:r>
    </w:p>
    <w:p w:rsidR="00963D59" w:rsidRDefault="00DE699D">
      <w:pPr>
        <w:pStyle w:val="Zkladntext30"/>
        <w:shd w:val="clear" w:color="auto" w:fill="auto"/>
        <w:spacing w:after="120"/>
        <w:ind w:left="8880" w:firstLine="0"/>
      </w:pPr>
      <w:r>
        <w:rPr>
          <w:b/>
          <w:bCs/>
          <w:i w:val="0"/>
          <w:iCs w:val="0"/>
        </w:rPr>
        <w:t>30031401</w:t>
      </w:r>
    </w:p>
    <w:p w:rsidR="00963D59" w:rsidRDefault="00DE699D">
      <w:pPr>
        <w:pStyle w:val="Zkladntext30"/>
        <w:shd w:val="clear" w:color="auto" w:fill="auto"/>
        <w:spacing w:after="0"/>
        <w:ind w:left="0" w:firstLine="0"/>
        <w:jc w:val="center"/>
      </w:pPr>
      <w:r>
        <w:rPr>
          <w:b/>
          <w:bCs/>
          <w:i w:val="0"/>
          <w:iCs w:val="0"/>
        </w:rPr>
        <w:t>Smluvní strany:</w:t>
      </w:r>
    </w:p>
    <w:p w:rsidR="00963D59" w:rsidRDefault="00DE699D">
      <w:pPr>
        <w:pStyle w:val="Zkladntext50"/>
        <w:shd w:val="clear" w:color="auto" w:fill="auto"/>
        <w:spacing w:line="218" w:lineRule="auto"/>
      </w:pPr>
      <w:r>
        <w:t>Poskytovatel: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0"/>
        <w:jc w:val="both"/>
      </w:pPr>
      <w:r>
        <w:rPr>
          <w:b/>
          <w:bCs/>
        </w:rPr>
        <w:t xml:space="preserve">České Radiokomunikace a.s., </w:t>
      </w:r>
      <w:r>
        <w:t xml:space="preserve">Skokanská 2117/1, Břevnov, 169 00 Praha 6, IČO: 24738875, DIČ: CZ24738875, akciová společnost zapsána v obchodním rejstříku vedeném Městským soudem v Praze, oddíl B, vložka 16505, Bankovní spojení: ING Bank N. V., 1000347105/3500 </w:t>
      </w:r>
      <w:r>
        <w:rPr>
          <w:vertAlign w:val="subscript"/>
        </w:rPr>
        <w:t>i</w:t>
      </w:r>
      <w:r>
        <w:t>Oprávněnýzástupce:In</w:t>
      </w:r>
      <w:r>
        <w:rPr>
          <w:vertAlign w:val="subscript"/>
        </w:rPr>
        <w:t>2</w:t>
      </w:r>
      <w:r>
        <w:t>.MilošMasWk,</w:t>
      </w:r>
      <w:r>
        <w:rPr>
          <w:vertAlign w:val="subscript"/>
        </w:rPr>
        <w:t>í</w:t>
      </w:r>
      <w:r>
        <w:t>enerá^íředitel,na</w:t>
      </w:r>
      <w:r>
        <w:rPr>
          <w:vertAlign w:val="subscript"/>
        </w:rPr>
        <w:t>i</w:t>
      </w:r>
      <w:r>
        <w:t>zákadě</w:t>
      </w:r>
      <w:r>
        <w:rPr>
          <w:vertAlign w:val="subscript"/>
        </w:rPr>
        <w:t>i£</w:t>
      </w:r>
      <w:r>
        <w:t>inémoc^^^^^^^^^^^_^^^^^^^^^^^_</w:t>
      </w:r>
    </w:p>
    <w:p w:rsidR="00963D59" w:rsidRDefault="00DE699D">
      <w:pPr>
        <w:pStyle w:val="Zkladntext50"/>
        <w:shd w:val="clear" w:color="auto" w:fill="auto"/>
        <w:spacing w:line="218" w:lineRule="auto"/>
      </w:pPr>
      <w:r>
        <w:t>Účastník: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0"/>
      </w:pPr>
      <w:r>
        <w:rPr>
          <w:b/>
          <w:bCs/>
        </w:rPr>
        <w:t>Obchodní firma nebo název právnické</w:t>
      </w:r>
    </w:p>
    <w:p w:rsidR="00963D59" w:rsidRDefault="00DE699D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049"/>
        </w:tabs>
        <w:spacing w:after="120" w:line="230" w:lineRule="auto"/>
        <w:ind w:left="0" w:firstLine="140"/>
      </w:pPr>
      <w:r>
        <w:rPr>
          <w:b/>
          <w:bCs/>
          <w:i w:val="0"/>
          <w:iCs w:val="0"/>
          <w:sz w:val="14"/>
          <w:szCs w:val="14"/>
        </w:rPr>
        <w:t>osoby / Příjmení:</w:t>
      </w:r>
      <w:r>
        <w:rPr>
          <w:b/>
          <w:bCs/>
          <w:i w:val="0"/>
          <w:iCs w:val="0"/>
          <w:sz w:val="14"/>
          <w:szCs w:val="14"/>
        </w:rPr>
        <w:tab/>
      </w:r>
      <w:r>
        <w:rPr>
          <w:b/>
          <w:bCs/>
          <w:i w:val="0"/>
          <w:iCs w:val="0"/>
        </w:rPr>
        <w:t>Národní památkový ústav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příspěvková organizace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36"/>
          <w:tab w:val="left" w:pos="4441"/>
        </w:tabs>
      </w:pPr>
      <w:r>
        <w:t>IČO / datum narození:</w:t>
      </w:r>
      <w:r>
        <w:tab/>
        <w:t>75032333</w:t>
      </w:r>
      <w:r>
        <w:tab/>
        <w:t>DIČ: CZ75032333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Sídlo/ místo podnikání/ bydliště: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Ulice, čp Valdštejnské náměstí 162/3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22"/>
          <w:tab w:val="left" w:pos="6097"/>
          <w:tab w:val="left" w:pos="6658"/>
          <w:tab w:val="left" w:pos="7897"/>
        </w:tabs>
      </w:pPr>
      <w:r>
        <w:t>Město:</w:t>
      </w:r>
      <w:r>
        <w:tab/>
        <w:t>Praha 1</w:t>
      </w:r>
      <w:r>
        <w:tab/>
        <w:t>PSČ:</w:t>
      </w:r>
      <w:r>
        <w:tab/>
        <w:t>118 01</w:t>
      </w:r>
      <w:r>
        <w:tab/>
        <w:t>Kraj: Praha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Doručovací adresa (pokud se liší od adresy účastníka):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9"/>
          <w:tab w:val="left" w:pos="4750"/>
          <w:tab w:val="left" w:pos="7239"/>
        </w:tabs>
      </w:pPr>
      <w:r>
        <w:t>Bankovní spojení:</w:t>
      </w:r>
      <w:r>
        <w:tab/>
        <w:t>ČNB</w:t>
      </w:r>
      <w:r>
        <w:tab/>
        <w:t>Číslo účtu / kód banky:</w:t>
      </w:r>
      <w:r>
        <w:tab/>
        <w:t>810003-60039011 / 0710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736"/>
          <w:tab w:val="left" w:pos="4750"/>
        </w:tabs>
        <w:spacing w:after="160"/>
      </w:pPr>
      <w:r>
        <w:t>Způsob platby:</w:t>
      </w:r>
      <w:r>
        <w:tab/>
        <w:t>E Bankovním převodem</w:t>
      </w:r>
      <w:r>
        <w:tab/>
        <w:t>□ Složenkou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Oprávněný zástupce účastníka: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9"/>
        </w:tabs>
        <w:jc w:val="both"/>
      </w:pPr>
      <w:r>
        <w:t>Jméno, příjmení:</w:t>
      </w:r>
      <w:r>
        <w:tab/>
        <w:t>Ing. arch. Naděžda Goryczková, generální ředitelka</w:t>
      </w:r>
    </w:p>
    <w:p w:rsidR="00963D59" w:rsidRDefault="00DE699D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  <w:jc w:val="both"/>
      </w:pPr>
      <w:r>
        <w:t xml:space="preserve">Adresa bydliště (pokud se liší od adresy účastníka): </w:t>
      </w:r>
      <w:r w:rsidR="00392071">
        <w:t>xxx</w:t>
      </w:r>
    </w:p>
    <w:p w:rsidR="00963D59" w:rsidRDefault="00DE699D">
      <w:pPr>
        <w:pStyle w:val="Zkladntext1"/>
        <w:shd w:val="clear" w:color="auto" w:fill="auto"/>
        <w:spacing w:after="160"/>
        <w:ind w:left="140" w:firstLine="20"/>
      </w:pPr>
      <w:r>
        <w:t>K Rámcové smlouvě bylo dne 29.12.2014 uzavřeno příslušné Zvláštní ujednání ve smyslu odpovídající smluvní dokumentace (dále jen „Zvláštní ujednání“). Po vzájemné dohodě obou smluvních stran se tímto dodatkem doplňuje Zvláštní ujednání v čl. 2. na konci o nový odst. 2.17 takto:</w:t>
      </w:r>
    </w:p>
    <w:p w:rsidR="00963D59" w:rsidRDefault="00DE699D">
      <w:pPr>
        <w:pStyle w:val="Zkladntext1"/>
        <w:shd w:val="clear" w:color="auto" w:fill="auto"/>
        <w:spacing w:after="120"/>
        <w:ind w:left="680" w:hanging="520"/>
        <w:jc w:val="both"/>
      </w:pPr>
      <w:r>
        <w:t>2.17 Změna Ceníku služeb. V bodu 3.3 „Smluvní pokuta“ Ceníku služeb se ruší poslední odstavec a nahrazuje se novým zněním takto:</w:t>
      </w:r>
    </w:p>
    <w:p w:rsidR="00963D59" w:rsidRDefault="00DE699D">
      <w:pPr>
        <w:pStyle w:val="Zkladntext30"/>
        <w:shd w:val="clear" w:color="auto" w:fill="auto"/>
        <w:spacing w:after="200"/>
        <w:jc w:val="both"/>
      </w:pPr>
      <w:r>
        <w:t>„Smluvní pokuta může být vyúčtována za každé jednotlivé porušení kterékoli povinnosti Účastníka uvedené v čl. 5.2.1 - 5.2.15 Všeobecných obchodních podmínek. Smluvní pokutou není dotčeno právo Poskytovatele na náhradu škody v plné výši. V případech uvedených v či. 5.2.1 - 5.2.3, 5.2.5 - 5.2.8 a 5.2.10 - 5.2.15 Všeobecných obchodních podmínek lze smluvní pokutu uplatnit a vyúčtovat ze strany Poskytovatele až tehdy, pokud Účastník nezjedná nápravu ani v přiměřené lhůtě stanovené mu Poskytovatelem písemným oznámením.“</w:t>
      </w:r>
    </w:p>
    <w:p w:rsidR="00963D59" w:rsidRDefault="00DE699D">
      <w:pPr>
        <w:pStyle w:val="Zkladntext1"/>
        <w:shd w:val="clear" w:color="auto" w:fill="auto"/>
        <w:ind w:left="140" w:firstLine="20"/>
        <w:sectPr w:rsidR="00963D59">
          <w:pgSz w:w="11900" w:h="16840"/>
          <w:pgMar w:top="1002" w:right="615" w:bottom="370" w:left="782" w:header="574" w:footer="3" w:gutter="0"/>
          <w:pgNumType w:start="1"/>
          <w:cols w:space="720"/>
          <w:noEndnote/>
          <w:docGrid w:linePitch="360"/>
        </w:sectPr>
      </w:pPr>
      <w:r>
        <w:t>Tento dodatek č. 1 nabývá platnosti a účinnosti dnem podpisu oběma smluvními stranami, přičemž platí datum pozdějšího podpisu. Tento dodatek je nedílnou součástí Rámcové smlouvy a Zvláštního ujednání. Články a ustanovení nedotčené tímto dodatkem zůstávají zachovány beze změny. Dodatek je vyhotoven ve dvou stejnopisech, každá smluvní strana obdrží jedno vyhotovení.</w:t>
      </w:r>
    </w:p>
    <w:p w:rsidR="00963D59" w:rsidRDefault="00963D59">
      <w:pPr>
        <w:spacing w:line="98" w:lineRule="exact"/>
        <w:rPr>
          <w:sz w:val="8"/>
          <w:szCs w:val="8"/>
        </w:rPr>
      </w:pPr>
    </w:p>
    <w:p w:rsidR="00963D59" w:rsidRDefault="00963D59">
      <w:pPr>
        <w:spacing w:line="1" w:lineRule="exact"/>
        <w:sectPr w:rsidR="00963D59">
          <w:type w:val="continuous"/>
          <w:pgSz w:w="11900" w:h="16840"/>
          <w:pgMar w:top="1002" w:right="0" w:bottom="370" w:left="0" w:header="0" w:footer="3" w:gutter="0"/>
          <w:cols w:space="720"/>
          <w:noEndnote/>
          <w:docGrid w:linePitch="360"/>
        </w:sectPr>
      </w:pPr>
    </w:p>
    <w:p w:rsidR="00963D59" w:rsidRDefault="00DE699D">
      <w:pPr>
        <w:pStyle w:val="Zkladntext1"/>
        <w:shd w:val="clear" w:color="auto" w:fill="auto"/>
        <w:tabs>
          <w:tab w:val="left" w:leader="dot" w:pos="2309"/>
        </w:tabs>
      </w:pPr>
      <w:r>
        <w:rPr>
          <w:b w:val="0"/>
          <w:bCs w:val="0"/>
        </w:rPr>
        <w:lastRenderedPageBreak/>
        <w:t>V Praze dne</w:t>
      </w:r>
      <w:r>
        <w:rPr>
          <w:b w:val="0"/>
          <w:bCs w:val="0"/>
        </w:rPr>
        <w:tab/>
      </w:r>
    </w:p>
    <w:p w:rsidR="00963D59" w:rsidRDefault="00DE699D">
      <w:pPr>
        <w:pStyle w:val="Zkladntext1"/>
        <w:shd w:val="clear" w:color="auto" w:fill="auto"/>
        <w:tabs>
          <w:tab w:val="left" w:leader="dot" w:pos="2309"/>
        </w:tabs>
        <w:sectPr w:rsidR="00963D59">
          <w:type w:val="continuous"/>
          <w:pgSz w:w="11900" w:h="16840"/>
          <w:pgMar w:top="1002" w:right="3361" w:bottom="370" w:left="1065" w:header="0" w:footer="3" w:gutter="0"/>
          <w:cols w:num="2" w:space="2741"/>
          <w:noEndnote/>
          <w:docGrid w:linePitch="360"/>
        </w:sectPr>
      </w:pPr>
      <w:r>
        <w:rPr>
          <w:b w:val="0"/>
          <w:bCs w:val="0"/>
        </w:rPr>
        <w:lastRenderedPageBreak/>
        <w:t>V Praze dne</w:t>
      </w:r>
      <w:r>
        <w:rPr>
          <w:b w:val="0"/>
          <w:bCs w:val="0"/>
        </w:rPr>
        <w:tab/>
      </w:r>
    </w:p>
    <w:p w:rsidR="00963D59" w:rsidRDefault="00DE699D">
      <w:pPr>
        <w:pStyle w:val="Zkladntext1"/>
        <w:shd w:val="clear" w:color="auto" w:fill="auto"/>
      </w:pPr>
      <w:r>
        <w:rPr>
          <w:b w:val="0"/>
          <w:bCs w:val="0"/>
        </w:rPr>
        <w:lastRenderedPageBreak/>
        <w:t>Za Poskytovatele</w:t>
      </w:r>
    </w:p>
    <w:p w:rsidR="00963D59" w:rsidRDefault="00DE699D">
      <w:pPr>
        <w:pStyle w:val="Zkladntext1"/>
        <w:shd w:val="clear" w:color="auto" w:fill="auto"/>
      </w:pPr>
      <w:r>
        <w:rPr>
          <w:b w:val="0"/>
          <w:bCs w:val="0"/>
        </w:rPr>
        <w:t>České Radiokomunikace a.s.</w:t>
      </w:r>
    </w:p>
    <w:p w:rsidR="00963D59" w:rsidRDefault="00DE699D">
      <w:pPr>
        <w:pStyle w:val="Zkladntext1"/>
        <w:shd w:val="clear" w:color="auto" w:fill="auto"/>
      </w:pPr>
      <w:r>
        <w:rPr>
          <w:b w:val="0"/>
          <w:bCs w:val="0"/>
        </w:rPr>
        <w:lastRenderedPageBreak/>
        <w:t>Za Účastníka</w:t>
      </w:r>
    </w:p>
    <w:p w:rsidR="00963D59" w:rsidRDefault="00DE699D">
      <w:pPr>
        <w:pStyle w:val="Zkladntext1"/>
        <w:shd w:val="clear" w:color="auto" w:fill="auto"/>
        <w:sectPr w:rsidR="00963D59">
          <w:type w:val="continuous"/>
          <w:pgSz w:w="11900" w:h="16840"/>
          <w:pgMar w:top="1002" w:right="3644" w:bottom="370" w:left="1065" w:header="0" w:footer="3" w:gutter="0"/>
          <w:cols w:num="2" w:space="720" w:equalWidth="0">
            <w:col w:w="2314" w:space="2789"/>
            <w:col w:w="2088"/>
          </w:cols>
          <w:noEndnote/>
          <w:docGrid w:linePitch="360"/>
        </w:sectPr>
      </w:pPr>
      <w:r>
        <w:rPr>
          <w:b w:val="0"/>
          <w:bCs w:val="0"/>
        </w:rPr>
        <w:t>Národní památkový ústav</w:t>
      </w:r>
    </w:p>
    <w:p w:rsidR="00963D59" w:rsidRDefault="00963D59">
      <w:pPr>
        <w:spacing w:line="240" w:lineRule="exact"/>
        <w:rPr>
          <w:sz w:val="19"/>
          <w:szCs w:val="19"/>
        </w:rPr>
      </w:pPr>
    </w:p>
    <w:p w:rsidR="00963D59" w:rsidRDefault="00963D59">
      <w:pPr>
        <w:spacing w:line="240" w:lineRule="exact"/>
        <w:rPr>
          <w:sz w:val="19"/>
          <w:szCs w:val="19"/>
        </w:rPr>
      </w:pPr>
    </w:p>
    <w:p w:rsidR="00963D59" w:rsidRDefault="00963D59">
      <w:pPr>
        <w:spacing w:before="109" w:after="109" w:line="240" w:lineRule="exact"/>
        <w:rPr>
          <w:sz w:val="19"/>
          <w:szCs w:val="19"/>
        </w:rPr>
      </w:pPr>
    </w:p>
    <w:p w:rsidR="00963D59" w:rsidRDefault="00963D59">
      <w:pPr>
        <w:spacing w:line="1" w:lineRule="exact"/>
        <w:sectPr w:rsidR="00963D59">
          <w:type w:val="continuous"/>
          <w:pgSz w:w="11900" w:h="16840"/>
          <w:pgMar w:top="1002" w:right="0" w:bottom="370" w:left="0" w:header="0" w:footer="3" w:gutter="0"/>
          <w:cols w:space="720"/>
          <w:noEndnote/>
          <w:docGrid w:linePitch="360"/>
        </w:sectPr>
      </w:pPr>
    </w:p>
    <w:p w:rsidR="00963D59" w:rsidRDefault="00DE69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12700</wp:posOffset>
                </wp:positionV>
                <wp:extent cx="1840865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3D59" w:rsidRDefault="00DE699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Ing. Miloš Mastník, generální 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25pt;margin-top:1.pt;width:144.94999999999999pt;height:13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Miloš Mastník, generální 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3D59" w:rsidRDefault="00DE699D">
      <w:pPr>
        <w:pStyle w:val="Zkladntext1"/>
        <w:shd w:val="clear" w:color="auto" w:fill="auto"/>
        <w:ind w:left="2220"/>
        <w:sectPr w:rsidR="00963D59">
          <w:type w:val="continuous"/>
          <w:pgSz w:w="11900" w:h="16840"/>
          <w:pgMar w:top="1002" w:right="616" w:bottom="370" w:left="3965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t>Ing. arch. Naděžda Goryczková, generální ředitelka</w:t>
      </w:r>
    </w:p>
    <w:p w:rsidR="00963D59" w:rsidRDefault="00963D59">
      <w:pPr>
        <w:spacing w:line="240" w:lineRule="exact"/>
        <w:rPr>
          <w:sz w:val="19"/>
          <w:szCs w:val="19"/>
        </w:rPr>
      </w:pPr>
    </w:p>
    <w:p w:rsidR="00963D59" w:rsidRDefault="00963D59">
      <w:pPr>
        <w:spacing w:line="240" w:lineRule="exact"/>
        <w:rPr>
          <w:sz w:val="19"/>
          <w:szCs w:val="19"/>
        </w:rPr>
      </w:pPr>
    </w:p>
    <w:p w:rsidR="00963D59" w:rsidRDefault="00963D59">
      <w:pPr>
        <w:spacing w:before="89" w:after="89" w:line="240" w:lineRule="exact"/>
        <w:rPr>
          <w:sz w:val="19"/>
          <w:szCs w:val="19"/>
        </w:rPr>
      </w:pPr>
    </w:p>
    <w:p w:rsidR="00963D59" w:rsidRDefault="00963D59">
      <w:pPr>
        <w:spacing w:line="1" w:lineRule="exact"/>
        <w:sectPr w:rsidR="00963D59">
          <w:type w:val="continuous"/>
          <w:pgSz w:w="11900" w:h="16840"/>
          <w:pgMar w:top="1002" w:right="0" w:bottom="37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63D59" w:rsidRDefault="00FF23EF">
      <w:pPr>
        <w:pStyle w:val="Zkladntext20"/>
        <w:framePr w:w="926" w:h="206" w:wrap="none" w:vAnchor="text" w:hAnchor="page" w:x="966" w:y="30"/>
        <w:shd w:val="clear" w:color="auto" w:fill="auto"/>
        <w:spacing w:after="0"/>
        <w:ind w:firstLine="0"/>
      </w:pPr>
      <w:hyperlink r:id="rId6" w:history="1">
        <w:r w:rsidR="00DE699D">
          <w:rPr>
            <w:b/>
            <w:bCs/>
            <w:color w:val="FABD50"/>
            <w:lang w:val="en-US" w:eastAsia="en-US" w:bidi="en-US"/>
          </w:rPr>
          <w:t>www.CRA.cz</w:t>
        </w:r>
      </w:hyperlink>
    </w:p>
    <w:p w:rsidR="00963D59" w:rsidRDefault="00DE699D">
      <w:pPr>
        <w:pStyle w:val="Zkladntext20"/>
        <w:framePr w:w="2059" w:h="211" w:wrap="none" w:vAnchor="text" w:hAnchor="page" w:x="2895" w:y="25"/>
        <w:shd w:val="clear" w:color="auto" w:fill="auto"/>
        <w:spacing w:after="0"/>
        <w:ind w:firstLine="0"/>
      </w:pPr>
      <w:r>
        <w:rPr>
          <w:b/>
          <w:bCs/>
          <w:color w:val="6C7378"/>
        </w:rPr>
        <w:t>České Radiokomunikace a.s.</w:t>
      </w:r>
    </w:p>
    <w:p w:rsidR="00963D59" w:rsidRDefault="00DE699D">
      <w:pPr>
        <w:pStyle w:val="Zkladntext40"/>
        <w:framePr w:w="2587" w:h="211" w:wrap="none" w:vAnchor="text" w:hAnchor="page" w:x="6769" w:y="30"/>
        <w:shd w:val="clear" w:color="auto" w:fill="auto"/>
        <w:spacing w:line="240" w:lineRule="auto"/>
      </w:pPr>
      <w:r>
        <w:rPr>
          <w:color w:val="FBCC77"/>
        </w:rPr>
        <w:t xml:space="preserve">IČO </w:t>
      </w:r>
      <w:r>
        <w:t xml:space="preserve">24738875 </w:t>
      </w:r>
      <w:r>
        <w:rPr>
          <w:color w:val="FABD50"/>
        </w:rPr>
        <w:t xml:space="preserve">I </w:t>
      </w:r>
      <w:r>
        <w:rPr>
          <w:color w:val="FBCC77"/>
        </w:rPr>
        <w:t xml:space="preserve">DIČ </w:t>
      </w:r>
      <w:r>
        <w:t>CZ 24738875</w:t>
      </w:r>
    </w:p>
    <w:p w:rsidR="00963D59" w:rsidRDefault="00DE699D">
      <w:pPr>
        <w:pStyle w:val="Zkladntext70"/>
        <w:framePr w:w="235" w:h="197" w:wrap="none" w:vAnchor="text" w:hAnchor="page" w:x="10724" w:y="21"/>
        <w:shd w:val="clear" w:color="auto" w:fill="auto"/>
      </w:pPr>
      <w:r>
        <w:t>1/1</w:t>
      </w:r>
    </w:p>
    <w:p w:rsidR="00963D59" w:rsidRDefault="00963D59">
      <w:pPr>
        <w:spacing w:after="239" w:line="1" w:lineRule="exact"/>
      </w:pPr>
    </w:p>
    <w:p w:rsidR="00963D59" w:rsidRDefault="00963D59">
      <w:pPr>
        <w:spacing w:line="1" w:lineRule="exact"/>
        <w:sectPr w:rsidR="00963D59">
          <w:type w:val="continuous"/>
          <w:pgSz w:w="11900" w:h="16840"/>
          <w:pgMar w:top="1002" w:right="615" w:bottom="370" w:left="782" w:header="0" w:footer="3" w:gutter="0"/>
          <w:cols w:space="720"/>
          <w:noEndnote/>
          <w:docGrid w:linePitch="360"/>
        </w:sectPr>
      </w:pPr>
    </w:p>
    <w:p w:rsidR="00F73974" w:rsidRDefault="00DE699D">
      <w:pPr>
        <w:pStyle w:val="Zkladntext40"/>
        <w:shd w:val="clear" w:color="auto" w:fill="auto"/>
        <w:spacing w:after="60" w:line="240" w:lineRule="auto"/>
      </w:pPr>
      <w:r>
        <w:lastRenderedPageBreak/>
        <w:t xml:space="preserve">Skokanská 2117/1,169 00 Praha 6 </w:t>
      </w:r>
      <w:r w:rsidR="00F73974">
        <w:t>–</w:t>
      </w:r>
      <w:r>
        <w:t xml:space="preserve"> Břevnov</w:t>
      </w:r>
    </w:p>
    <w:p w:rsidR="00963D59" w:rsidRDefault="00DE699D">
      <w:pPr>
        <w:pStyle w:val="Zkladntext40"/>
        <w:shd w:val="clear" w:color="auto" w:fill="auto"/>
        <w:spacing w:line="240" w:lineRule="auto"/>
      </w:pPr>
      <w:r>
        <w:rPr>
          <w:color w:val="FBCC77"/>
        </w:rPr>
        <w:t>Tel</w:t>
      </w:r>
      <w:r>
        <w:t xml:space="preserve">+420 242 411 </w:t>
      </w:r>
      <w:r w:rsidRPr="00392071">
        <w:rPr>
          <w:lang w:eastAsia="en-US" w:bidi="en-US"/>
        </w:rPr>
        <w:t xml:space="preserve">111 </w:t>
      </w:r>
      <w:r>
        <w:rPr>
          <w:color w:val="FBCC77"/>
        </w:rPr>
        <w:t>I Fax</w:t>
      </w:r>
      <w:r>
        <w:t>+420 242 417 595 Zapsáno v obchodním rejstříku vedeném městským soudem v Praze, oddíl 8, vložka 16505</w:t>
      </w:r>
    </w:p>
    <w:sectPr w:rsidR="00963D59">
      <w:type w:val="continuous"/>
      <w:pgSz w:w="11900" w:h="16840"/>
      <w:pgMar w:top="1002" w:right="1637" w:bottom="370" w:left="2889" w:header="0" w:footer="3" w:gutter="0"/>
      <w:cols w:num="2" w:space="38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EF" w:rsidRDefault="00FF23EF">
      <w:r>
        <w:separator/>
      </w:r>
    </w:p>
  </w:endnote>
  <w:endnote w:type="continuationSeparator" w:id="0">
    <w:p w:rsidR="00FF23EF" w:rsidRDefault="00FF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EF" w:rsidRDefault="00FF23EF"/>
  </w:footnote>
  <w:footnote w:type="continuationSeparator" w:id="0">
    <w:p w:rsidR="00FF23EF" w:rsidRDefault="00FF23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59"/>
    <w:rsid w:val="00157D4D"/>
    <w:rsid w:val="00392071"/>
    <w:rsid w:val="00963D59"/>
    <w:rsid w:val="00DE699D"/>
    <w:rsid w:val="00F73974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8077"/>
  <w15:docId w15:val="{9861187C-3451-4647-9B8C-C0D391C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87794E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969B9E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60"/>
      <w:ind w:firstLine="300"/>
    </w:pPr>
    <w:rPr>
      <w:rFonts w:ascii="Arial" w:eastAsia="Arial" w:hAnsi="Arial" w:cs="Arial"/>
      <w:b/>
      <w:bCs/>
      <w:color w:val="87794E"/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 w:line="228" w:lineRule="auto"/>
    </w:pPr>
    <w:rPr>
      <w:rFonts w:ascii="Tahoma" w:eastAsia="Tahoma" w:hAnsi="Tahoma" w:cs="Tahoma"/>
      <w:b/>
      <w:bCs/>
      <w:sz w:val="20"/>
      <w:szCs w:val="20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71" w:lineRule="auto"/>
      <w:ind w:left="680" w:firstLine="20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firstLine="140"/>
    </w:pPr>
    <w:rPr>
      <w:rFonts w:ascii="Tahoma" w:eastAsia="Tahoma" w:hAnsi="Tahoma" w:cs="Tahom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auto"/>
    </w:pPr>
    <w:rPr>
      <w:rFonts w:ascii="Arial" w:eastAsia="Arial" w:hAnsi="Arial" w:cs="Arial"/>
      <w:color w:val="969B9E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HP Inc.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mrosenbe</dc:creator>
  <cp:keywords/>
  <cp:lastModifiedBy>Janouchová Miroslava</cp:lastModifiedBy>
  <cp:revision>4</cp:revision>
  <dcterms:created xsi:type="dcterms:W3CDTF">2023-03-28T10:13:00Z</dcterms:created>
  <dcterms:modified xsi:type="dcterms:W3CDTF">2023-03-28T11:05:00Z</dcterms:modified>
</cp:coreProperties>
</file>