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2" w:lineRule="auto" w:before="145"/>
        <w:ind w:left="4151" w:right="4083" w:firstLine="0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> </w:t>
      </w:r>
      <w:r>
        <w:rPr>
          <w:color w:val="808080"/>
        </w:rPr>
        <w:t>smlouva</w:t>
      </w:r>
      <w:r>
        <w:rPr>
          <w:color w:val="808080"/>
          <w:spacing w:val="-12"/>
        </w:rPr>
        <w:t> </w:t>
      </w:r>
      <w:r>
        <w:rPr>
          <w:color w:val="808080"/>
        </w:rPr>
        <w:t>č.</w:t>
      </w:r>
      <w:r>
        <w:rPr>
          <w:color w:val="808080"/>
          <w:spacing w:val="-10"/>
        </w:rPr>
        <w:t> </w:t>
      </w:r>
      <w:r>
        <w:rPr>
          <w:color w:val="808080"/>
        </w:rPr>
        <w:t>52 č. 2023/042 NAKIT</w:t>
      </w:r>
    </w:p>
    <w:p>
      <w:pPr>
        <w:spacing w:before="2"/>
        <w:ind w:left="445" w:right="382" w:firstLine="0"/>
        <w:jc w:val="center"/>
        <w:rPr>
          <w:b/>
          <w:sz w:val="22"/>
        </w:rPr>
      </w:pPr>
      <w:r>
        <w:rPr>
          <w:b/>
          <w:color w:val="808080"/>
          <w:sz w:val="22"/>
        </w:rPr>
        <w:t>k</w:t>
      </w:r>
      <w:r>
        <w:rPr>
          <w:b/>
          <w:color w:val="808080"/>
          <w:spacing w:val="-2"/>
          <w:sz w:val="22"/>
        </w:rPr>
        <w:t> </w:t>
      </w:r>
      <w:r>
        <w:rPr>
          <w:b/>
          <w:color w:val="808080"/>
          <w:sz w:val="22"/>
        </w:rPr>
        <w:t>Rámcové</w:t>
      </w:r>
      <w:r>
        <w:rPr>
          <w:b/>
          <w:color w:val="808080"/>
          <w:spacing w:val="-2"/>
          <w:sz w:val="22"/>
        </w:rPr>
        <w:t> </w:t>
      </w:r>
      <w:r>
        <w:rPr>
          <w:b/>
          <w:color w:val="808080"/>
          <w:sz w:val="22"/>
        </w:rPr>
        <w:t>dohodě</w:t>
      </w:r>
      <w:r>
        <w:rPr>
          <w:b/>
          <w:color w:val="808080"/>
          <w:spacing w:val="-5"/>
          <w:sz w:val="22"/>
        </w:rPr>
        <w:t> </w:t>
      </w:r>
      <w:r>
        <w:rPr>
          <w:b/>
          <w:color w:val="808080"/>
          <w:sz w:val="22"/>
        </w:rPr>
        <w:t>na</w:t>
      </w:r>
      <w:r>
        <w:rPr>
          <w:b/>
          <w:color w:val="808080"/>
          <w:spacing w:val="-7"/>
          <w:sz w:val="22"/>
        </w:rPr>
        <w:t> </w:t>
      </w:r>
      <w:r>
        <w:rPr>
          <w:b/>
          <w:color w:val="808080"/>
          <w:sz w:val="22"/>
        </w:rPr>
        <w:t>provoz,</w:t>
      </w:r>
      <w:r>
        <w:rPr>
          <w:b/>
          <w:color w:val="808080"/>
          <w:spacing w:val="-2"/>
          <w:sz w:val="22"/>
        </w:rPr>
        <w:t> </w:t>
      </w:r>
      <w:r>
        <w:rPr>
          <w:b/>
          <w:color w:val="808080"/>
          <w:sz w:val="22"/>
        </w:rPr>
        <w:t>podporu</w:t>
      </w:r>
      <w:r>
        <w:rPr>
          <w:b/>
          <w:color w:val="808080"/>
          <w:spacing w:val="-2"/>
          <w:sz w:val="22"/>
        </w:rPr>
        <w:t> </w:t>
      </w:r>
      <w:r>
        <w:rPr>
          <w:b/>
          <w:color w:val="808080"/>
          <w:sz w:val="22"/>
        </w:rPr>
        <w:t>a</w:t>
      </w:r>
      <w:r>
        <w:rPr>
          <w:b/>
          <w:color w:val="808080"/>
          <w:spacing w:val="-4"/>
          <w:sz w:val="22"/>
        </w:rPr>
        <w:t> </w:t>
      </w:r>
      <w:r>
        <w:rPr>
          <w:b/>
          <w:color w:val="808080"/>
          <w:sz w:val="22"/>
        </w:rPr>
        <w:t>rozvoj</w:t>
      </w:r>
      <w:r>
        <w:rPr>
          <w:b/>
          <w:color w:val="808080"/>
          <w:spacing w:val="-3"/>
          <w:sz w:val="22"/>
        </w:rPr>
        <w:t> </w:t>
      </w:r>
      <w:r>
        <w:rPr>
          <w:b/>
          <w:color w:val="808080"/>
          <w:sz w:val="22"/>
        </w:rPr>
        <w:t>informačních</w:t>
      </w:r>
      <w:r>
        <w:rPr>
          <w:b/>
          <w:color w:val="808080"/>
          <w:spacing w:val="-5"/>
          <w:sz w:val="22"/>
        </w:rPr>
        <w:t> </w:t>
      </w:r>
      <w:r>
        <w:rPr>
          <w:b/>
          <w:color w:val="808080"/>
          <w:sz w:val="22"/>
        </w:rPr>
        <w:t>systémů č. 2020/057</w:t>
      </w:r>
      <w:r>
        <w:rPr>
          <w:b/>
          <w:color w:val="808080"/>
          <w:spacing w:val="-2"/>
          <w:sz w:val="22"/>
        </w:rPr>
        <w:t> </w:t>
      </w:r>
      <w:r>
        <w:rPr>
          <w:b/>
          <w:color w:val="808080"/>
          <w:sz w:val="22"/>
        </w:rPr>
        <w:t>NAKIT ze dne 9. 4. 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5146"/>
      </w:tblGrid>
      <w:tr>
        <w:trPr>
          <w:trHeight w:val="381" w:hRule="atLeast"/>
        </w:trPr>
        <w:tc>
          <w:tcPr>
            <w:tcW w:w="8406" w:type="dxa"/>
            <w:gridSpan w:val="2"/>
          </w:tcPr>
          <w:p>
            <w:pPr>
              <w:pStyle w:val="TableParagraph"/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Národní</w:t>
            </w:r>
            <w:r>
              <w:rPr>
                <w:b/>
                <w:color w:val="808080"/>
                <w:spacing w:val="-7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agentura</w:t>
            </w:r>
            <w:r>
              <w:rPr>
                <w:b/>
                <w:color w:val="808080"/>
                <w:spacing w:val="-7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pro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komunikační</w:t>
            </w:r>
            <w:r>
              <w:rPr>
                <w:b/>
                <w:color w:val="808080"/>
                <w:spacing w:val="-4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a</w:t>
            </w:r>
            <w:r>
              <w:rPr>
                <w:b/>
                <w:color w:val="808080"/>
                <w:spacing w:val="-7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informační</w:t>
            </w:r>
            <w:r>
              <w:rPr>
                <w:b/>
                <w:color w:val="808080"/>
                <w:spacing w:val="-7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technologie,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s.</w:t>
            </w:r>
            <w:r>
              <w:rPr>
                <w:b/>
                <w:color w:val="808080"/>
                <w:spacing w:val="-6"/>
                <w:sz w:val="22"/>
              </w:rPr>
              <w:t> </w:t>
            </w:r>
            <w:r>
              <w:rPr>
                <w:b/>
                <w:color w:val="808080"/>
                <w:spacing w:val="-5"/>
                <w:sz w:val="22"/>
              </w:rPr>
              <w:t>p.</w:t>
            </w:r>
          </w:p>
        </w:tc>
      </w:tr>
      <w:tr>
        <w:trPr>
          <w:trHeight w:val="445" w:hRule="atLeast"/>
        </w:trPr>
        <w:tc>
          <w:tcPr>
            <w:tcW w:w="3260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se </w:t>
            </w:r>
            <w:r>
              <w:rPr>
                <w:color w:val="808080"/>
                <w:spacing w:val="-2"/>
                <w:sz w:val="22"/>
              </w:rPr>
              <w:t>sídlem:</w:t>
            </w:r>
          </w:p>
        </w:tc>
        <w:tc>
          <w:tcPr>
            <w:tcW w:w="5146" w:type="dxa"/>
          </w:tcPr>
          <w:p>
            <w:pPr>
              <w:pStyle w:val="TableParagraph"/>
              <w:spacing w:before="128"/>
              <w:ind w:left="335"/>
              <w:rPr>
                <w:sz w:val="22"/>
              </w:rPr>
            </w:pPr>
            <w:r>
              <w:rPr>
                <w:color w:val="808080"/>
                <w:sz w:val="22"/>
              </w:rPr>
              <w:t>Kodaňská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1441/46,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Praha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10,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Vršovice,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101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00</w:t>
            </w:r>
          </w:p>
        </w:tc>
      </w:tr>
      <w:tr>
        <w:trPr>
          <w:trHeight w:val="373" w:hRule="atLeast"/>
        </w:trPr>
        <w:tc>
          <w:tcPr>
            <w:tcW w:w="3260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IČO:</w:t>
            </w:r>
          </w:p>
        </w:tc>
        <w:tc>
          <w:tcPr>
            <w:tcW w:w="5146" w:type="dxa"/>
          </w:tcPr>
          <w:p>
            <w:pPr>
              <w:pStyle w:val="TableParagraph"/>
              <w:spacing w:before="57"/>
              <w:ind w:left="3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04767543</w:t>
            </w:r>
          </w:p>
        </w:tc>
      </w:tr>
      <w:tr>
        <w:trPr>
          <w:trHeight w:val="373" w:hRule="atLeast"/>
        </w:trPr>
        <w:tc>
          <w:tcPr>
            <w:tcW w:w="3260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DIČ:</w:t>
            </w:r>
          </w:p>
        </w:tc>
        <w:tc>
          <w:tcPr>
            <w:tcW w:w="5146" w:type="dxa"/>
          </w:tcPr>
          <w:p>
            <w:pPr>
              <w:pStyle w:val="TableParagraph"/>
              <w:spacing w:before="56"/>
              <w:ind w:left="3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CZ04767543</w:t>
            </w:r>
          </w:p>
        </w:tc>
      </w:tr>
      <w:tr>
        <w:trPr>
          <w:trHeight w:val="373" w:hRule="atLeast"/>
        </w:trPr>
        <w:tc>
          <w:tcPr>
            <w:tcW w:w="3260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zastoupen:</w:t>
            </w:r>
          </w:p>
        </w:tc>
        <w:tc>
          <w:tcPr>
            <w:tcW w:w="5146" w:type="dxa"/>
          </w:tcPr>
          <w:p>
            <w:pPr>
              <w:pStyle w:val="TableParagraph"/>
              <w:spacing w:before="57"/>
              <w:ind w:left="335"/>
              <w:rPr>
                <w:sz w:val="22"/>
              </w:rPr>
            </w:pPr>
            <w:r>
              <w:rPr>
                <w:color w:val="808080"/>
                <w:sz w:val="22"/>
              </w:rPr>
              <w:t>Mgr.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Janem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Ďoubalem,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ředitelem</w:t>
            </w:r>
          </w:p>
        </w:tc>
      </w:tr>
      <w:tr>
        <w:trPr>
          <w:trHeight w:val="372" w:hRule="atLeast"/>
        </w:trPr>
        <w:tc>
          <w:tcPr>
            <w:tcW w:w="3260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zapsán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v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obchodním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rejstříku</w:t>
            </w:r>
          </w:p>
        </w:tc>
        <w:tc>
          <w:tcPr>
            <w:tcW w:w="5146" w:type="dxa"/>
          </w:tcPr>
          <w:p>
            <w:pPr>
              <w:pStyle w:val="TableParagraph"/>
              <w:spacing w:before="56"/>
              <w:ind w:left="335"/>
              <w:rPr>
                <w:sz w:val="22"/>
              </w:rPr>
            </w:pPr>
            <w:r>
              <w:rPr>
                <w:color w:val="808080"/>
                <w:sz w:val="22"/>
              </w:rPr>
              <w:t>Městského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soudu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v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Praze,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oddíl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A,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vložka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77322</w:t>
            </w:r>
          </w:p>
        </w:tc>
      </w:tr>
      <w:tr>
        <w:trPr>
          <w:trHeight w:val="697" w:hRule="atLeast"/>
        </w:trPr>
        <w:tc>
          <w:tcPr>
            <w:tcW w:w="3260" w:type="dxa"/>
          </w:tcPr>
          <w:p>
            <w:pPr>
              <w:pStyle w:val="TableParagraph"/>
              <w:spacing w:before="77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bankovní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spojení:</w:t>
            </w:r>
          </w:p>
        </w:tc>
        <w:tc>
          <w:tcPr>
            <w:tcW w:w="5146" w:type="dxa"/>
          </w:tcPr>
          <w:p>
            <w:pPr>
              <w:pStyle w:val="TableParagraph"/>
              <w:spacing w:before="56"/>
              <w:ind w:left="335"/>
              <w:rPr>
                <w:sz w:val="22"/>
              </w:rPr>
            </w:pPr>
            <w:r>
              <w:rPr>
                <w:color w:val="808080"/>
                <w:sz w:val="22"/>
              </w:rPr>
              <w:t>Československá</w:t>
            </w:r>
            <w:r>
              <w:rPr>
                <w:color w:val="808080"/>
                <w:spacing w:val="-10"/>
                <w:sz w:val="22"/>
              </w:rPr>
              <w:t> </w:t>
            </w:r>
            <w:r>
              <w:rPr>
                <w:color w:val="808080"/>
                <w:sz w:val="22"/>
              </w:rPr>
              <w:t>obchodní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banka,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a.s.</w:t>
            </w:r>
          </w:p>
          <w:p>
            <w:pPr>
              <w:pStyle w:val="TableParagraph"/>
              <w:spacing w:line="247" w:lineRule="exact" w:before="121"/>
              <w:ind w:left="335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č.ú.:117404973/0300</w:t>
            </w:r>
          </w:p>
        </w:tc>
      </w:tr>
      <w:tr>
        <w:trPr>
          <w:trHeight w:val="260" w:hRule="atLeast"/>
        </w:trPr>
        <w:tc>
          <w:tcPr>
            <w:tcW w:w="3260" w:type="dxa"/>
          </w:tcPr>
          <w:p>
            <w:pPr>
              <w:pStyle w:val="TableParagraph"/>
              <w:spacing w:line="233" w:lineRule="exact" w:before="7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(dále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jako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b/>
                <w:color w:val="808080"/>
                <w:spacing w:val="-2"/>
                <w:sz w:val="22"/>
              </w:rPr>
              <w:t>„Objednatel“</w:t>
            </w:r>
            <w:r>
              <w:rPr>
                <w:color w:val="808080"/>
                <w:spacing w:val="-2"/>
                <w:sz w:val="22"/>
              </w:rPr>
              <w:t>)</w:t>
            </w:r>
          </w:p>
        </w:tc>
        <w:tc>
          <w:tcPr>
            <w:tcW w:w="5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924"/>
      </w:tblGrid>
      <w:tr>
        <w:trPr>
          <w:trHeight w:val="1057" w:hRule="atLeast"/>
        </w:trPr>
        <w:tc>
          <w:tcPr>
            <w:tcW w:w="3252" w:type="dxa"/>
          </w:tcPr>
          <w:p>
            <w:pPr>
              <w:pStyle w:val="TableParagraph"/>
              <w:spacing w:line="247" w:lineRule="exact"/>
              <w:ind w:left="50"/>
              <w:rPr>
                <w:b/>
                <w:sz w:val="22"/>
              </w:rPr>
            </w:pPr>
            <w:r>
              <w:rPr>
                <w:b/>
                <w:color w:val="808080"/>
                <w:w w:val="100"/>
                <w:sz w:val="22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AUTOCONT</w:t>
            </w:r>
            <w:r>
              <w:rPr>
                <w:b/>
                <w:color w:val="808080"/>
                <w:spacing w:val="-10"/>
                <w:sz w:val="22"/>
              </w:rPr>
              <w:t> </w:t>
            </w:r>
            <w:r>
              <w:rPr>
                <w:b/>
                <w:color w:val="808080"/>
                <w:spacing w:val="-4"/>
                <w:sz w:val="22"/>
              </w:rPr>
              <w:t>a.s.</w:t>
            </w:r>
          </w:p>
        </w:tc>
        <w:tc>
          <w:tcPr>
            <w:tcW w:w="5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3252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se </w:t>
            </w:r>
            <w:r>
              <w:rPr>
                <w:color w:val="808080"/>
                <w:spacing w:val="-2"/>
                <w:sz w:val="22"/>
              </w:rPr>
              <w:t>sídlem:</w:t>
            </w:r>
          </w:p>
        </w:tc>
        <w:tc>
          <w:tcPr>
            <w:tcW w:w="5924" w:type="dxa"/>
          </w:tcPr>
          <w:p>
            <w:pPr>
              <w:pStyle w:val="TableParagraph"/>
              <w:spacing w:before="57"/>
              <w:ind w:left="326"/>
              <w:rPr>
                <w:sz w:val="22"/>
              </w:rPr>
            </w:pPr>
            <w:r>
              <w:rPr>
                <w:color w:val="808080"/>
                <w:sz w:val="22"/>
              </w:rPr>
              <w:t>Hornopolní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z w:val="22"/>
              </w:rPr>
              <w:t>3322/34,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Moravská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Ostrava,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702</w:t>
            </w:r>
            <w:r>
              <w:rPr>
                <w:color w:val="808080"/>
                <w:spacing w:val="-9"/>
                <w:sz w:val="22"/>
              </w:rPr>
              <w:t> </w:t>
            </w:r>
            <w:r>
              <w:rPr>
                <w:color w:val="808080"/>
                <w:sz w:val="22"/>
              </w:rPr>
              <w:t>00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Ostrava</w:t>
            </w:r>
          </w:p>
        </w:tc>
      </w:tr>
      <w:tr>
        <w:trPr>
          <w:trHeight w:val="372" w:hRule="atLeast"/>
        </w:trPr>
        <w:tc>
          <w:tcPr>
            <w:tcW w:w="3252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IČO:</w:t>
            </w:r>
          </w:p>
        </w:tc>
        <w:tc>
          <w:tcPr>
            <w:tcW w:w="5924" w:type="dxa"/>
          </w:tcPr>
          <w:p>
            <w:pPr>
              <w:pStyle w:val="TableParagraph"/>
              <w:spacing w:before="56"/>
              <w:ind w:left="32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04308697</w:t>
            </w:r>
          </w:p>
        </w:tc>
      </w:tr>
      <w:tr>
        <w:trPr>
          <w:trHeight w:val="373" w:hRule="atLeast"/>
        </w:trPr>
        <w:tc>
          <w:tcPr>
            <w:tcW w:w="3252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color w:val="808080"/>
                <w:spacing w:val="-4"/>
                <w:sz w:val="22"/>
              </w:rPr>
              <w:t>DIČ:</w:t>
            </w:r>
          </w:p>
        </w:tc>
        <w:tc>
          <w:tcPr>
            <w:tcW w:w="5924" w:type="dxa"/>
          </w:tcPr>
          <w:p>
            <w:pPr>
              <w:pStyle w:val="TableParagraph"/>
              <w:spacing w:before="56"/>
              <w:ind w:left="326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CZ04308697</w:t>
            </w:r>
          </w:p>
        </w:tc>
      </w:tr>
      <w:tr>
        <w:trPr>
          <w:trHeight w:val="373" w:hRule="atLeast"/>
        </w:trPr>
        <w:tc>
          <w:tcPr>
            <w:tcW w:w="3252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zastoupen:</w:t>
            </w:r>
          </w:p>
        </w:tc>
        <w:tc>
          <w:tcPr>
            <w:tcW w:w="5924" w:type="dxa"/>
          </w:tcPr>
          <w:p>
            <w:pPr>
              <w:pStyle w:val="TableParagraph"/>
              <w:spacing w:before="57"/>
              <w:ind w:left="326"/>
              <w:rPr>
                <w:sz w:val="22"/>
              </w:rPr>
            </w:pPr>
            <w:r>
              <w:rPr>
                <w:color w:val="808080"/>
                <w:sz w:val="22"/>
              </w:rPr>
              <w:t>Ing.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Jaroslavem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Biolkem,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členem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představenstva</w:t>
            </w:r>
          </w:p>
        </w:tc>
      </w:tr>
      <w:tr>
        <w:trPr>
          <w:trHeight w:val="626" w:hRule="atLeast"/>
        </w:trPr>
        <w:tc>
          <w:tcPr>
            <w:tcW w:w="3252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zapsán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v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obchodním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rejstříku</w:t>
            </w:r>
          </w:p>
        </w:tc>
        <w:tc>
          <w:tcPr>
            <w:tcW w:w="5924" w:type="dxa"/>
          </w:tcPr>
          <w:p>
            <w:pPr>
              <w:pStyle w:val="TableParagraph"/>
              <w:spacing w:before="56"/>
              <w:ind w:left="326"/>
              <w:rPr>
                <w:sz w:val="22"/>
              </w:rPr>
            </w:pPr>
            <w:r>
              <w:rPr>
                <w:color w:val="808080"/>
                <w:sz w:val="22"/>
              </w:rPr>
              <w:t>Krajského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soudu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v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Ostravě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pod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spisovou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značkou</w:t>
            </w:r>
            <w:r>
              <w:rPr>
                <w:color w:val="808080"/>
                <w:spacing w:val="40"/>
                <w:sz w:val="22"/>
              </w:rPr>
              <w:t> </w:t>
            </w:r>
            <w:r>
              <w:rPr>
                <w:color w:val="808080"/>
                <w:sz w:val="22"/>
              </w:rPr>
              <w:t>B </w:t>
            </w:r>
            <w:r>
              <w:rPr>
                <w:color w:val="808080"/>
                <w:spacing w:val="-2"/>
                <w:sz w:val="22"/>
              </w:rPr>
              <w:t>11012</w:t>
            </w:r>
          </w:p>
        </w:tc>
      </w:tr>
      <w:tr>
        <w:trPr>
          <w:trHeight w:val="746" w:hRule="atLeast"/>
        </w:trPr>
        <w:tc>
          <w:tcPr>
            <w:tcW w:w="3252" w:type="dxa"/>
          </w:tcPr>
          <w:p>
            <w:pPr>
              <w:pStyle w:val="TableParagraph"/>
              <w:spacing w:before="56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bankovní</w:t>
            </w:r>
            <w:r>
              <w:rPr>
                <w:color w:val="808080"/>
                <w:spacing w:val="-6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spojení:</w:t>
            </w:r>
          </w:p>
        </w:tc>
        <w:tc>
          <w:tcPr>
            <w:tcW w:w="5924" w:type="dxa"/>
          </w:tcPr>
          <w:p>
            <w:pPr>
              <w:pStyle w:val="TableParagraph"/>
              <w:spacing w:before="56"/>
              <w:ind w:left="326"/>
              <w:rPr>
                <w:sz w:val="22"/>
              </w:rPr>
            </w:pPr>
            <w:r>
              <w:rPr>
                <w:color w:val="808080"/>
                <w:sz w:val="22"/>
              </w:rPr>
              <w:t>Česká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z w:val="22"/>
              </w:rPr>
              <w:t>spořitelna,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pacing w:val="-4"/>
                <w:sz w:val="22"/>
              </w:rPr>
              <w:t>a.s.</w:t>
            </w:r>
          </w:p>
          <w:p>
            <w:pPr>
              <w:pStyle w:val="TableParagraph"/>
              <w:spacing w:before="121"/>
              <w:ind w:left="326"/>
              <w:rPr>
                <w:sz w:val="22"/>
              </w:rPr>
            </w:pPr>
            <w:r>
              <w:rPr>
                <w:color w:val="808080"/>
                <w:sz w:val="22"/>
              </w:rPr>
              <w:t>č. ú.: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6563752/0800</w:t>
            </w:r>
          </w:p>
        </w:tc>
      </w:tr>
      <w:tr>
        <w:trPr>
          <w:trHeight w:val="309" w:hRule="atLeast"/>
        </w:trPr>
        <w:tc>
          <w:tcPr>
            <w:tcW w:w="3252" w:type="dxa"/>
          </w:tcPr>
          <w:p>
            <w:pPr>
              <w:pStyle w:val="TableParagraph"/>
              <w:spacing w:line="233" w:lineRule="exact" w:before="56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(dále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jen</w:t>
            </w:r>
            <w:r>
              <w:rPr>
                <w:color w:val="808080"/>
                <w:spacing w:val="-7"/>
                <w:sz w:val="22"/>
              </w:rPr>
              <w:t> </w:t>
            </w:r>
            <w:r>
              <w:rPr>
                <w:color w:val="808080"/>
                <w:sz w:val="22"/>
              </w:rPr>
              <w:t>jako </w:t>
            </w:r>
            <w:r>
              <w:rPr>
                <w:b/>
                <w:color w:val="808080"/>
                <w:spacing w:val="-2"/>
                <w:sz w:val="22"/>
              </w:rPr>
              <w:t>„Dodavatel“</w:t>
            </w:r>
            <w:r>
              <w:rPr>
                <w:color w:val="808080"/>
                <w:spacing w:val="-2"/>
                <w:sz w:val="22"/>
              </w:rPr>
              <w:t>)</w:t>
            </w:r>
          </w:p>
        </w:tc>
        <w:tc>
          <w:tcPr>
            <w:tcW w:w="5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312" w:lineRule="auto" w:before="1"/>
        <w:ind w:left="17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> </w:t>
      </w:r>
      <w:r>
        <w:rPr>
          <w:color w:val="808080"/>
        </w:rPr>
        <w:t>jen</w:t>
      </w:r>
      <w:r>
        <w:rPr>
          <w:color w:val="808080"/>
          <w:spacing w:val="-10"/>
        </w:rPr>
        <w:t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> </w:t>
      </w:r>
      <w:r>
        <w:rPr>
          <w:color w:val="808080"/>
        </w:rPr>
        <w:t>k</w:t>
      </w:r>
      <w:r>
        <w:rPr>
          <w:color w:val="808080"/>
          <w:spacing w:val="-7"/>
        </w:rPr>
        <w:t> </w:t>
      </w:r>
      <w:r>
        <w:rPr>
          <w:color w:val="808080"/>
        </w:rPr>
        <w:t>Rámcové</w:t>
      </w:r>
      <w:r>
        <w:rPr>
          <w:color w:val="808080"/>
          <w:spacing w:val="-6"/>
        </w:rPr>
        <w:t> </w:t>
      </w:r>
      <w:r>
        <w:rPr>
          <w:color w:val="808080"/>
        </w:rPr>
        <w:t>dohodě</w:t>
      </w:r>
      <w:r>
        <w:rPr>
          <w:color w:val="808080"/>
          <w:spacing w:val="-7"/>
        </w:rPr>
        <w:t> </w:t>
      </w:r>
      <w:r>
        <w:rPr>
          <w:color w:val="808080"/>
        </w:rPr>
        <w:t>na</w:t>
      </w:r>
      <w:r>
        <w:rPr>
          <w:color w:val="808080"/>
          <w:spacing w:val="-7"/>
        </w:rPr>
        <w:t> </w:t>
      </w:r>
      <w:r>
        <w:rPr>
          <w:color w:val="808080"/>
        </w:rPr>
        <w:t>provoz,</w:t>
      </w:r>
      <w:r>
        <w:rPr>
          <w:color w:val="808080"/>
          <w:spacing w:val="-6"/>
        </w:rPr>
        <w:t> </w:t>
      </w:r>
      <w:r>
        <w:rPr>
          <w:color w:val="808080"/>
        </w:rPr>
        <w:t>podporu</w:t>
      </w:r>
      <w:r>
        <w:rPr>
          <w:color w:val="808080"/>
          <w:spacing w:val="-7"/>
        </w:rPr>
        <w:t> </w:t>
      </w:r>
      <w:r>
        <w:rPr>
          <w:color w:val="808080"/>
        </w:rPr>
        <w:t>a</w:t>
      </w:r>
      <w:r>
        <w:rPr>
          <w:color w:val="808080"/>
          <w:spacing w:val="-9"/>
        </w:rPr>
        <w:t> </w:t>
      </w:r>
      <w:r>
        <w:rPr>
          <w:color w:val="808080"/>
        </w:rPr>
        <w:t>rozvoj</w:t>
      </w:r>
      <w:r>
        <w:rPr>
          <w:color w:val="808080"/>
          <w:spacing w:val="-8"/>
        </w:rPr>
        <w:t> </w:t>
      </w:r>
      <w:r>
        <w:rPr>
          <w:color w:val="808080"/>
        </w:rPr>
        <w:t>informačních</w:t>
      </w:r>
      <w:r>
        <w:rPr>
          <w:color w:val="808080"/>
          <w:spacing w:val="-9"/>
        </w:rPr>
        <w:t> </w:t>
      </w:r>
      <w:r>
        <w:rPr>
          <w:color w:val="808080"/>
        </w:rPr>
        <w:t>systémů</w:t>
      </w:r>
      <w:r>
        <w:rPr>
          <w:color w:val="808080"/>
          <w:spacing w:val="-6"/>
        </w:rPr>
        <w:t> </w:t>
      </w:r>
      <w:r>
        <w:rPr>
          <w:color w:val="808080"/>
        </w:rPr>
        <w:t>ze</w:t>
      </w:r>
      <w:r>
        <w:rPr>
          <w:color w:val="808080"/>
          <w:spacing w:val="-7"/>
        </w:rPr>
        <w:t> </w:t>
      </w:r>
      <w:r>
        <w:rPr>
          <w:color w:val="808080"/>
        </w:rPr>
        <w:t>dne</w:t>
      </w:r>
      <w:r>
        <w:rPr>
          <w:color w:val="808080"/>
          <w:spacing w:val="-6"/>
        </w:rPr>
        <w:t> </w:t>
      </w:r>
      <w:r>
        <w:rPr>
          <w:color w:val="808080"/>
          <w:spacing w:val="-5"/>
        </w:rPr>
        <w:t>9.</w:t>
      </w:r>
    </w:p>
    <w:p>
      <w:pPr>
        <w:spacing w:before="0"/>
        <w:ind w:left="172" w:right="0" w:firstLine="0"/>
        <w:jc w:val="left"/>
        <w:rPr>
          <w:sz w:val="22"/>
        </w:rPr>
      </w:pPr>
      <w:r>
        <w:rPr>
          <w:color w:val="808080"/>
          <w:sz w:val="22"/>
        </w:rPr>
        <w:t>4.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2020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(dále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jen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„</w:t>
      </w:r>
      <w:r>
        <w:rPr>
          <w:b/>
          <w:color w:val="808080"/>
          <w:sz w:val="22"/>
        </w:rPr>
        <w:t>Rámcová</w:t>
      </w:r>
      <w:r>
        <w:rPr>
          <w:b/>
          <w:color w:val="808080"/>
          <w:spacing w:val="-2"/>
          <w:sz w:val="22"/>
        </w:rPr>
        <w:t> dohoda</w:t>
      </w:r>
      <w:r>
        <w:rPr>
          <w:color w:val="808080"/>
          <w:spacing w:val="-2"/>
          <w:sz w:val="22"/>
        </w:rPr>
        <w:t>“).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649" w:footer="756" w:top="2000" w:bottom="940" w:left="960" w:right="7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421" w:val="left" w:leader="none"/>
          <w:tab w:pos="4422" w:val="left" w:leader="none"/>
        </w:tabs>
        <w:spacing w:line="240" w:lineRule="auto" w:before="145" w:after="0"/>
        <w:ind w:left="4421" w:right="0" w:hanging="433"/>
        <w:jc w:val="left"/>
      </w:pPr>
      <w:r>
        <w:rPr>
          <w:color w:val="808080"/>
        </w:rPr>
        <w:t>Předmět</w:t>
      </w:r>
      <w:r>
        <w:rPr>
          <w:color w:val="808080"/>
          <w:spacing w:val="-7"/>
        </w:rPr>
        <w:t> </w:t>
      </w:r>
      <w:r>
        <w:rPr>
          <w:color w:val="808080"/>
          <w:spacing w:val="-2"/>
        </w:rPr>
        <w:t>Smlouvy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312" w:lineRule="auto" w:before="0" w:after="0"/>
        <w:ind w:left="739" w:right="105" w:hanging="567"/>
        <w:jc w:val="both"/>
        <w:rPr>
          <w:sz w:val="22"/>
        </w:rPr>
      </w:pPr>
      <w:r>
        <w:rPr>
          <w:color w:val="808080"/>
          <w:sz w:val="22"/>
        </w:rPr>
        <w:t>Předmětem Smlouvy je poskytnutí odborných kapacit pro vývojové, architekturní a provozní aktivity související zejména s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prostředím Portálu veřejné správy – Portálu občana včetně dokumentace, popisu zdrojového kódu a release notes, a to v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souladu s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čl. 1 odst. 1.3 písm. a) Rámcové dohody a příslušnou výzvou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Objednatele k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podání nabídky dle čl. 2 Rámcové dohody a v rozsahu specifikovaném v Příloze č. 1 této Smlouvy (dále jen jako „</w:t>
      </w:r>
      <w:r>
        <w:rPr>
          <w:b/>
          <w:color w:val="808080"/>
          <w:sz w:val="22"/>
        </w:rPr>
        <w:t>Předmět plnění</w:t>
      </w:r>
      <w:r>
        <w:rPr>
          <w:color w:val="808080"/>
          <w:sz w:val="22"/>
        </w:rPr>
        <w:t>“).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312" w:lineRule="auto" w:before="0" w:after="0"/>
        <w:ind w:left="739" w:right="105" w:hanging="567"/>
        <w:jc w:val="both"/>
        <w:rPr>
          <w:sz w:val="22"/>
        </w:rPr>
      </w:pPr>
      <w:r>
        <w:rPr>
          <w:color w:val="808080"/>
          <w:sz w:val="22"/>
        </w:rPr>
        <w:t>Po uzavření této Smlouvy sdělí Objednatel Dodavateli číslo tzv. Evidenční objednávky (EOBJ), která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má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pouze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evidenční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charakter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pro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Objednatele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nemá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žádný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vliv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na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plnění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Smlouvy.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Číslo EOBJ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je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Dodavatel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povinen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uvádět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na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daňových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dokladech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(viz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čl.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5.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odst.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5.3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Rámcové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dohody). Neuvedení čísla Evidenční objednávky na faktuře je důvodem k neproplacení faktury a jejímu oprávněnému vrácení Dodavateli ve smyslu ustanovení čl. 5. odst. 5.7 Rámcové dohody.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312" w:lineRule="auto" w:before="0" w:after="0"/>
        <w:ind w:left="739" w:right="107" w:hanging="567"/>
        <w:jc w:val="both"/>
        <w:rPr>
          <w:sz w:val="22"/>
        </w:rPr>
      </w:pPr>
      <w:r>
        <w:rPr>
          <w:color w:val="808080"/>
          <w:sz w:val="22"/>
        </w:rPr>
        <w:t>Dodavatel se podpisem této Smlouvy zavazuje uskutečnit Předmět plnění specifikovaný v čl. 1 odst.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1.1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této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Smlouvy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za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podmínek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uvedených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této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Smlouvě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Rámcové dohodě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ve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sjednané kvalitě, množství a čase.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312" w:lineRule="auto" w:before="0" w:after="0"/>
        <w:ind w:left="739" w:right="109" w:hanging="567"/>
        <w:jc w:val="both"/>
        <w:rPr>
          <w:sz w:val="22"/>
        </w:rPr>
      </w:pPr>
      <w:r>
        <w:rPr>
          <w:color w:val="808080"/>
          <w:sz w:val="22"/>
        </w:rPr>
        <w:t>Objednatel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se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zavazuje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za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řádně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poskytnutý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Předmět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plnění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zaplatit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cenu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dle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čl.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2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této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Smlouvy, a to způsobem definovaným v Rámcové dohodě.</w:t>
      </w:r>
    </w:p>
    <w:p>
      <w:pPr>
        <w:pStyle w:val="ListParagraph"/>
        <w:numPr>
          <w:ilvl w:val="1"/>
          <w:numId w:val="1"/>
        </w:numPr>
        <w:tabs>
          <w:tab w:pos="740" w:val="left" w:leader="none"/>
        </w:tabs>
        <w:spacing w:line="312" w:lineRule="auto" w:before="201" w:after="0"/>
        <w:ind w:left="739" w:right="104" w:hanging="567"/>
        <w:jc w:val="both"/>
        <w:rPr>
          <w:sz w:val="22"/>
        </w:rPr>
      </w:pPr>
      <w:r>
        <w:rPr>
          <w:color w:val="808080"/>
          <w:sz w:val="22"/>
        </w:rPr>
        <w:t>Předmět plnění definovaný v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čl. 1 odst. 1.1 této Smlouvy bude dodán v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rolích a maximálně v rozsahu počtu člověkodní uvedených v Příloze č. 1 této Smlouvy. Objednatel není povinen vyčerpat Předmět plnění v maximálním rozsahu.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3987" w:val="left" w:leader="none"/>
          <w:tab w:pos="3988" w:val="left" w:leader="none"/>
        </w:tabs>
        <w:spacing w:line="240" w:lineRule="auto" w:before="0" w:after="0"/>
        <w:ind w:left="3987" w:right="0"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> </w:t>
      </w:r>
      <w:r>
        <w:rPr>
          <w:color w:val="808080"/>
        </w:rPr>
        <w:t>a</w:t>
      </w:r>
      <w:r>
        <w:rPr>
          <w:color w:val="808080"/>
          <w:spacing w:val="-3"/>
        </w:rPr>
        <w:t> </w:t>
      </w:r>
      <w:r>
        <w:rPr>
          <w:color w:val="808080"/>
        </w:rPr>
        <w:t>platební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podmínky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2" w:hanging="567"/>
        <w:jc w:val="both"/>
        <w:rPr>
          <w:sz w:val="22"/>
        </w:rPr>
      </w:pPr>
      <w:r>
        <w:rPr>
          <w:color w:val="808080"/>
          <w:sz w:val="22"/>
        </w:rPr>
        <w:t>Cena za Předmět plnění činí 7.098.900,00 Kč bez DPH (slovy: sedmmilionůdevadesátosmtisícdevětset korun českých bez DPH) a sjednává se za celou dobu poskytování Předmětu plnění. Rozpad na jednotkové ceny je uveden Příloze č. 1 této Smlouvy.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5" w:hanging="567"/>
        <w:jc w:val="both"/>
        <w:rPr>
          <w:sz w:val="22"/>
        </w:rPr>
      </w:pPr>
      <w:r>
        <w:rPr>
          <w:color w:val="808080"/>
          <w:sz w:val="22"/>
        </w:rPr>
        <w:t>Cena za poskytování Předmětu plnění uvedená v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čl. 2 odst 2.1 této Smlouvy představuje maximální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částku,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která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zahrnuje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rozsah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Předmětu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plnění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uvedený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v čl.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1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odst.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1.1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této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Smlouvy. Dodavatel je oprávněn vystavit daňový doklad pouze za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takové plnění, které bylo Objednatelem skutečně akceptováno (tj. byl podepsán Akceptační protokol), přičemž výsledná cena takového plnění bude stanovena na základě jednotkových cen uvedených v Příloze č. 1 této Smlouvy a skutečného počtu člověkodnů poskytnutých v jednotlivých rolích.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5" w:hanging="567"/>
        <w:jc w:val="both"/>
        <w:rPr>
          <w:sz w:val="22"/>
        </w:rPr>
      </w:pPr>
      <w:r>
        <w:rPr>
          <w:color w:val="808080"/>
          <w:sz w:val="22"/>
        </w:rPr>
        <w:t>Dodavatel výslovně prohlašuje a ujišťuje Objednatele, že jednotkové ceny uvedené v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Příloze č. 1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této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Smlouvy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sobě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zahrnují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veškeré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náklady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Dodavatele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spojené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plněním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dle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této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Smlouvy, jsou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cenami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konečnými,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nejvýše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přípustnými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a nemohou být změněny. K ceně bude připočítána DPH dle příslušných předpisů ve výši platné ke dni uskutečnění zdanitelného plnění.</w:t>
      </w:r>
    </w:p>
    <w:p>
      <w:pPr>
        <w:spacing w:after="0" w:line="312" w:lineRule="auto"/>
        <w:jc w:val="both"/>
        <w:rPr>
          <w:sz w:val="22"/>
        </w:rPr>
        <w:sectPr>
          <w:pgSz w:w="11910" w:h="16840"/>
          <w:pgMar w:header="649" w:footer="756" w:top="2000" w:bottom="940" w:left="960" w:right="740"/>
        </w:sect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145" w:after="0"/>
        <w:ind w:left="739" w:right="102" w:hanging="567"/>
        <w:jc w:val="both"/>
        <w:rPr>
          <w:sz w:val="22"/>
        </w:rPr>
      </w:pPr>
      <w:r>
        <w:rPr>
          <w:color w:val="808080"/>
          <w:sz w:val="22"/>
        </w:rPr>
        <w:t>Daňový doklad bude Dodavatelem vystavován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měsíčně za Předmět plnění skutečně poskytnutý v předchozím kalendářním měsíci, a to na základě Akceptačního protokolu podepsaného oprávněnými zástupci obou Smluvních stran. Za den uskutečnění zdanitelného plnění (dále jen</w:t>
      </w:r>
    </w:p>
    <w:p>
      <w:pPr>
        <w:pStyle w:val="BodyText"/>
        <w:spacing w:line="312" w:lineRule="auto"/>
        <w:ind w:left="739" w:right="10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> </w:t>
      </w:r>
      <w:r>
        <w:rPr>
          <w:color w:val="808080"/>
        </w:rPr>
        <w:t>se</w:t>
      </w:r>
      <w:r>
        <w:rPr>
          <w:color w:val="808080"/>
          <w:spacing w:val="-4"/>
        </w:rPr>
        <w:t> </w:t>
      </w:r>
      <w:r>
        <w:rPr>
          <w:color w:val="808080"/>
        </w:rPr>
        <w:t>považuje</w:t>
      </w:r>
      <w:r>
        <w:rPr>
          <w:color w:val="808080"/>
          <w:spacing w:val="-3"/>
        </w:rPr>
        <w:t> </w:t>
      </w:r>
      <w:r>
        <w:rPr>
          <w:color w:val="808080"/>
        </w:rPr>
        <w:t>poslední</w:t>
      </w:r>
      <w:r>
        <w:rPr>
          <w:color w:val="808080"/>
          <w:spacing w:val="-1"/>
        </w:rPr>
        <w:t> </w:t>
      </w:r>
      <w:r>
        <w:rPr>
          <w:color w:val="808080"/>
        </w:rPr>
        <w:t>den</w:t>
      </w:r>
      <w:r>
        <w:rPr>
          <w:color w:val="808080"/>
          <w:spacing w:val="-6"/>
        </w:rPr>
        <w:t> </w:t>
      </w:r>
      <w:r>
        <w:rPr>
          <w:color w:val="808080"/>
        </w:rPr>
        <w:t>v</w:t>
      </w:r>
      <w:r>
        <w:rPr>
          <w:color w:val="808080"/>
          <w:spacing w:val="-1"/>
        </w:rPr>
        <w:t> </w:t>
      </w:r>
      <w:r>
        <w:rPr>
          <w:color w:val="808080"/>
        </w:rPr>
        <w:t>kalendářním</w:t>
      </w:r>
      <w:r>
        <w:rPr>
          <w:color w:val="808080"/>
          <w:spacing w:val="-5"/>
        </w:rPr>
        <w:t> </w:t>
      </w:r>
      <w:r>
        <w:rPr>
          <w:color w:val="808080"/>
        </w:rPr>
        <w:t>měsíci,</w:t>
      </w:r>
      <w:r>
        <w:rPr>
          <w:color w:val="808080"/>
          <w:spacing w:val="-2"/>
        </w:rPr>
        <w:t> </w:t>
      </w:r>
      <w:r>
        <w:rPr>
          <w:color w:val="808080"/>
        </w:rPr>
        <w:t>za</w:t>
      </w:r>
      <w:r>
        <w:rPr>
          <w:color w:val="808080"/>
          <w:spacing w:val="-4"/>
        </w:rPr>
        <w:t> </w:t>
      </w:r>
      <w:r>
        <w:rPr>
          <w:color w:val="808080"/>
        </w:rPr>
        <w:t>který</w:t>
      </w:r>
      <w:r>
        <w:rPr>
          <w:color w:val="808080"/>
          <w:spacing w:val="-4"/>
        </w:rPr>
        <w:t> </w:t>
      </w:r>
      <w:r>
        <w:rPr>
          <w:color w:val="808080"/>
        </w:rPr>
        <w:t>byl</w:t>
      </w:r>
      <w:r>
        <w:rPr>
          <w:color w:val="808080"/>
          <w:spacing w:val="-5"/>
        </w:rPr>
        <w:t> </w:t>
      </w:r>
      <w:r>
        <w:rPr>
          <w:color w:val="808080"/>
        </w:rPr>
        <w:t>Předmět</w:t>
      </w:r>
      <w:r>
        <w:rPr>
          <w:color w:val="808080"/>
          <w:spacing w:val="-3"/>
        </w:rPr>
        <w:t> </w:t>
      </w:r>
      <w:r>
        <w:rPr>
          <w:color w:val="808080"/>
        </w:rPr>
        <w:t>plnění</w:t>
      </w:r>
      <w:r>
        <w:rPr>
          <w:color w:val="808080"/>
          <w:spacing w:val="-3"/>
        </w:rPr>
        <w:t> </w:t>
      </w:r>
      <w:r>
        <w:rPr>
          <w:color w:val="808080"/>
        </w:rPr>
        <w:t>poskytnut. Akceptační protokol bude vystaven a oboustranně podepsán nejpozději do deseti (10) dnů od DUZP, a bude tvořit povinnou přílohu daňového dokladu. Daňový doklad bude vystaven do patnácti (15) dnů od DUZP.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7" w:hanging="567"/>
        <w:jc w:val="both"/>
        <w:rPr>
          <w:sz w:val="22"/>
        </w:rPr>
      </w:pPr>
      <w:r>
        <w:rPr>
          <w:color w:val="808080"/>
          <w:sz w:val="22"/>
        </w:rPr>
        <w:t>Daňový doklad vystavený Dodavatelem musí obsahovat všechny náležitosti daňového dokladu podle příslušných právních předpisů, zejména § 29 zákona č. 235/2004 Sb., o dani z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přidané hodnoty,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ve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znění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pozdějších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předpisů,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zákona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č.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563/1991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Sb.,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o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účetnictví,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ve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znění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pozdějších předpisů a údaje uvedené v čl. 5. odst. 5.3 Rámcové dohody.</w:t>
      </w:r>
    </w:p>
    <w:p>
      <w:pPr>
        <w:pStyle w:val="ListParagraph"/>
        <w:numPr>
          <w:ilvl w:val="3"/>
          <w:numId w:val="1"/>
        </w:numPr>
        <w:tabs>
          <w:tab w:pos="739" w:val="left" w:leader="none"/>
          <w:tab w:pos="740" w:val="left" w:leader="none"/>
        </w:tabs>
        <w:spacing w:line="240" w:lineRule="auto" w:before="202" w:after="0"/>
        <w:ind w:left="739" w:right="0" w:hanging="568"/>
        <w:jc w:val="left"/>
        <w:rPr>
          <w:sz w:val="22"/>
        </w:rPr>
      </w:pPr>
      <w:r>
        <w:rPr>
          <w:color w:val="808080"/>
          <w:sz w:val="22"/>
        </w:rPr>
        <w:t>Akceptační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protokol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bude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přílohou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daňového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dokladu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musí</w:t>
      </w:r>
      <w:r>
        <w:rPr>
          <w:color w:val="808080"/>
          <w:spacing w:val="-6"/>
          <w:sz w:val="22"/>
        </w:rPr>
        <w:t> </w:t>
      </w:r>
      <w:r>
        <w:rPr>
          <w:color w:val="808080"/>
          <w:spacing w:val="-2"/>
          <w:sz w:val="22"/>
        </w:rPr>
        <w:t>obsahovat: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2"/>
        </w:rPr>
      </w:pPr>
      <w:r>
        <w:rPr>
          <w:color w:val="808080"/>
          <w:sz w:val="22"/>
        </w:rPr>
        <w:t>číslo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Dílčí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smlouvy,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na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jejímž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základě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je</w:t>
      </w:r>
      <w:r>
        <w:rPr>
          <w:color w:val="808080"/>
          <w:spacing w:val="-3"/>
          <w:sz w:val="22"/>
        </w:rPr>
        <w:t> </w:t>
      </w:r>
      <w:r>
        <w:rPr>
          <w:color w:val="808080"/>
          <w:spacing w:val="-2"/>
          <w:sz w:val="22"/>
        </w:rPr>
        <w:t>plněno,</w:t>
      </w:r>
    </w:p>
    <w:p>
      <w:pPr>
        <w:pStyle w:val="ListParagraph"/>
        <w:numPr>
          <w:ilvl w:val="4"/>
          <w:numId w:val="1"/>
        </w:numPr>
        <w:tabs>
          <w:tab w:pos="1386" w:val="left" w:leader="none"/>
        </w:tabs>
        <w:spacing w:line="240" w:lineRule="auto" w:before="76" w:after="0"/>
        <w:ind w:left="1385" w:right="0" w:hanging="361"/>
        <w:jc w:val="left"/>
        <w:rPr>
          <w:sz w:val="22"/>
        </w:rPr>
      </w:pPr>
      <w:r>
        <w:rPr>
          <w:color w:val="808080"/>
          <w:sz w:val="22"/>
        </w:rPr>
        <w:t>popis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poskytované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aktivity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rámci</w:t>
      </w:r>
      <w:r>
        <w:rPr>
          <w:color w:val="808080"/>
          <w:spacing w:val="-4"/>
          <w:sz w:val="22"/>
        </w:rPr>
        <w:t> role,</w:t>
      </w:r>
    </w:p>
    <w:p>
      <w:pPr>
        <w:pStyle w:val="ListParagraph"/>
        <w:numPr>
          <w:ilvl w:val="4"/>
          <w:numId w:val="1"/>
        </w:numPr>
        <w:tabs>
          <w:tab w:pos="1386" w:val="left" w:leader="none"/>
        </w:tabs>
        <w:spacing w:line="240" w:lineRule="auto" w:before="75" w:after="0"/>
        <w:ind w:left="1385" w:right="0" w:hanging="361"/>
        <w:jc w:val="left"/>
        <w:rPr>
          <w:sz w:val="22"/>
        </w:rPr>
      </w:pPr>
      <w:r>
        <w:rPr>
          <w:color w:val="808080"/>
          <w:sz w:val="22"/>
        </w:rPr>
        <w:t>osobu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Dodavatele,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která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Předmět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plnění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poskytla,</w:t>
      </w:r>
    </w:p>
    <w:p>
      <w:pPr>
        <w:pStyle w:val="ListParagraph"/>
        <w:numPr>
          <w:ilvl w:val="4"/>
          <w:numId w:val="1"/>
        </w:numPr>
        <w:tabs>
          <w:tab w:pos="1386" w:val="left" w:leader="none"/>
        </w:tabs>
        <w:spacing w:line="240" w:lineRule="auto" w:before="76" w:after="0"/>
        <w:ind w:left="1385" w:right="0" w:hanging="361"/>
        <w:jc w:val="left"/>
        <w:rPr>
          <w:sz w:val="22"/>
        </w:rPr>
      </w:pPr>
      <w:r>
        <w:rPr>
          <w:color w:val="808080"/>
          <w:sz w:val="22"/>
        </w:rPr>
        <w:t>počet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odpracovaných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hodin,</w:t>
      </w:r>
    </w:p>
    <w:p>
      <w:pPr>
        <w:pStyle w:val="ListParagraph"/>
        <w:numPr>
          <w:ilvl w:val="4"/>
          <w:numId w:val="1"/>
        </w:numPr>
        <w:tabs>
          <w:tab w:pos="1386" w:val="left" w:leader="none"/>
        </w:tabs>
        <w:spacing w:line="240" w:lineRule="auto" w:before="76" w:after="0"/>
        <w:ind w:left="1385" w:right="0" w:hanging="361"/>
        <w:jc w:val="left"/>
        <w:rPr>
          <w:sz w:val="22"/>
        </w:rPr>
      </w:pPr>
      <w:r>
        <w:rPr>
          <w:color w:val="808080"/>
          <w:sz w:val="22"/>
        </w:rPr>
        <w:t>konkrétní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dny,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ve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kterých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byl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Předmět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plnění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rámci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kalendářního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měsíce</w:t>
      </w:r>
      <w:r>
        <w:rPr>
          <w:color w:val="808080"/>
          <w:spacing w:val="-6"/>
          <w:sz w:val="22"/>
        </w:rPr>
        <w:t> </w:t>
      </w:r>
      <w:r>
        <w:rPr>
          <w:color w:val="808080"/>
          <w:spacing w:val="-2"/>
          <w:sz w:val="22"/>
        </w:rPr>
        <w:t>poskytnut,</w:t>
      </w:r>
    </w:p>
    <w:p>
      <w:pPr>
        <w:pStyle w:val="ListParagraph"/>
        <w:numPr>
          <w:ilvl w:val="4"/>
          <w:numId w:val="1"/>
        </w:numPr>
        <w:tabs>
          <w:tab w:pos="1385" w:val="left" w:leader="none"/>
          <w:tab w:pos="1386" w:val="left" w:leader="none"/>
        </w:tabs>
        <w:spacing w:line="240" w:lineRule="auto" w:before="76" w:after="0"/>
        <w:ind w:left="1385" w:right="0" w:hanging="361"/>
        <w:jc w:val="left"/>
        <w:rPr>
          <w:sz w:val="22"/>
        </w:rPr>
      </w:pPr>
      <w:r>
        <w:rPr>
          <w:color w:val="808080"/>
          <w:sz w:val="22"/>
        </w:rPr>
        <w:t>číslo</w:t>
      </w:r>
      <w:r>
        <w:rPr>
          <w:color w:val="808080"/>
          <w:spacing w:val="-4"/>
          <w:sz w:val="22"/>
        </w:rPr>
        <w:t> </w:t>
      </w:r>
      <w:r>
        <w:rPr>
          <w:color w:val="808080"/>
          <w:spacing w:val="-2"/>
          <w:sz w:val="22"/>
        </w:rPr>
        <w:t>EOBJ.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7" w:hanging="567"/>
        <w:jc w:val="both"/>
        <w:rPr>
          <w:sz w:val="22"/>
        </w:rPr>
      </w:pPr>
      <w:r>
        <w:rPr>
          <w:color w:val="808080"/>
          <w:sz w:val="22"/>
        </w:rPr>
        <w:t>Objednatel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odsouhlasí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Akceptační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protokol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či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ho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odmítne,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pokud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by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obsahoval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zjevné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vady a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nesrovnalosti.</w:t>
      </w:r>
      <w:r>
        <w:rPr>
          <w:color w:val="808080"/>
          <w:spacing w:val="68"/>
          <w:sz w:val="22"/>
        </w:rPr>
        <w:t> </w:t>
      </w:r>
      <w:r>
        <w:rPr>
          <w:color w:val="808080"/>
          <w:sz w:val="22"/>
        </w:rPr>
        <w:t>Odsouhlasení</w:t>
      </w:r>
      <w:r>
        <w:rPr>
          <w:color w:val="808080"/>
          <w:spacing w:val="70"/>
          <w:sz w:val="22"/>
        </w:rPr>
        <w:t> </w:t>
      </w:r>
      <w:r>
        <w:rPr>
          <w:color w:val="808080"/>
          <w:sz w:val="22"/>
        </w:rPr>
        <w:t>/</w:t>
      </w:r>
      <w:r>
        <w:rPr>
          <w:color w:val="808080"/>
          <w:spacing w:val="68"/>
          <w:sz w:val="22"/>
        </w:rPr>
        <w:t> </w:t>
      </w:r>
      <w:r>
        <w:rPr>
          <w:color w:val="808080"/>
          <w:sz w:val="22"/>
        </w:rPr>
        <w:t>odmítnutí</w:t>
      </w:r>
      <w:r>
        <w:rPr>
          <w:color w:val="808080"/>
          <w:spacing w:val="68"/>
          <w:sz w:val="22"/>
        </w:rPr>
        <w:t> </w:t>
      </w:r>
      <w:r>
        <w:rPr>
          <w:color w:val="808080"/>
          <w:sz w:val="22"/>
        </w:rPr>
        <w:t>Objednatel</w:t>
      </w:r>
      <w:r>
        <w:rPr>
          <w:color w:val="808080"/>
          <w:spacing w:val="69"/>
          <w:sz w:val="22"/>
        </w:rPr>
        <w:t> </w:t>
      </w:r>
      <w:r>
        <w:rPr>
          <w:color w:val="808080"/>
          <w:sz w:val="22"/>
        </w:rPr>
        <w:t>potvrdí</w:t>
      </w:r>
      <w:r>
        <w:rPr>
          <w:color w:val="808080"/>
          <w:spacing w:val="69"/>
          <w:sz w:val="22"/>
        </w:rPr>
        <w:t> </w:t>
      </w:r>
      <w:r>
        <w:rPr>
          <w:color w:val="808080"/>
          <w:sz w:val="22"/>
        </w:rPr>
        <w:t>Dodavateli</w:t>
      </w:r>
      <w:r>
        <w:rPr>
          <w:color w:val="808080"/>
          <w:spacing w:val="68"/>
          <w:sz w:val="22"/>
        </w:rPr>
        <w:t> </w:t>
      </w:r>
      <w:r>
        <w:rPr>
          <w:color w:val="808080"/>
          <w:sz w:val="22"/>
        </w:rPr>
        <w:t>e-mailem</w:t>
      </w:r>
      <w:r>
        <w:rPr>
          <w:color w:val="808080"/>
          <w:spacing w:val="67"/>
          <w:sz w:val="22"/>
        </w:rPr>
        <w:t> </w:t>
      </w:r>
      <w:r>
        <w:rPr>
          <w:color w:val="808080"/>
          <w:sz w:val="22"/>
        </w:rPr>
        <w:t>do</w:t>
      </w:r>
      <w:r>
        <w:rPr>
          <w:color w:val="808080"/>
          <w:spacing w:val="69"/>
          <w:sz w:val="22"/>
        </w:rPr>
        <w:t> </w:t>
      </w:r>
      <w:r>
        <w:rPr>
          <w:color w:val="808080"/>
          <w:sz w:val="22"/>
        </w:rPr>
        <w:t>pěti</w:t>
      </w:r>
    </w:p>
    <w:p>
      <w:pPr>
        <w:pStyle w:val="BodyText"/>
        <w:ind w:left="739"/>
      </w:pPr>
      <w:r>
        <w:rPr>
          <w:color w:val="808080"/>
        </w:rPr>
        <w:t>(5)</w:t>
      </w:r>
      <w:r>
        <w:rPr>
          <w:color w:val="808080"/>
          <w:spacing w:val="-5"/>
        </w:rPr>
        <w:t> </w:t>
      </w:r>
      <w:r>
        <w:rPr>
          <w:color w:val="808080"/>
        </w:rPr>
        <w:t>pracovních</w:t>
      </w:r>
      <w:r>
        <w:rPr>
          <w:color w:val="808080"/>
          <w:spacing w:val="-6"/>
        </w:rPr>
        <w:t> </w:t>
      </w:r>
      <w:r>
        <w:rPr>
          <w:color w:val="808080"/>
        </w:rPr>
        <w:t>dnů</w:t>
      </w:r>
      <w:r>
        <w:rPr>
          <w:color w:val="808080"/>
          <w:spacing w:val="-4"/>
        </w:rPr>
        <w:t> </w:t>
      </w:r>
      <w:r>
        <w:rPr>
          <w:color w:val="808080"/>
        </w:rPr>
        <w:t>ode</w:t>
      </w:r>
      <w:r>
        <w:rPr>
          <w:color w:val="808080"/>
          <w:spacing w:val="-6"/>
        </w:rPr>
        <w:t> </w:t>
      </w:r>
      <w:r>
        <w:rPr>
          <w:color w:val="808080"/>
        </w:rPr>
        <w:t>dne</w:t>
      </w:r>
      <w:r>
        <w:rPr>
          <w:color w:val="808080"/>
          <w:spacing w:val="-4"/>
        </w:rPr>
        <w:t> </w:t>
      </w:r>
      <w:r>
        <w:rPr>
          <w:color w:val="808080"/>
        </w:rPr>
        <w:t>předložení</w:t>
      </w:r>
      <w:r>
        <w:rPr>
          <w:color w:val="808080"/>
          <w:spacing w:val="-5"/>
        </w:rPr>
        <w:t> </w:t>
      </w:r>
      <w:r>
        <w:rPr>
          <w:color w:val="808080"/>
        </w:rPr>
        <w:t>k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akceptaci.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1"/>
        </w:numPr>
        <w:tabs>
          <w:tab w:pos="739" w:val="left" w:leader="none"/>
          <w:tab w:pos="740" w:val="left" w:leader="none"/>
        </w:tabs>
        <w:spacing w:line="309" w:lineRule="auto" w:before="0" w:after="0"/>
        <w:ind w:left="739" w:right="107" w:hanging="567"/>
        <w:jc w:val="left"/>
        <w:rPr>
          <w:sz w:val="22"/>
        </w:rPr>
      </w:pPr>
      <w:r>
        <w:rPr>
          <w:color w:val="808080"/>
          <w:sz w:val="22"/>
        </w:rPr>
        <w:t>Daňové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doklady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budou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zasílány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Dodavatelem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spolu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s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veškerými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požadovanými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dokumenty Objednateli do tří (3) pracovních dnů od jejich vystavení jedním z následujících způsobů:</w:t>
      </w:r>
    </w:p>
    <w:p>
      <w:pPr>
        <w:pStyle w:val="ListParagraph"/>
        <w:numPr>
          <w:ilvl w:val="4"/>
          <w:numId w:val="1"/>
        </w:numPr>
        <w:tabs>
          <w:tab w:pos="1386" w:val="left" w:leader="none"/>
        </w:tabs>
        <w:spacing w:line="424" w:lineRule="auto" w:before="204" w:after="0"/>
        <w:ind w:left="1733" w:right="5578" w:hanging="708"/>
        <w:jc w:val="left"/>
        <w:rPr>
          <w:sz w:val="22"/>
        </w:rPr>
      </w:pPr>
      <w:r>
        <w:rPr>
          <w:color w:val="808080"/>
          <w:sz w:val="22"/>
        </w:rPr>
        <w:t>v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elektronické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podobě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na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adresu: </w:t>
      </w:r>
      <w:hyperlink r:id="rId7">
        <w:r>
          <w:rPr>
            <w:color w:val="7E7E7E"/>
            <w:spacing w:val="-2"/>
            <w:sz w:val="22"/>
            <w:u w:val="single" w:color="7E7E7E"/>
          </w:rPr>
          <w:t>faktury@nakit.cz</w:t>
        </w:r>
      </w:hyperlink>
    </w:p>
    <w:p>
      <w:pPr>
        <w:pStyle w:val="ListParagraph"/>
        <w:numPr>
          <w:ilvl w:val="4"/>
          <w:numId w:val="1"/>
        </w:numPr>
        <w:tabs>
          <w:tab w:pos="1386" w:val="left" w:leader="none"/>
        </w:tabs>
        <w:spacing w:line="240" w:lineRule="auto" w:before="2" w:after="0"/>
        <w:ind w:left="1385" w:right="0" w:hanging="361"/>
        <w:jc w:val="left"/>
        <w:rPr>
          <w:sz w:val="22"/>
        </w:rPr>
      </w:pPr>
      <w:r>
        <w:rPr>
          <w:color w:val="808080"/>
          <w:sz w:val="22"/>
        </w:rPr>
        <w:t>doporučeným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dopisem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na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následující</w:t>
      </w:r>
      <w:r>
        <w:rPr>
          <w:color w:val="808080"/>
          <w:spacing w:val="-8"/>
          <w:sz w:val="22"/>
        </w:rPr>
        <w:t> </w:t>
      </w:r>
      <w:r>
        <w:rPr>
          <w:color w:val="808080"/>
          <w:spacing w:val="-2"/>
          <w:sz w:val="22"/>
        </w:rPr>
        <w:t>adresu:</w:t>
      </w:r>
    </w:p>
    <w:p>
      <w:pPr>
        <w:pStyle w:val="BodyText"/>
        <w:spacing w:line="424" w:lineRule="auto" w:before="196"/>
        <w:ind w:left="1733" w:right="1509"/>
      </w:pPr>
      <w:r>
        <w:rPr>
          <w:color w:val="808080"/>
        </w:rPr>
        <w:t>Národní</w:t>
      </w:r>
      <w:r>
        <w:rPr>
          <w:color w:val="808080"/>
          <w:spacing w:val="-3"/>
        </w:rPr>
        <w:t> </w:t>
      </w:r>
      <w:r>
        <w:rPr>
          <w:color w:val="808080"/>
        </w:rPr>
        <w:t>agentura</w:t>
      </w:r>
      <w:r>
        <w:rPr>
          <w:color w:val="808080"/>
          <w:spacing w:val="-6"/>
        </w:rPr>
        <w:t> </w:t>
      </w:r>
      <w:r>
        <w:rPr>
          <w:color w:val="808080"/>
        </w:rPr>
        <w:t>pro</w:t>
      </w:r>
      <w:r>
        <w:rPr>
          <w:color w:val="808080"/>
          <w:spacing w:val="-4"/>
        </w:rPr>
        <w:t> </w:t>
      </w:r>
      <w:r>
        <w:rPr>
          <w:color w:val="808080"/>
        </w:rPr>
        <w:t>komunikační</w:t>
      </w:r>
      <w:r>
        <w:rPr>
          <w:color w:val="808080"/>
          <w:spacing w:val="-5"/>
        </w:rPr>
        <w:t> </w:t>
      </w:r>
      <w:r>
        <w:rPr>
          <w:color w:val="808080"/>
        </w:rPr>
        <w:t>a</w:t>
      </w:r>
      <w:r>
        <w:rPr>
          <w:color w:val="808080"/>
          <w:spacing w:val="-4"/>
        </w:rPr>
        <w:t> </w:t>
      </w:r>
      <w:r>
        <w:rPr>
          <w:color w:val="808080"/>
        </w:rPr>
        <w:t>informační</w:t>
      </w:r>
      <w:r>
        <w:rPr>
          <w:color w:val="808080"/>
          <w:spacing w:val="-5"/>
        </w:rPr>
        <w:t> </w:t>
      </w:r>
      <w:r>
        <w:rPr>
          <w:color w:val="808080"/>
        </w:rPr>
        <w:t>technologie,</w:t>
      </w:r>
      <w:r>
        <w:rPr>
          <w:color w:val="808080"/>
          <w:spacing w:val="-3"/>
        </w:rPr>
        <w:t> </w:t>
      </w:r>
      <w:r>
        <w:rPr>
          <w:color w:val="808080"/>
        </w:rPr>
        <w:t>s.</w:t>
      </w:r>
      <w:r>
        <w:rPr>
          <w:color w:val="808080"/>
          <w:spacing w:val="-5"/>
        </w:rPr>
        <w:t> </w:t>
      </w:r>
      <w:r>
        <w:rPr>
          <w:color w:val="808080"/>
        </w:rPr>
        <w:t>p. Kodaňská 1441/46, Vršovice, 101 01 Praha 10</w:t>
      </w:r>
    </w:p>
    <w:p>
      <w:pPr>
        <w:pStyle w:val="ListParagraph"/>
        <w:numPr>
          <w:ilvl w:val="3"/>
          <w:numId w:val="1"/>
        </w:numPr>
        <w:tabs>
          <w:tab w:pos="739" w:val="left" w:leader="none"/>
          <w:tab w:pos="740" w:val="left" w:leader="none"/>
        </w:tabs>
        <w:spacing w:line="240" w:lineRule="auto" w:before="123" w:after="0"/>
        <w:ind w:left="739" w:right="0" w:hanging="568"/>
        <w:jc w:val="left"/>
        <w:rPr>
          <w:sz w:val="22"/>
        </w:rPr>
      </w:pPr>
      <w:r>
        <w:rPr>
          <w:color w:val="808080"/>
          <w:spacing w:val="-2"/>
          <w:sz w:val="22"/>
        </w:rPr>
        <w:t>Ostatní</w:t>
      </w:r>
      <w:r>
        <w:rPr>
          <w:color w:val="808080"/>
          <w:spacing w:val="-9"/>
          <w:sz w:val="22"/>
        </w:rPr>
        <w:t> </w:t>
      </w:r>
      <w:r>
        <w:rPr>
          <w:color w:val="808080"/>
          <w:spacing w:val="-2"/>
          <w:sz w:val="22"/>
        </w:rPr>
        <w:t>platební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podmínky</w:t>
      </w:r>
      <w:r>
        <w:rPr>
          <w:color w:val="808080"/>
          <w:spacing w:val="-8"/>
          <w:sz w:val="22"/>
        </w:rPr>
        <w:t> </w:t>
      </w:r>
      <w:r>
        <w:rPr>
          <w:color w:val="808080"/>
          <w:spacing w:val="-2"/>
          <w:sz w:val="22"/>
        </w:rPr>
        <w:t>a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podmínky</w:t>
      </w:r>
      <w:r>
        <w:rPr>
          <w:color w:val="808080"/>
          <w:spacing w:val="-8"/>
          <w:sz w:val="22"/>
        </w:rPr>
        <w:t> </w:t>
      </w:r>
      <w:r>
        <w:rPr>
          <w:color w:val="808080"/>
          <w:spacing w:val="-2"/>
          <w:sz w:val="22"/>
        </w:rPr>
        <w:t>pro</w:t>
      </w:r>
      <w:r>
        <w:rPr>
          <w:color w:val="808080"/>
          <w:spacing w:val="-8"/>
          <w:sz w:val="22"/>
        </w:rPr>
        <w:t> </w:t>
      </w:r>
      <w:r>
        <w:rPr>
          <w:color w:val="808080"/>
          <w:spacing w:val="-2"/>
          <w:sz w:val="22"/>
        </w:rPr>
        <w:t>daňové</w:t>
      </w:r>
      <w:r>
        <w:rPr>
          <w:color w:val="808080"/>
          <w:spacing w:val="-11"/>
          <w:sz w:val="22"/>
        </w:rPr>
        <w:t> </w:t>
      </w:r>
      <w:r>
        <w:rPr>
          <w:color w:val="808080"/>
          <w:spacing w:val="-2"/>
          <w:sz w:val="22"/>
        </w:rPr>
        <w:t>doklady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se</w:t>
      </w:r>
      <w:r>
        <w:rPr>
          <w:color w:val="808080"/>
          <w:spacing w:val="-8"/>
          <w:sz w:val="22"/>
        </w:rPr>
        <w:t> </w:t>
      </w:r>
      <w:r>
        <w:rPr>
          <w:color w:val="808080"/>
          <w:spacing w:val="-2"/>
          <w:sz w:val="22"/>
        </w:rPr>
        <w:t>řídí podmínkami</w:t>
      </w:r>
      <w:r>
        <w:rPr>
          <w:color w:val="808080"/>
          <w:spacing w:val="-8"/>
          <w:sz w:val="22"/>
        </w:rPr>
        <w:t> </w:t>
      </w:r>
      <w:r>
        <w:rPr>
          <w:color w:val="808080"/>
          <w:spacing w:val="-2"/>
          <w:sz w:val="22"/>
        </w:rPr>
        <w:t>Rámcové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dohody.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240" w:lineRule="auto" w:before="0" w:after="0"/>
        <w:ind w:left="739" w:right="0" w:hanging="568"/>
        <w:jc w:val="left"/>
        <w:rPr>
          <w:sz w:val="22"/>
        </w:rPr>
      </w:pPr>
      <w:r>
        <w:rPr>
          <w:color w:val="808080"/>
          <w:sz w:val="22"/>
        </w:rPr>
        <w:t>Odpovědnými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osobami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Smluvních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stran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jsou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pro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účely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této</w:t>
      </w:r>
      <w:r>
        <w:rPr>
          <w:color w:val="808080"/>
          <w:spacing w:val="-6"/>
          <w:sz w:val="22"/>
        </w:rPr>
        <w:t> </w:t>
      </w:r>
      <w:r>
        <w:rPr>
          <w:color w:val="808080"/>
          <w:spacing w:val="-2"/>
          <w:sz w:val="22"/>
        </w:rPr>
        <w:t>Smlouvy: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10" w:val="left" w:leader="none"/>
        </w:tabs>
        <w:ind w:left="739"/>
      </w:pPr>
      <w:r>
        <w:rPr>
          <w:color w:val="808080"/>
        </w:rPr>
        <w:t>Za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Rudolf</w:t>
      </w:r>
      <w:r>
        <w:rPr>
          <w:color w:val="808080"/>
          <w:spacing w:val="-5"/>
        </w:rPr>
        <w:t> </w:t>
      </w:r>
      <w:r>
        <w:rPr>
          <w:color w:val="808080"/>
          <w:spacing w:val="-2"/>
        </w:rPr>
        <w:t>Štekl</w:t>
      </w:r>
    </w:p>
    <w:p>
      <w:pPr>
        <w:pStyle w:val="BodyText"/>
        <w:spacing w:before="75"/>
        <w:ind w:left="3010"/>
      </w:pPr>
      <w:r>
        <w:rPr>
          <w:color w:val="808080"/>
        </w:rPr>
        <w:t>tel.</w:t>
      </w:r>
      <w:r>
        <w:rPr>
          <w:color w:val="808080"/>
          <w:spacing w:val="-3"/>
        </w:rPr>
        <w:t> </w:t>
      </w:r>
      <w:r>
        <w:rPr>
          <w:color w:val="808080"/>
        </w:rPr>
        <w:t>+420</w:t>
      </w:r>
      <w:r>
        <w:rPr>
          <w:color w:val="808080"/>
          <w:spacing w:val="-2"/>
        </w:rPr>
        <w:t> </w:t>
      </w:r>
      <w:r>
        <w:rPr>
          <w:color w:val="808080"/>
        </w:rPr>
        <w:t>731</w:t>
      </w:r>
      <w:r>
        <w:rPr>
          <w:color w:val="808080"/>
          <w:spacing w:val="-3"/>
        </w:rPr>
        <w:t> </w:t>
      </w:r>
      <w:r>
        <w:rPr>
          <w:color w:val="808080"/>
        </w:rPr>
        <w:t>680</w:t>
      </w:r>
      <w:r>
        <w:rPr>
          <w:color w:val="808080"/>
          <w:spacing w:val="-1"/>
        </w:rPr>
        <w:t> </w:t>
      </w:r>
      <w:r>
        <w:rPr>
          <w:color w:val="808080"/>
          <w:spacing w:val="-5"/>
        </w:rPr>
        <w:t>282</w:t>
      </w:r>
    </w:p>
    <w:p>
      <w:pPr>
        <w:pStyle w:val="BodyText"/>
        <w:spacing w:before="76"/>
        <w:ind w:left="3010"/>
      </w:pPr>
      <w:r>
        <w:rPr>
          <w:color w:val="808080"/>
        </w:rPr>
        <w:t>e-mail:</w:t>
      </w:r>
      <w:r>
        <w:rPr>
          <w:color w:val="808080"/>
          <w:spacing w:val="-6"/>
        </w:rPr>
        <w:t> </w:t>
      </w:r>
      <w:hyperlink r:id="rId8">
        <w:r>
          <w:rPr>
            <w:color w:val="7E7E7E"/>
            <w:spacing w:val="-2"/>
            <w:u w:val="single" w:color="7E7E7E"/>
          </w:rPr>
          <w:t>rudolf.stekl@nakit.cz</w:t>
        </w:r>
      </w:hyperlink>
    </w:p>
    <w:p>
      <w:pPr>
        <w:spacing w:after="0"/>
        <w:sectPr>
          <w:pgSz w:w="11910" w:h="16840"/>
          <w:pgMar w:header="649" w:footer="756" w:top="2000" w:bottom="940" w:left="960" w:right="740"/>
        </w:sectPr>
      </w:pPr>
    </w:p>
    <w:p>
      <w:pPr>
        <w:pStyle w:val="BodyText"/>
        <w:tabs>
          <w:tab w:pos="3010" w:val="left" w:leader="none"/>
        </w:tabs>
        <w:spacing w:before="145"/>
        <w:ind w:left="739"/>
      </w:pPr>
      <w:r>
        <w:rPr>
          <w:color w:val="808080"/>
        </w:rPr>
        <w:t>Za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Tomáš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Faško</w:t>
      </w:r>
    </w:p>
    <w:p>
      <w:pPr>
        <w:pStyle w:val="BodyText"/>
        <w:spacing w:before="76"/>
        <w:ind w:left="3010"/>
      </w:pPr>
      <w:r>
        <w:rPr>
          <w:color w:val="808080"/>
        </w:rPr>
        <w:t>tel.</w:t>
      </w:r>
      <w:r>
        <w:rPr>
          <w:color w:val="808080"/>
          <w:spacing w:val="-3"/>
        </w:rPr>
        <w:t> </w:t>
      </w:r>
      <w:r>
        <w:rPr>
          <w:color w:val="808080"/>
        </w:rPr>
        <w:t>+420</w:t>
      </w:r>
      <w:r>
        <w:rPr>
          <w:color w:val="808080"/>
          <w:spacing w:val="-1"/>
        </w:rPr>
        <w:t> </w:t>
      </w:r>
      <w:r>
        <w:rPr>
          <w:color w:val="808080"/>
        </w:rPr>
        <w:t>910</w:t>
      </w:r>
      <w:r>
        <w:rPr>
          <w:color w:val="808080"/>
          <w:spacing w:val="-3"/>
        </w:rPr>
        <w:t> </w:t>
      </w:r>
      <w:r>
        <w:rPr>
          <w:color w:val="808080"/>
        </w:rPr>
        <w:t>972</w:t>
      </w:r>
      <w:r>
        <w:rPr>
          <w:color w:val="808080"/>
          <w:spacing w:val="-1"/>
        </w:rPr>
        <w:t> </w:t>
      </w:r>
      <w:r>
        <w:rPr>
          <w:color w:val="808080"/>
          <w:spacing w:val="-5"/>
        </w:rPr>
        <w:t>111</w:t>
      </w:r>
    </w:p>
    <w:p>
      <w:pPr>
        <w:pStyle w:val="BodyText"/>
        <w:spacing w:before="75"/>
        <w:ind w:left="3010"/>
      </w:pPr>
      <w:r>
        <w:rPr>
          <w:color w:val="808080"/>
        </w:rPr>
        <w:t>e-mail:</w:t>
      </w:r>
      <w:r>
        <w:rPr>
          <w:color w:val="808080"/>
          <w:spacing w:val="-6"/>
        </w:rPr>
        <w:t> </w:t>
      </w:r>
      <w:hyperlink r:id="rId9">
        <w:r>
          <w:rPr>
            <w:color w:val="808080"/>
            <w:spacing w:val="-2"/>
          </w:rPr>
          <w:t>tomas.fasko@autocont.cz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12" w:lineRule="auto"/>
        <w:ind w:left="878" w:right="106"/>
        <w:jc w:val="both"/>
      </w:pPr>
      <w:r>
        <w:rPr>
          <w:color w:val="808080"/>
        </w:rPr>
        <w:t>Odpovědné osoby dle tohoto odstavce Smlouvy jsou zejména oprávněny stvrdit poskytnutí Předmětu plnění, podepisovat Akceptační protokol a vznášet požadavky k poskytování Předmětu plnění.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2757" w:val="left" w:leader="none"/>
          <w:tab w:pos="2758" w:val="left" w:leader="none"/>
        </w:tabs>
        <w:spacing w:line="240" w:lineRule="auto" w:before="0" w:after="0"/>
        <w:ind w:left="2758" w:right="0" w:hanging="358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> </w:t>
      </w:r>
      <w:r>
        <w:rPr>
          <w:color w:val="808080"/>
        </w:rPr>
        <w:t>místo</w:t>
      </w:r>
      <w:r>
        <w:rPr>
          <w:color w:val="808080"/>
          <w:spacing w:val="-7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podmínky</w:t>
      </w:r>
      <w:r>
        <w:rPr>
          <w:color w:val="808080"/>
          <w:spacing w:val="-5"/>
        </w:rPr>
        <w:t> </w:t>
      </w:r>
      <w:r>
        <w:rPr>
          <w:color w:val="808080"/>
        </w:rPr>
        <w:t>dodání</w:t>
      </w:r>
      <w:r>
        <w:rPr>
          <w:color w:val="808080"/>
          <w:spacing w:val="-6"/>
        </w:rPr>
        <w:t> </w:t>
      </w:r>
      <w:r>
        <w:rPr>
          <w:color w:val="808080"/>
        </w:rPr>
        <w:t>Předmětu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plnění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5" w:hanging="567"/>
        <w:jc w:val="both"/>
        <w:rPr>
          <w:sz w:val="22"/>
        </w:rPr>
      </w:pPr>
      <w:r>
        <w:rPr>
          <w:color w:val="808080"/>
          <w:sz w:val="22"/>
        </w:rPr>
        <w:t>Dodavatel je povinen začít poskytovat Předmět plnění dle této Smlouvy ode dne její účinnosti. Tato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Smlouva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se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uzavírá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na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dobu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určitou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do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splnění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Předmětu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plnění.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Objednatel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Poskytovatel se shodují, že plnění poskytnuté od 1. 2. 2023 do nabytí účinnosti této Smlouvy je plněním poskytnutým v souladu s požadavky a podmínkami stanovenými touto Smlouvou a Rámcovou dohodou a bude tak na něj nahlíženo.</w:t>
      </w:r>
    </w:p>
    <w:p>
      <w:pPr>
        <w:pStyle w:val="ListParagraph"/>
        <w:numPr>
          <w:ilvl w:val="3"/>
          <w:numId w:val="1"/>
        </w:numPr>
        <w:tabs>
          <w:tab w:pos="739" w:val="left" w:leader="none"/>
          <w:tab w:pos="740" w:val="left" w:leader="none"/>
        </w:tabs>
        <w:spacing w:line="240" w:lineRule="auto" w:before="202" w:after="0"/>
        <w:ind w:left="739" w:right="0" w:hanging="568"/>
        <w:jc w:val="left"/>
        <w:rPr>
          <w:sz w:val="22"/>
        </w:rPr>
      </w:pPr>
      <w:r>
        <w:rPr>
          <w:color w:val="808080"/>
          <w:sz w:val="22"/>
        </w:rPr>
        <w:t>Místem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dodání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Předmětu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plnění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je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Praha.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9" w:hanging="567"/>
        <w:jc w:val="both"/>
        <w:rPr>
          <w:sz w:val="22"/>
        </w:rPr>
      </w:pPr>
      <w:r>
        <w:rPr>
          <w:color w:val="808080"/>
          <w:sz w:val="22"/>
        </w:rPr>
        <w:t>Objednatel</w:t>
      </w:r>
      <w:r>
        <w:rPr>
          <w:color w:val="808080"/>
          <w:spacing w:val="31"/>
          <w:sz w:val="22"/>
        </w:rPr>
        <w:t> </w:t>
      </w:r>
      <w:r>
        <w:rPr>
          <w:color w:val="808080"/>
          <w:sz w:val="22"/>
        </w:rPr>
        <w:t>je</w:t>
      </w:r>
      <w:r>
        <w:rPr>
          <w:color w:val="808080"/>
          <w:spacing w:val="32"/>
          <w:sz w:val="22"/>
        </w:rPr>
        <w:t> </w:t>
      </w:r>
      <w:r>
        <w:rPr>
          <w:color w:val="808080"/>
          <w:sz w:val="22"/>
        </w:rPr>
        <w:t>oprávněn</w:t>
      </w:r>
      <w:r>
        <w:rPr>
          <w:color w:val="808080"/>
          <w:spacing w:val="29"/>
          <w:sz w:val="22"/>
        </w:rPr>
        <w:t> </w:t>
      </w:r>
      <w:r>
        <w:rPr>
          <w:color w:val="808080"/>
          <w:sz w:val="22"/>
        </w:rPr>
        <w:t>převzít</w:t>
      </w:r>
      <w:r>
        <w:rPr>
          <w:color w:val="808080"/>
          <w:spacing w:val="33"/>
          <w:sz w:val="22"/>
        </w:rPr>
        <w:t> </w:t>
      </w:r>
      <w:r>
        <w:rPr>
          <w:color w:val="808080"/>
          <w:sz w:val="22"/>
        </w:rPr>
        <w:t>částečné</w:t>
      </w:r>
      <w:r>
        <w:rPr>
          <w:color w:val="808080"/>
          <w:spacing w:val="34"/>
          <w:sz w:val="22"/>
        </w:rPr>
        <w:t> </w:t>
      </w:r>
      <w:r>
        <w:rPr>
          <w:color w:val="808080"/>
          <w:sz w:val="22"/>
        </w:rPr>
        <w:t>plnění.</w:t>
      </w:r>
      <w:r>
        <w:rPr>
          <w:color w:val="808080"/>
          <w:spacing w:val="33"/>
          <w:sz w:val="22"/>
        </w:rPr>
        <w:t> </w:t>
      </w:r>
      <w:r>
        <w:rPr>
          <w:color w:val="808080"/>
          <w:sz w:val="22"/>
        </w:rPr>
        <w:t>Pokud</w:t>
      </w:r>
      <w:r>
        <w:rPr>
          <w:color w:val="808080"/>
          <w:spacing w:val="32"/>
          <w:sz w:val="22"/>
        </w:rPr>
        <w:t> </w:t>
      </w:r>
      <w:r>
        <w:rPr>
          <w:color w:val="808080"/>
          <w:sz w:val="22"/>
        </w:rPr>
        <w:t>tak</w:t>
      </w:r>
      <w:r>
        <w:rPr>
          <w:color w:val="808080"/>
          <w:spacing w:val="32"/>
          <w:sz w:val="22"/>
        </w:rPr>
        <w:t> </w:t>
      </w:r>
      <w:r>
        <w:rPr>
          <w:color w:val="808080"/>
          <w:sz w:val="22"/>
        </w:rPr>
        <w:t>učiní,</w:t>
      </w:r>
      <w:r>
        <w:rPr>
          <w:color w:val="808080"/>
          <w:spacing w:val="33"/>
          <w:sz w:val="22"/>
        </w:rPr>
        <w:t> </w:t>
      </w:r>
      <w:r>
        <w:rPr>
          <w:color w:val="808080"/>
          <w:sz w:val="22"/>
        </w:rPr>
        <w:t>tato</w:t>
      </w:r>
      <w:r>
        <w:rPr>
          <w:color w:val="808080"/>
          <w:spacing w:val="34"/>
          <w:sz w:val="22"/>
        </w:rPr>
        <w:t> </w:t>
      </w:r>
      <w:r>
        <w:rPr>
          <w:color w:val="808080"/>
          <w:sz w:val="22"/>
        </w:rPr>
        <w:t>skutečnost</w:t>
      </w:r>
      <w:r>
        <w:rPr>
          <w:color w:val="808080"/>
          <w:spacing w:val="35"/>
          <w:sz w:val="22"/>
        </w:rPr>
        <w:t> </w:t>
      </w:r>
      <w:r>
        <w:rPr>
          <w:color w:val="808080"/>
          <w:sz w:val="22"/>
        </w:rPr>
        <w:t>se</w:t>
      </w:r>
      <w:r>
        <w:rPr>
          <w:color w:val="808080"/>
          <w:spacing w:val="34"/>
          <w:sz w:val="22"/>
        </w:rPr>
        <w:t> </w:t>
      </w:r>
      <w:r>
        <w:rPr>
          <w:color w:val="808080"/>
          <w:sz w:val="22"/>
        </w:rPr>
        <w:t>vyznačí v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Akceptačním protokolu. Dodavatel je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povinen dodat zbývající část Předmětu plnění nejpozději ve sjednané době poskytnutí Předmětu plnění dle čl. 3 odst. 3.1 této Smlouvy.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740" w:val="left" w:leader="none"/>
        </w:tabs>
        <w:spacing w:line="312" w:lineRule="auto" w:before="0" w:after="0"/>
        <w:ind w:left="739" w:right="106" w:hanging="567"/>
        <w:jc w:val="both"/>
        <w:rPr>
          <w:sz w:val="22"/>
        </w:rPr>
      </w:pPr>
      <w:r>
        <w:rPr>
          <w:color w:val="808080"/>
          <w:sz w:val="22"/>
        </w:rPr>
        <w:t>V případě, že Dodavatel Předmět plnění neodmítne převzít, ačkoli Předmět plnění má vady, uvede se tato skutečnost do Akceptačního protokolu a Dodavatel je povinen odstranit vady nejpozději do pěti (5) pracovních dnů od převzetí Předmětu plnění, nebude-li v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Akceptačním protokolu uvedeno jinak.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403" w:val="left" w:leader="none"/>
        </w:tabs>
        <w:spacing w:line="240" w:lineRule="auto" w:before="0" w:after="0"/>
        <w:ind w:left="4402" w:right="0" w:hanging="262"/>
        <w:jc w:val="left"/>
      </w:pPr>
      <w:r>
        <w:rPr>
          <w:color w:val="808080"/>
        </w:rPr>
        <w:t>Ostatní</w:t>
      </w:r>
      <w:r>
        <w:rPr>
          <w:color w:val="808080"/>
          <w:spacing w:val="-6"/>
        </w:rPr>
        <w:t> </w:t>
      </w:r>
      <w:r>
        <w:rPr>
          <w:color w:val="808080"/>
          <w:spacing w:val="-2"/>
        </w:rPr>
        <w:t>ujednání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12" w:lineRule="auto" w:before="0" w:after="0"/>
        <w:ind w:left="739" w:right="106" w:hanging="567"/>
        <w:jc w:val="both"/>
        <w:rPr>
          <w:sz w:val="22"/>
        </w:rPr>
      </w:pPr>
      <w:r>
        <w:rPr>
          <w:color w:val="808080"/>
          <w:sz w:val="22"/>
        </w:rPr>
        <w:t>Veškerá ujednání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této Smlouvy navazují na Rámcovou dohodu a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Rámcovou dohodou se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řídí, tj. práva, povinnosti či skutečnosti neupravené v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této Smlouvě se řídí ustanoveními Rámcové dohody. V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případě, že ujednání obsažené v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této Smlouvě se bude odchylovat od ustanovení obsaženého v Rámcové dohodě, má ujednání obsažené v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této Smlouvě přednost před ustanovením obsaženým v Rámcové dohodě, ovšem pouze ohledně plnění sjednaného v této Smlouvě. V otázkách touto Smlouvou neupravených se použijí ustanovení Rámcové dohody.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12" w:lineRule="auto" w:before="1" w:after="0"/>
        <w:ind w:left="739" w:right="107" w:hanging="567"/>
        <w:jc w:val="both"/>
        <w:rPr>
          <w:sz w:val="22"/>
        </w:rPr>
      </w:pPr>
      <w:r>
        <w:rPr>
          <w:color w:val="808080"/>
          <w:sz w:val="22"/>
        </w:rPr>
        <w:t>Tato Smlouva nabývá platnosti dnem jejího podpisu a účinnosti po splnění zákonné podmínky vyplývající z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ustanovení § 6 odst. 1 zákona č. 340/2015 Sb., o zvláštních podmínkách účinnosti některých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smluv,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uveřejňování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těchto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smluv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o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registru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smluv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(zákon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o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registru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smluv),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ve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znění pozdějších předpisů.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12" w:lineRule="auto" w:before="0" w:after="0"/>
        <w:ind w:left="739" w:right="114" w:hanging="567"/>
        <w:jc w:val="both"/>
        <w:rPr>
          <w:sz w:val="22"/>
        </w:rPr>
      </w:pPr>
      <w:r>
        <w:rPr>
          <w:color w:val="808080"/>
          <w:sz w:val="22"/>
        </w:rPr>
        <w:t>Smluvní strany si sjednávají, že uveřejnění této Smlouvy v registru smluv zajistí Objednatel v souladu se zákonem o registru smluv neprodleně po jejím podpisu oběma Smluvními stranami.</w:t>
      </w:r>
    </w:p>
    <w:p>
      <w:pPr>
        <w:spacing w:after="0" w:line="312" w:lineRule="auto"/>
        <w:jc w:val="both"/>
        <w:rPr>
          <w:sz w:val="22"/>
        </w:rPr>
        <w:sectPr>
          <w:pgSz w:w="11910" w:h="16840"/>
          <w:pgMar w:header="649" w:footer="756" w:top="2000" w:bottom="940" w:left="960" w:right="740"/>
        </w:sect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12" w:lineRule="auto" w:before="145" w:after="0"/>
        <w:ind w:left="739" w:right="113" w:hanging="567"/>
        <w:jc w:val="both"/>
        <w:rPr>
          <w:sz w:val="22"/>
        </w:rPr>
      </w:pPr>
      <w:r>
        <w:rPr>
          <w:color w:val="808080"/>
          <w:sz w:val="22"/>
        </w:rPr>
        <w:t>Tato Smlouva je uzavírána elektronickou formou, kdy Dodavatel obdrží elektronický dokument, podepsaný v souladu s platnou právní úpravou.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740" w:val="left" w:leader="none"/>
        </w:tabs>
        <w:spacing w:line="312" w:lineRule="auto" w:before="1" w:after="0"/>
        <w:ind w:left="739" w:right="106" w:hanging="567"/>
        <w:jc w:val="both"/>
        <w:rPr>
          <w:sz w:val="22"/>
        </w:rPr>
      </w:pPr>
      <w:r>
        <w:rPr>
          <w:color w:val="808080"/>
          <w:sz w:val="22"/>
        </w:rPr>
        <w:t>Smluvní strany prohlašují, že tato Smlouva ve spojení s Rámcovou dohodou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501" w:lineRule="auto"/>
        <w:ind w:left="739" w:right="5550"/>
        <w:jc w:val="both"/>
      </w:pP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> </w:t>
      </w:r>
      <w:r>
        <w:rPr>
          <w:color w:val="808080"/>
        </w:rPr>
        <w:t>č.</w:t>
      </w:r>
      <w:r>
        <w:rPr>
          <w:color w:val="808080"/>
          <w:spacing w:val="-1"/>
        </w:rPr>
        <w:t> </w:t>
      </w:r>
      <w:r>
        <w:rPr>
          <w:color w:val="808080"/>
        </w:rPr>
        <w:t>1</w:t>
      </w:r>
      <w:r>
        <w:rPr>
          <w:color w:val="808080"/>
          <w:spacing w:val="-5"/>
        </w:rPr>
        <w:t> </w:t>
      </w:r>
      <w:r>
        <w:rPr>
          <w:color w:val="808080"/>
        </w:rPr>
        <w:t>–</w:t>
      </w:r>
      <w:r>
        <w:rPr>
          <w:color w:val="808080"/>
          <w:spacing w:val="-3"/>
        </w:rPr>
        <w:t> </w:t>
      </w:r>
      <w:r>
        <w:rPr>
          <w:color w:val="808080"/>
        </w:rPr>
        <w:t>Specifikace</w:t>
      </w:r>
      <w:r>
        <w:rPr>
          <w:color w:val="808080"/>
          <w:spacing w:val="-4"/>
        </w:rPr>
        <w:t> </w:t>
      </w:r>
      <w:r>
        <w:rPr>
          <w:color w:val="808080"/>
        </w:rPr>
        <w:t>plnění</w:t>
      </w:r>
      <w:r>
        <w:rPr>
          <w:color w:val="808080"/>
          <w:spacing w:val="-2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  <w:spacing w:val="-4"/>
        </w:rPr>
        <w:t>ceník</w:t>
      </w:r>
    </w:p>
    <w:p>
      <w:pPr>
        <w:pStyle w:val="BodyText"/>
        <w:spacing w:before="2" w:after="1"/>
        <w:rPr>
          <w:sz w:val="27"/>
        </w:rPr>
      </w:pP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3382"/>
      </w:tblGrid>
      <w:tr>
        <w:trPr>
          <w:trHeight w:val="246" w:hRule="atLeast"/>
        </w:trPr>
        <w:tc>
          <w:tcPr>
            <w:tcW w:w="3970" w:type="dxa"/>
          </w:tcPr>
          <w:p>
            <w:pPr>
              <w:pStyle w:val="TableParagraph"/>
              <w:tabs>
                <w:tab w:pos="3336" w:val="left" w:leader="none"/>
              </w:tabs>
              <w:spacing w:line="227" w:lineRule="exact"/>
              <w:ind w:left="50"/>
              <w:rPr>
                <w:sz w:val="22"/>
              </w:rPr>
            </w:pPr>
            <w:r>
              <w:rPr>
                <w:color w:val="808080"/>
                <w:sz w:val="22"/>
              </w:rPr>
              <w:t>V Praze</w:t>
            </w:r>
            <w:r>
              <w:rPr>
                <w:color w:val="808080"/>
                <w:spacing w:val="69"/>
                <w:sz w:val="22"/>
              </w:rPr>
              <w:t> </w:t>
            </w:r>
            <w:r>
              <w:rPr>
                <w:color w:val="808080"/>
                <w:sz w:val="22"/>
              </w:rPr>
              <w:t>dne: </w:t>
            </w:r>
            <w:r>
              <w:rPr>
                <w:color w:val="808080"/>
                <w:sz w:val="22"/>
                <w:u w:val="single" w:color="7F7F7F"/>
              </w:rPr>
              <w:tab/>
            </w:r>
          </w:p>
        </w:tc>
        <w:tc>
          <w:tcPr>
            <w:tcW w:w="3382" w:type="dxa"/>
          </w:tcPr>
          <w:p>
            <w:pPr>
              <w:pStyle w:val="TableParagraph"/>
              <w:spacing w:line="227" w:lineRule="exact"/>
              <w:ind w:left="688"/>
              <w:rPr>
                <w:sz w:val="22"/>
              </w:rPr>
            </w:pPr>
            <w:r>
              <w:rPr>
                <w:color w:val="808080"/>
                <w:sz w:val="22"/>
              </w:rPr>
              <w:t>V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Brně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dne: dle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el. </w:t>
            </w:r>
            <w:r>
              <w:rPr>
                <w:color w:val="808080"/>
                <w:spacing w:val="-2"/>
                <w:sz w:val="22"/>
              </w:rPr>
              <w:t>podpisu</w:t>
            </w:r>
          </w:p>
        </w:tc>
      </w:tr>
    </w:tbl>
    <w:p>
      <w:pPr>
        <w:pStyle w:val="BodyText"/>
        <w:spacing w:before="6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649" w:footer="756" w:top="2000" w:bottom="940" w:left="960" w:right="740"/>
        </w:sectPr>
      </w:pPr>
    </w:p>
    <w:p>
      <w:pPr>
        <w:spacing w:before="110"/>
        <w:ind w:left="117" w:right="0" w:firstLine="0"/>
        <w:jc w:val="left"/>
        <w:rPr>
          <w:rFonts w:ascii="Trebuchet MS"/>
          <w:sz w:val="59"/>
        </w:rPr>
      </w:pPr>
      <w:r>
        <w:rPr/>
        <w:pict>
          <v:shape style="position:absolute;margin-left:124.638931pt;margin-top:7.862856pt;width:71.8pt;height:71.3pt;mso-position-horizontal-relative:page;mso-position-vertical-relative:paragraph;z-index:15729664" id="docshape2" coordorigin="2493,157" coordsize="1436,1426" path="m2752,1281l2648,1346,2574,1410,2526,1470,2500,1521,2493,1559,2502,1578,2510,1582,2605,1582,2611,1580,2521,1580,2528,1539,2558,1483,2607,1418,2673,1348,2752,1281xm3107,157l3078,176,3063,221,3058,271,3057,306,3058,339,3061,373,3066,410,3072,448,3079,486,3087,526,3096,566,3107,606,3102,630,3090,671,3070,726,3044,792,3012,867,2976,949,2935,1035,2891,1123,2845,1210,2797,1293,2748,1370,2699,1439,2651,1497,2605,1541,2561,1569,2521,1580,2611,1580,2626,1571,2668,1536,2716,1484,2769,1416,2828,1329,2892,1223,2905,1218,2892,1218,2956,1104,3007,1005,3048,921,3079,848,3103,786,3120,733,3133,686,3184,686,3177,671,3152,602,3163,527,3133,527,3116,463,3105,401,3098,343,3096,290,3097,268,3100,231,3109,192,3127,166,3163,166,3144,159,3107,157xm3892,1216l3878,1218,3867,1225,3859,1237,3857,1251,3859,1264,3867,1275,3878,1282,3892,1284,3907,1282,3914,1277,3877,1277,3864,1265,3864,1235,3877,1223,3914,1223,3907,1218,3892,1216xm3914,1223l3909,1223,3919,1235,3919,1265,3909,1277,3914,1277,3918,1275,3926,1264,3928,1251,3926,1237,3918,1225,3914,1223xm3902,1227l3878,1227,3878,1270,3886,1270,3886,1254,3904,1254,3903,1252,3899,1251,3908,1248,3886,1248,3886,1236,3907,1236,3906,1233,3902,1227xm3904,1254l3895,1254,3898,1258,3899,1262,3900,1270,3908,1270,3906,1262,3906,1256,3904,1254xm3907,1236l3896,1236,3899,1237,3899,1246,3895,1248,3908,1248,3908,1242,3907,1236xm3184,686l3133,686,3185,798,3239,886,3294,953,3346,1002,3393,1037,3433,1062,3359,1076,3282,1093,3204,1112,3125,1134,3046,1159,2968,1187,2892,1218,2905,1218,2958,1201,3029,1181,3102,1163,3178,1146,3256,1131,3333,1118,3411,1107,3487,1099,3597,1099,3573,1088,3650,1084,3899,1084,3860,1063,3806,1052,3509,1052,3475,1032,3441,1012,3409,990,3377,967,3328,920,3283,865,3243,805,3207,740,3184,686xm3597,1099l3487,1099,3563,1134,3640,1163,3714,1184,3781,1198,3838,1202,3868,1200,3890,1194,3906,1184,3908,1179,3868,1179,3810,1172,3739,1154,3658,1125,3597,1099xm3914,1169l3905,1172,3894,1176,3882,1178,3868,1179,3908,1179,3914,1169xm3899,1084l3742,1084,3830,1093,3895,1114,3919,1153,3924,1142,3928,1138,3928,1128,3910,1090,3899,1084xm3684,1042l3645,1043,3602,1045,3509,1052,3806,1052,3783,1047,3684,1042xm3177,277l3169,320,3160,376,3148,444,3133,527,3163,527,3164,518,3170,437,3174,358,3177,277xm3163,166l3127,166,3143,176,3158,192,3170,216,3177,251,3182,197,3170,169,3163,166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pacing w:val="-5"/>
          <w:sz w:val="59"/>
        </w:rPr>
        <w:t>Jan</w:t>
      </w:r>
    </w:p>
    <w:p>
      <w:pPr>
        <w:spacing w:line="592" w:lineRule="exact" w:before="26"/>
        <w:ind w:left="117" w:right="0" w:firstLine="0"/>
        <w:jc w:val="left"/>
        <w:rPr>
          <w:rFonts w:ascii="Trebuchet MS" w:hAnsi="Trebuchet MS"/>
          <w:sz w:val="59"/>
        </w:rPr>
      </w:pPr>
      <w:r>
        <w:rPr/>
        <w:pict>
          <v:shape style="position:absolute;margin-left:57.264pt;margin-top:31.777229pt;width:444.4pt;height:87.15pt;mso-position-horizontal-relative:page;mso-position-vertical-relative:paragraph;z-index:1572915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7"/>
                    <w:gridCol w:w="689"/>
                    <w:gridCol w:w="4161"/>
                  </w:tblGrid>
                  <w:tr>
                    <w:trPr>
                      <w:trHeight w:val="239" w:hRule="atLeast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bottom w:val="single" w:sz="6" w:space="0" w:color="7F7F7F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2444" w:right="-87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7"/>
                          </w:rPr>
                          <w:t>Date:</w:t>
                        </w:r>
                        <w:r>
                          <w:rPr>
                            <w:rFonts w:ascii="Trebuchet MS"/>
                            <w:spacing w:val="-9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7"/>
                          </w:rPr>
                          <w:t>2023.03.14</w:t>
                        </w:r>
                        <w:r>
                          <w:rPr>
                            <w:rFonts w:ascii="Trebuchet MS"/>
                            <w:spacing w:val="-9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7"/>
                          </w:rPr>
                          <w:t>16:41:37</w:t>
                        </w:r>
                      </w:p>
                    </w:tc>
                  </w:tr>
                  <w:tr>
                    <w:trPr>
                      <w:trHeight w:val="928" w:hRule="atLeast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>
                        <w:pPr>
                          <w:pStyle w:val="TableParagraph"/>
                          <w:spacing w:line="370" w:lineRule="atLeast" w:before="131"/>
                          <w:ind w:right="1637"/>
                          <w:rPr>
                            <w:sz w:val="22"/>
                          </w:rPr>
                        </w:pPr>
                        <w:r>
                          <w:rPr>
                            <w:color w:val="808080"/>
                            <w:sz w:val="22"/>
                          </w:rPr>
                          <w:t>Mgr. Jan Ďoubal</w:t>
                        </w:r>
                        <w:r>
                          <w:rPr>
                            <w:color w:val="808080"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ředitel</w:t>
                        </w:r>
                        <w:r>
                          <w:rPr>
                            <w:color w:val="808080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státního</w:t>
                        </w:r>
                        <w:r>
                          <w:rPr>
                            <w:color w:val="808080"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podniku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>
                        <w:pPr>
                          <w:pStyle w:val="TableParagraph"/>
                          <w:spacing w:line="370" w:lineRule="atLeast" w:before="131"/>
                          <w:ind w:right="1820"/>
                          <w:rPr>
                            <w:sz w:val="22"/>
                          </w:rPr>
                        </w:pPr>
                        <w:r>
                          <w:rPr>
                            <w:color w:val="808080"/>
                            <w:sz w:val="22"/>
                          </w:rPr>
                          <w:t>Ing. Jaroslav Biolek Člen</w:t>
                        </w:r>
                        <w:r>
                          <w:rPr>
                            <w:color w:val="808080"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představenstva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3917" w:type="dxa"/>
                      </w:tcPr>
                      <w:p>
                        <w:pPr>
                          <w:pStyle w:val="TableParagraph"/>
                          <w:spacing w:line="252" w:lineRule="exact" w:before="37"/>
                          <w:rPr>
                            <w:sz w:val="22"/>
                          </w:rPr>
                        </w:pPr>
                        <w:r>
                          <w:rPr>
                            <w:color w:val="808080"/>
                            <w:sz w:val="22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z w:val="22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>
                        <w:pPr>
                          <w:pStyle w:val="TableParagraph"/>
                          <w:spacing w:before="56"/>
                          <w:rPr>
                            <w:sz w:val="22"/>
                          </w:rPr>
                        </w:pPr>
                        <w:r>
                          <w:rPr>
                            <w:color w:val="808080"/>
                            <w:sz w:val="22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808080"/>
                            <w:spacing w:val="-4"/>
                            <w:sz w:val="22"/>
                          </w:rPr>
                          <w:t>a.s.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spacing w:val="-2"/>
          <w:sz w:val="59"/>
        </w:rPr>
        <w:t>Ďoubal</w:t>
      </w:r>
    </w:p>
    <w:p>
      <w:pPr>
        <w:spacing w:line="259" w:lineRule="auto" w:before="207"/>
        <w:ind w:left="117" w:right="38" w:firstLine="0"/>
        <w:jc w:val="left"/>
        <w:rPr>
          <w:rFonts w:ascii="Trebuchet MS" w:hAnsi="Trebuchet MS"/>
          <w:sz w:val="26"/>
        </w:rPr>
      </w:pPr>
      <w:r>
        <w:rPr/>
        <w:br w:type="column"/>
      </w:r>
      <w:r>
        <w:rPr>
          <w:rFonts w:ascii="Trebuchet MS" w:hAnsi="Trebuchet MS"/>
          <w:spacing w:val="-4"/>
          <w:sz w:val="26"/>
        </w:rPr>
        <w:t>Digitálně</w:t>
      </w:r>
      <w:r>
        <w:rPr>
          <w:rFonts w:ascii="Trebuchet MS" w:hAnsi="Trebuchet MS"/>
          <w:spacing w:val="-25"/>
          <w:sz w:val="26"/>
        </w:rPr>
        <w:t> </w:t>
      </w:r>
      <w:r>
        <w:rPr>
          <w:rFonts w:ascii="Trebuchet MS" w:hAnsi="Trebuchet MS"/>
          <w:spacing w:val="-4"/>
          <w:sz w:val="26"/>
        </w:rPr>
        <w:t>podepsal </w:t>
      </w:r>
      <w:r>
        <w:rPr>
          <w:rFonts w:ascii="Trebuchet MS" w:hAnsi="Trebuchet MS"/>
          <w:sz w:val="26"/>
        </w:rPr>
        <w:t>Jan</w:t>
      </w:r>
      <w:r>
        <w:rPr>
          <w:rFonts w:ascii="Trebuchet MS" w:hAnsi="Trebuchet MS"/>
          <w:spacing w:val="-8"/>
          <w:sz w:val="26"/>
        </w:rPr>
        <w:t> </w:t>
      </w:r>
      <w:r>
        <w:rPr>
          <w:rFonts w:ascii="Trebuchet MS" w:hAnsi="Trebuchet MS"/>
          <w:sz w:val="26"/>
        </w:rPr>
        <w:t>Ďoubal </w:t>
      </w:r>
      <w:r>
        <w:rPr>
          <w:rFonts w:ascii="Trebuchet MS" w:hAnsi="Trebuchet MS"/>
          <w:w w:val="90"/>
          <w:sz w:val="26"/>
        </w:rPr>
        <w:t>Datum:</w:t>
      </w:r>
      <w:r>
        <w:rPr>
          <w:rFonts w:ascii="Trebuchet MS" w:hAnsi="Trebuchet MS"/>
          <w:spacing w:val="-1"/>
          <w:w w:val="90"/>
          <w:sz w:val="26"/>
        </w:rPr>
        <w:t> </w:t>
      </w:r>
      <w:r>
        <w:rPr>
          <w:rFonts w:ascii="Trebuchet MS" w:hAnsi="Trebuchet MS"/>
          <w:w w:val="90"/>
          <w:sz w:val="26"/>
        </w:rPr>
        <w:t>2023.03.28</w:t>
      </w:r>
    </w:p>
    <w:p>
      <w:pPr>
        <w:spacing w:line="228" w:lineRule="exact" w:before="0"/>
        <w:ind w:left="117" w:right="0" w:firstLine="0"/>
        <w:jc w:val="left"/>
        <w:rPr>
          <w:rFonts w:ascii="Trebuchet MS"/>
          <w:sz w:val="26"/>
        </w:rPr>
      </w:pPr>
      <w:r>
        <w:rPr>
          <w:rFonts w:ascii="Trebuchet MS"/>
          <w:w w:val="90"/>
          <w:sz w:val="26"/>
        </w:rPr>
        <w:t>12:00:44</w:t>
      </w:r>
      <w:r>
        <w:rPr>
          <w:rFonts w:ascii="Trebuchet MS"/>
          <w:spacing w:val="-6"/>
          <w:w w:val="90"/>
          <w:sz w:val="26"/>
        </w:rPr>
        <w:t> </w:t>
      </w:r>
      <w:r>
        <w:rPr>
          <w:rFonts w:ascii="Trebuchet MS"/>
          <w:spacing w:val="-2"/>
          <w:sz w:val="26"/>
        </w:rPr>
        <w:t>+02'00'</w:t>
      </w:r>
    </w:p>
    <w:p>
      <w:pPr>
        <w:spacing w:line="240" w:lineRule="auto" w:before="8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line="247" w:lineRule="auto" w:before="0"/>
        <w:ind w:left="117" w:right="306" w:firstLine="0"/>
        <w:jc w:val="left"/>
        <w:rPr>
          <w:rFonts w:ascii="Trebuchet MS"/>
          <w:sz w:val="17"/>
        </w:rPr>
      </w:pPr>
      <w:r>
        <w:rPr>
          <w:rFonts w:ascii="Trebuchet MS"/>
          <w:spacing w:val="-6"/>
          <w:sz w:val="17"/>
        </w:rPr>
        <w:t>Digitally</w:t>
      </w:r>
      <w:r>
        <w:rPr>
          <w:rFonts w:ascii="Trebuchet MS"/>
          <w:spacing w:val="-13"/>
          <w:sz w:val="17"/>
        </w:rPr>
        <w:t> </w:t>
      </w:r>
      <w:r>
        <w:rPr>
          <w:rFonts w:ascii="Trebuchet MS"/>
          <w:spacing w:val="-6"/>
          <w:sz w:val="17"/>
        </w:rPr>
        <w:t>signed</w:t>
      </w:r>
      <w:r>
        <w:rPr>
          <w:rFonts w:ascii="Trebuchet MS"/>
          <w:spacing w:val="-13"/>
          <w:sz w:val="17"/>
        </w:rPr>
        <w:t> </w:t>
      </w:r>
      <w:r>
        <w:rPr>
          <w:rFonts w:ascii="Trebuchet MS"/>
          <w:spacing w:val="-6"/>
          <w:sz w:val="17"/>
        </w:rPr>
        <w:t>by</w:t>
      </w:r>
      <w:r>
        <w:rPr>
          <w:rFonts w:ascii="Trebuchet MS"/>
          <w:spacing w:val="-13"/>
          <w:sz w:val="17"/>
        </w:rPr>
        <w:t> </w:t>
      </w:r>
      <w:r>
        <w:rPr>
          <w:rFonts w:ascii="Trebuchet MS"/>
          <w:spacing w:val="-6"/>
          <w:sz w:val="17"/>
        </w:rPr>
        <w:t>Ing.</w:t>
      </w:r>
      <w:r>
        <w:rPr>
          <w:rFonts w:ascii="Trebuchet MS"/>
          <w:spacing w:val="-13"/>
          <w:sz w:val="17"/>
        </w:rPr>
        <w:t> </w:t>
      </w:r>
      <w:r>
        <w:rPr>
          <w:rFonts w:ascii="Trebuchet MS"/>
          <w:spacing w:val="-6"/>
          <w:sz w:val="17"/>
        </w:rPr>
        <w:t>Jaroslav </w:t>
      </w:r>
      <w:r>
        <w:rPr>
          <w:rFonts w:ascii="Trebuchet MS"/>
          <w:spacing w:val="-2"/>
          <w:sz w:val="17"/>
        </w:rPr>
        <w:t>Biolek</w:t>
      </w:r>
    </w:p>
    <w:p>
      <w:pPr>
        <w:spacing w:line="247" w:lineRule="auto" w:before="0"/>
        <w:ind w:left="117" w:right="283" w:firstLine="0"/>
        <w:jc w:val="left"/>
        <w:rPr>
          <w:rFonts w:ascii="Trebuchet MS"/>
          <w:sz w:val="17"/>
        </w:rPr>
      </w:pPr>
      <w:r>
        <w:rPr/>
        <w:pict>
          <v:group style="position:absolute;margin-left:290.077759pt;margin-top:-19.627411pt;width:156.8pt;height:71.850pt;mso-position-horizontal-relative:page;mso-position-vertical-relative:paragraph;z-index:-15981056" id="docshapegroup4" coordorigin="5802,-393" coordsize="3136,1437">
            <v:shape style="position:absolute;left:7490;top:-393;width:1447;height:1437" id="docshape5" coordorigin="7491,-393" coordsize="1447,1437" path="m7751,740l7647,806,7573,870,7524,930,7499,981,7491,1020,7500,1039,7508,1043,7604,1043,7610,1041,7519,1041,7526,1000,7556,943,7606,877,7672,808,7751,740xm8109,-393l8080,-373,8066,-328,8060,-278,8059,-242,8060,-210,8063,-175,8068,-138,8074,-99,8081,-61,8090,-21,8099,19,8109,60,8105,84,8093,125,8073,180,8046,247,8014,323,7977,406,7936,492,7892,580,7845,668,7797,752,7748,829,7699,899,7650,957,7604,1002,7560,1030,7519,1041,7610,1041,7625,1032,7668,997,7716,945,7769,875,7828,788,7893,681,7906,677,7893,677,7957,561,8009,462,8050,377,8082,303,8105,241,8123,187,8136,141,8187,141,8180,126,8155,55,8166,-20,8136,-20,8119,-85,8108,-147,8101,-205,8099,-259,8100,-281,8103,-318,8112,-357,8130,-384,8166,-384,8147,-391,8109,-393xm8900,674l8887,676,8875,684,8868,695,8865,709,8868,723,8875,733,8887,740,8900,743,8915,740,8923,736,8886,736,8872,724,8872,693,8886,681,8923,681,8915,676,8900,674xm8923,681l8918,681,8928,693,8928,724,8918,736,8923,736,8927,733,8935,723,8937,709,8935,695,8927,684,8923,681xm8911,686l8887,686,8887,728,8894,728,8894,712,8913,712,8912,711,8908,709,8917,706,8894,706,8894,694,8916,694,8915,691,8911,686xm8913,712l8903,712,8906,717,8908,721,8909,728,8917,728,8915,721,8915,715,8913,712xm8916,694l8905,694,8908,696,8908,705,8903,706,8917,706,8917,700,8916,694xm8187,141l8136,141,8188,253,8243,342,8298,409,8350,459,8398,494,8438,519,8363,533,8286,550,8207,569,8128,592,8048,617,7970,645,7893,677,7906,677,7960,659,8031,639,8105,620,8182,604,8259,589,8338,576,8416,565,8492,556,8603,556,8579,546,8657,542,8908,542,8869,520,8814,509,8514,509,8480,489,8447,468,8414,446,8382,423,8332,376,8287,321,8246,260,8211,194,8187,141xm8603,556l8492,556,8570,592,8647,621,8721,642,8788,656,8846,661,8876,659,8899,652,8914,642,8917,637,8877,637,8818,630,8746,612,8665,583,8603,556xm8922,627l8914,630,8903,633,8891,636,8877,637,8917,637,8922,627xm8908,542l8749,542,8838,550,8904,571,8928,610,8933,600,8937,596,8937,585,8919,548,8908,542xm8691,499l8652,500,8609,502,8514,509,8814,509,8791,504,8691,499xm8180,-272l8172,-228,8163,-172,8151,-103,8136,-20,8166,-20,8167,-29,8174,-110,8177,-190,8180,-272xm8166,-384l8130,-384,8146,-374,8161,-358,8173,-333,8180,-298,8186,-353,8173,-381,8166,-384xe" filled="true" fillcolor="#ffd8d8" stroked="false">
              <v:path arrowok="t"/>
              <v:fill type="solid"/>
            </v:shape>
            <v:shape style="position:absolute;left:5801;top:21;width:2407;height:587" type="#_x0000_t75" id="docshape6" stroked="false">
              <v:imagedata r:id="rId10" o:title=""/>
            </v:shape>
            <w10:wrap type="none"/>
          </v:group>
        </w:pict>
      </w:r>
      <w:r>
        <w:rPr>
          <w:rFonts w:ascii="Trebuchet MS"/>
          <w:sz w:val="17"/>
        </w:rPr>
        <w:t>Reason:</w:t>
      </w:r>
      <w:r>
        <w:rPr>
          <w:rFonts w:ascii="Trebuchet MS"/>
          <w:spacing w:val="-12"/>
          <w:sz w:val="17"/>
        </w:rPr>
        <w:t> </w:t>
      </w:r>
      <w:r>
        <w:rPr>
          <w:rFonts w:ascii="Trebuchet MS"/>
          <w:sz w:val="17"/>
        </w:rPr>
        <w:t>I</w:t>
      </w:r>
      <w:r>
        <w:rPr>
          <w:rFonts w:ascii="Trebuchet MS"/>
          <w:spacing w:val="-12"/>
          <w:sz w:val="17"/>
        </w:rPr>
        <w:t> </w:t>
      </w:r>
      <w:r>
        <w:rPr>
          <w:rFonts w:ascii="Trebuchet MS"/>
          <w:sz w:val="17"/>
        </w:rPr>
        <w:t>agree</w:t>
      </w:r>
      <w:r>
        <w:rPr>
          <w:rFonts w:ascii="Trebuchet MS"/>
          <w:spacing w:val="-12"/>
          <w:sz w:val="17"/>
        </w:rPr>
        <w:t> </w:t>
      </w:r>
      <w:r>
        <w:rPr>
          <w:rFonts w:ascii="Trebuchet MS"/>
          <w:sz w:val="17"/>
        </w:rPr>
        <w:t>to</w:t>
      </w:r>
      <w:r>
        <w:rPr>
          <w:rFonts w:ascii="Trebuchet MS"/>
          <w:spacing w:val="-12"/>
          <w:sz w:val="17"/>
        </w:rPr>
        <w:t> </w:t>
      </w:r>
      <w:r>
        <w:rPr>
          <w:rFonts w:ascii="Trebuchet MS"/>
          <w:sz w:val="17"/>
        </w:rPr>
        <w:t>the</w:t>
      </w:r>
      <w:r>
        <w:rPr>
          <w:rFonts w:ascii="Trebuchet MS"/>
          <w:spacing w:val="-12"/>
          <w:sz w:val="17"/>
        </w:rPr>
        <w:t> </w:t>
      </w:r>
      <w:r>
        <w:rPr>
          <w:rFonts w:ascii="Trebuchet MS"/>
          <w:sz w:val="17"/>
        </w:rPr>
        <w:t>terms </w:t>
      </w:r>
      <w:r>
        <w:rPr>
          <w:rFonts w:ascii="Trebuchet MS"/>
          <w:spacing w:val="-6"/>
          <w:sz w:val="17"/>
        </w:rPr>
        <w:t>defined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pacing w:val="-6"/>
          <w:sz w:val="17"/>
        </w:rPr>
        <w:t>by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pacing w:val="-6"/>
          <w:sz w:val="17"/>
        </w:rPr>
        <w:t>the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pacing w:val="-6"/>
          <w:sz w:val="17"/>
        </w:rPr>
        <w:t>placement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pacing w:val="-6"/>
          <w:sz w:val="17"/>
        </w:rPr>
        <w:t>of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pacing w:val="-6"/>
          <w:sz w:val="17"/>
        </w:rPr>
        <w:t>my </w:t>
      </w:r>
      <w:r>
        <w:rPr>
          <w:rFonts w:ascii="Trebuchet MS"/>
          <w:sz w:val="17"/>
        </w:rPr>
        <w:t>signature on this document Location:</w:t>
      </w:r>
      <w:r>
        <w:rPr>
          <w:rFonts w:ascii="Trebuchet MS"/>
          <w:spacing w:val="-16"/>
          <w:sz w:val="17"/>
        </w:rPr>
        <w:t> </w:t>
      </w:r>
      <w:r>
        <w:rPr>
          <w:rFonts w:ascii="Trebuchet MS"/>
          <w:sz w:val="17"/>
        </w:rPr>
        <w:t>Brno</w:t>
      </w:r>
    </w:p>
    <w:p>
      <w:pPr>
        <w:spacing w:after="0" w:line="247" w:lineRule="auto"/>
        <w:jc w:val="left"/>
        <w:rPr>
          <w:rFonts w:ascii="Trebuchet MS"/>
          <w:sz w:val="17"/>
        </w:rPr>
        <w:sectPr>
          <w:type w:val="continuous"/>
          <w:pgSz w:w="11910" w:h="16840"/>
          <w:pgMar w:header="649" w:footer="756" w:top="2000" w:bottom="940" w:left="960" w:right="740"/>
          <w:cols w:num="3" w:equalWidth="0">
            <w:col w:w="1967" w:space="203"/>
            <w:col w:w="2232" w:space="2777"/>
            <w:col w:w="3031"/>
          </w:cols>
        </w:sectPr>
      </w:pPr>
    </w:p>
    <w:p>
      <w:pPr>
        <w:spacing w:before="2"/>
        <w:ind w:left="0" w:right="556" w:firstLine="0"/>
        <w:jc w:val="right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>+01'00'</w:t>
      </w:r>
    </w:p>
    <w:p>
      <w:pPr>
        <w:spacing w:after="0"/>
        <w:jc w:val="right"/>
        <w:rPr>
          <w:rFonts w:ascii="Trebuchet MS"/>
          <w:sz w:val="17"/>
        </w:rPr>
        <w:sectPr>
          <w:type w:val="continuous"/>
          <w:pgSz w:w="11910" w:h="16840"/>
          <w:pgMar w:header="649" w:footer="756" w:top="2000" w:bottom="940" w:left="960" w:right="740"/>
        </w:sectPr>
      </w:pPr>
    </w:p>
    <w:p>
      <w:pPr>
        <w:pStyle w:val="Heading1"/>
        <w:spacing w:before="145"/>
        <w:ind w:left="172" w:firstLine="0"/>
        <w:jc w:val="both"/>
      </w:pPr>
      <w:r>
        <w:rPr>
          <w:color w:val="808080"/>
        </w:rPr>
        <w:t>Příloha</w:t>
      </w:r>
      <w:r>
        <w:rPr>
          <w:color w:val="808080"/>
          <w:spacing w:val="-5"/>
        </w:rPr>
        <w:t> </w:t>
      </w:r>
      <w:r>
        <w:rPr>
          <w:color w:val="808080"/>
        </w:rPr>
        <w:t>č.</w:t>
      </w:r>
      <w:r>
        <w:rPr>
          <w:color w:val="808080"/>
          <w:spacing w:val="-4"/>
        </w:rPr>
        <w:t> </w:t>
      </w:r>
      <w:r>
        <w:rPr>
          <w:color w:val="808080"/>
        </w:rPr>
        <w:t>1</w:t>
      </w:r>
      <w:r>
        <w:rPr>
          <w:color w:val="808080"/>
          <w:spacing w:val="-1"/>
        </w:rPr>
        <w:t> </w:t>
      </w:r>
      <w:r>
        <w:rPr>
          <w:color w:val="808080"/>
        </w:rPr>
        <w:t>–</w:t>
      </w:r>
      <w:r>
        <w:rPr>
          <w:color w:val="808080"/>
          <w:spacing w:val="-4"/>
        </w:rPr>
        <w:t> </w:t>
      </w:r>
      <w:r>
        <w:rPr>
          <w:color w:val="808080"/>
        </w:rPr>
        <w:t>Specifikace</w:t>
      </w:r>
      <w:r>
        <w:rPr>
          <w:color w:val="808080"/>
          <w:spacing w:val="-3"/>
        </w:rPr>
        <w:t> </w:t>
      </w:r>
      <w:r>
        <w:rPr>
          <w:color w:val="808080"/>
        </w:rPr>
        <w:t>plnění</w:t>
      </w:r>
      <w:r>
        <w:rPr>
          <w:color w:val="808080"/>
          <w:spacing w:val="-1"/>
        </w:rPr>
        <w:t> </w:t>
      </w:r>
      <w:r>
        <w:rPr>
          <w:color w:val="808080"/>
        </w:rPr>
        <w:t>a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ceník</w:t>
      </w:r>
    </w:p>
    <w:p>
      <w:pPr>
        <w:pStyle w:val="BodyText"/>
        <w:rPr>
          <w:b/>
        </w:rPr>
      </w:pPr>
    </w:p>
    <w:p>
      <w:pPr>
        <w:pStyle w:val="BodyText"/>
        <w:spacing w:line="312" w:lineRule="auto"/>
        <w:ind w:left="172" w:right="106"/>
        <w:jc w:val="both"/>
      </w:pPr>
      <w:r>
        <w:rPr>
          <w:color w:val="808080"/>
        </w:rPr>
        <w:t>Předmětem plnění je poskytnutí odborných kapacit pro vývojové, architekturní a provozní aktivity související</w:t>
      </w:r>
      <w:r>
        <w:rPr>
          <w:color w:val="808080"/>
          <w:spacing w:val="-8"/>
        </w:rPr>
        <w:t> </w:t>
      </w:r>
      <w:r>
        <w:rPr>
          <w:color w:val="808080"/>
        </w:rPr>
        <w:t>zejména</w:t>
      </w:r>
      <w:r>
        <w:rPr>
          <w:color w:val="808080"/>
          <w:spacing w:val="-11"/>
        </w:rPr>
        <w:t> </w:t>
      </w:r>
      <w:r>
        <w:rPr>
          <w:color w:val="808080"/>
        </w:rPr>
        <w:t>s</w:t>
      </w:r>
      <w:r>
        <w:rPr>
          <w:color w:val="808080"/>
          <w:spacing w:val="-9"/>
        </w:rPr>
        <w:t> </w:t>
      </w:r>
      <w:r>
        <w:rPr>
          <w:color w:val="808080"/>
        </w:rPr>
        <w:t>prostředím</w:t>
      </w:r>
      <w:r>
        <w:rPr>
          <w:color w:val="808080"/>
          <w:spacing w:val="-9"/>
        </w:rPr>
        <w:t> </w:t>
      </w:r>
      <w:r>
        <w:rPr>
          <w:color w:val="808080"/>
        </w:rPr>
        <w:t>Portálu</w:t>
      </w:r>
      <w:r>
        <w:rPr>
          <w:color w:val="808080"/>
          <w:spacing w:val="-10"/>
        </w:rPr>
        <w:t> </w:t>
      </w:r>
      <w:r>
        <w:rPr>
          <w:color w:val="808080"/>
        </w:rPr>
        <w:t>veřejné</w:t>
      </w:r>
      <w:r>
        <w:rPr>
          <w:color w:val="808080"/>
          <w:spacing w:val="-10"/>
        </w:rPr>
        <w:t> </w:t>
      </w:r>
      <w:r>
        <w:rPr>
          <w:color w:val="808080"/>
        </w:rPr>
        <w:t>správy</w:t>
      </w:r>
      <w:r>
        <w:rPr>
          <w:color w:val="808080"/>
          <w:spacing w:val="-6"/>
        </w:rPr>
        <w:t> </w:t>
      </w:r>
      <w:r>
        <w:rPr>
          <w:color w:val="808080"/>
        </w:rPr>
        <w:t>-</w:t>
      </w:r>
      <w:r>
        <w:rPr>
          <w:color w:val="808080"/>
          <w:spacing w:val="-9"/>
        </w:rPr>
        <w:t> </w:t>
      </w:r>
      <w:r>
        <w:rPr>
          <w:color w:val="808080"/>
        </w:rPr>
        <w:t>Portálu</w:t>
      </w:r>
      <w:r>
        <w:rPr>
          <w:color w:val="808080"/>
          <w:spacing w:val="-10"/>
        </w:rPr>
        <w:t> </w:t>
      </w:r>
      <w:r>
        <w:rPr>
          <w:color w:val="808080"/>
        </w:rPr>
        <w:t>občana</w:t>
      </w:r>
      <w:r>
        <w:rPr>
          <w:color w:val="808080"/>
          <w:spacing w:val="-10"/>
        </w:rPr>
        <w:t> </w:t>
      </w:r>
      <w:r>
        <w:rPr>
          <w:color w:val="808080"/>
        </w:rPr>
        <w:t>včetně</w:t>
      </w:r>
      <w:r>
        <w:rPr>
          <w:color w:val="808080"/>
          <w:spacing w:val="-9"/>
        </w:rPr>
        <w:t> </w:t>
      </w:r>
      <w:r>
        <w:rPr>
          <w:color w:val="808080"/>
        </w:rPr>
        <w:t>dokumentace,</w:t>
      </w:r>
      <w:r>
        <w:rPr>
          <w:color w:val="808080"/>
          <w:spacing w:val="-8"/>
        </w:rPr>
        <w:t> </w:t>
      </w:r>
      <w:r>
        <w:rPr>
          <w:color w:val="808080"/>
        </w:rPr>
        <w:t>popisu zdrojového kódu a release notes. Budou prováděny nezbytné úpravy a vývoj nových funkcionalit. Zdrojové</w:t>
      </w:r>
      <w:r>
        <w:rPr>
          <w:color w:val="808080"/>
          <w:spacing w:val="-2"/>
        </w:rPr>
        <w:t> </w:t>
      </w:r>
      <w:r>
        <w:rPr>
          <w:color w:val="808080"/>
        </w:rPr>
        <w:t>kódy</w:t>
      </w:r>
      <w:r>
        <w:rPr>
          <w:color w:val="808080"/>
          <w:spacing w:val="-2"/>
        </w:rPr>
        <w:t> </w:t>
      </w:r>
      <w:r>
        <w:rPr>
          <w:color w:val="808080"/>
        </w:rPr>
        <w:t>budou</w:t>
      </w:r>
      <w:r>
        <w:rPr>
          <w:color w:val="808080"/>
          <w:spacing w:val="-2"/>
        </w:rPr>
        <w:t> </w:t>
      </w:r>
      <w:r>
        <w:rPr>
          <w:color w:val="808080"/>
        </w:rPr>
        <w:t>vkládány do</w:t>
      </w:r>
      <w:r>
        <w:rPr>
          <w:color w:val="808080"/>
          <w:spacing w:val="-2"/>
        </w:rPr>
        <w:t> </w:t>
      </w:r>
      <w:r>
        <w:rPr>
          <w:color w:val="808080"/>
        </w:rPr>
        <w:t>vývojového</w:t>
      </w:r>
      <w:r>
        <w:rPr>
          <w:color w:val="808080"/>
          <w:spacing w:val="-2"/>
        </w:rPr>
        <w:t> </w:t>
      </w:r>
      <w:r>
        <w:rPr>
          <w:color w:val="808080"/>
        </w:rPr>
        <w:t>prostředí Objednatele.</w:t>
      </w:r>
      <w:r>
        <w:rPr>
          <w:color w:val="808080"/>
          <w:spacing w:val="-1"/>
        </w:rPr>
        <w:t> </w:t>
      </w:r>
      <w:r>
        <w:rPr>
          <w:color w:val="808080"/>
        </w:rPr>
        <w:t>Bude</w:t>
      </w:r>
      <w:r>
        <w:rPr>
          <w:color w:val="808080"/>
          <w:spacing w:val="-2"/>
        </w:rPr>
        <w:t> </w:t>
      </w:r>
      <w:r>
        <w:rPr>
          <w:color w:val="808080"/>
        </w:rPr>
        <w:t>proveden</w:t>
      </w:r>
      <w:r>
        <w:rPr>
          <w:color w:val="808080"/>
          <w:spacing w:val="-2"/>
        </w:rPr>
        <w:t> </w:t>
      </w:r>
      <w:r>
        <w:rPr>
          <w:color w:val="808080"/>
        </w:rPr>
        <w:t>redesign</w:t>
      </w:r>
      <w:r>
        <w:rPr>
          <w:color w:val="808080"/>
          <w:spacing w:val="-2"/>
        </w:rPr>
        <w:t> </w:t>
      </w:r>
      <w:r>
        <w:rPr>
          <w:color w:val="808080"/>
        </w:rPr>
        <w:t>Portálu občana spočívající zejména v následujícím: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240" w:lineRule="auto" w:before="119" w:after="0"/>
        <w:ind w:left="1238" w:right="0" w:hanging="358"/>
        <w:jc w:val="both"/>
        <w:rPr>
          <w:sz w:val="22"/>
        </w:rPr>
      </w:pPr>
      <w:r>
        <w:rPr>
          <w:color w:val="808080"/>
          <w:sz w:val="22"/>
        </w:rPr>
        <w:t>Bude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připraveno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nové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vývojové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prostředí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MS</w:t>
      </w:r>
      <w:r>
        <w:rPr>
          <w:color w:val="808080"/>
          <w:spacing w:val="-4"/>
          <w:sz w:val="22"/>
        </w:rPr>
        <w:t> </w:t>
      </w:r>
      <w:r>
        <w:rPr>
          <w:color w:val="808080"/>
          <w:spacing w:val="-2"/>
          <w:sz w:val="22"/>
        </w:rPr>
        <w:t>Azure;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240" w:lineRule="auto" w:before="74" w:after="0"/>
        <w:ind w:left="1238" w:right="0" w:hanging="358"/>
        <w:jc w:val="both"/>
        <w:rPr>
          <w:sz w:val="22"/>
        </w:rPr>
      </w:pPr>
      <w:r>
        <w:rPr>
          <w:color w:val="808080"/>
          <w:sz w:val="22"/>
        </w:rPr>
        <w:t>Proběhne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redesign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Portálu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občana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dle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specifikace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309" w:lineRule="auto" w:before="74" w:after="0"/>
        <w:ind w:left="1238" w:right="112" w:hanging="358"/>
        <w:jc w:val="both"/>
        <w:rPr>
          <w:sz w:val="22"/>
        </w:rPr>
      </w:pPr>
      <w:r>
        <w:rPr>
          <w:color w:val="808080"/>
          <w:sz w:val="22"/>
        </w:rPr>
        <w:t>Front-endová část bude vytvořena na novém frameworku React vhodného i pro vytvoření nové mobilní aplikace;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304" w:lineRule="auto" w:before="1" w:after="0"/>
        <w:ind w:left="1238" w:right="102" w:hanging="358"/>
        <w:jc w:val="both"/>
        <w:rPr>
          <w:sz w:val="22"/>
        </w:rPr>
      </w:pPr>
      <w:r>
        <w:rPr>
          <w:color w:val="808080"/>
          <w:sz w:val="22"/>
        </w:rPr>
        <w:t>Pro zajištění nových služeb proběhne úprava back-endové části a API mezi front-endem a </w:t>
      </w:r>
      <w:r>
        <w:rPr>
          <w:color w:val="808080"/>
          <w:spacing w:val="-2"/>
          <w:sz w:val="22"/>
        </w:rPr>
        <w:t>back-endem;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240" w:lineRule="auto" w:before="8" w:after="0"/>
        <w:ind w:left="1238" w:right="0" w:hanging="358"/>
        <w:jc w:val="both"/>
        <w:rPr>
          <w:sz w:val="22"/>
        </w:rPr>
      </w:pPr>
      <w:r>
        <w:rPr>
          <w:color w:val="808080"/>
          <w:sz w:val="22"/>
        </w:rPr>
        <w:t>Přidání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4"/>
          <w:sz w:val="22"/>
        </w:rPr>
        <w:t>FAQ;</w:t>
      </w: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240" w:lineRule="auto" w:before="74" w:after="0"/>
        <w:ind w:left="1238" w:right="0" w:hanging="358"/>
        <w:jc w:val="both"/>
        <w:rPr>
          <w:sz w:val="22"/>
        </w:rPr>
      </w:pPr>
      <w:r>
        <w:rPr>
          <w:color w:val="808080"/>
          <w:sz w:val="22"/>
        </w:rPr>
        <w:t>Implementací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nového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vyhledávače</w:t>
      </w:r>
      <w:r>
        <w:rPr>
          <w:color w:val="808080"/>
          <w:spacing w:val="-9"/>
          <w:sz w:val="22"/>
        </w:rPr>
        <w:t> </w:t>
      </w:r>
      <w:r>
        <w:rPr>
          <w:color w:val="808080"/>
          <w:spacing w:val="-2"/>
          <w:sz w:val="22"/>
        </w:rPr>
        <w:t>Elasticsearch.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72"/>
        <w:jc w:val="both"/>
      </w:pPr>
      <w:r>
        <w:rPr>
          <w:color w:val="808080"/>
        </w:rPr>
        <w:t>Poskytnutí</w:t>
      </w:r>
      <w:r>
        <w:rPr>
          <w:color w:val="808080"/>
          <w:spacing w:val="-8"/>
        </w:rPr>
        <w:t> </w:t>
      </w:r>
      <w:r>
        <w:rPr>
          <w:color w:val="808080"/>
        </w:rPr>
        <w:t>odborných</w:t>
      </w:r>
      <w:r>
        <w:rPr>
          <w:color w:val="808080"/>
          <w:spacing w:val="-8"/>
        </w:rPr>
        <w:t> </w:t>
      </w:r>
      <w:r>
        <w:rPr>
          <w:color w:val="808080"/>
        </w:rPr>
        <w:t>kapacit</w:t>
      </w:r>
      <w:r>
        <w:rPr>
          <w:color w:val="808080"/>
          <w:spacing w:val="-4"/>
        </w:rPr>
        <w:t> </w:t>
      </w:r>
      <w:r>
        <w:rPr>
          <w:color w:val="808080"/>
        </w:rPr>
        <w:t>v</w:t>
      </w:r>
      <w:r>
        <w:rPr>
          <w:color w:val="808080"/>
          <w:spacing w:val="-8"/>
        </w:rPr>
        <w:t> </w:t>
      </w:r>
      <w:r>
        <w:rPr>
          <w:color w:val="808080"/>
        </w:rPr>
        <w:t>následující</w:t>
      </w:r>
      <w:r>
        <w:rPr>
          <w:color w:val="808080"/>
          <w:spacing w:val="-7"/>
        </w:rPr>
        <w:t> </w:t>
      </w:r>
      <w:r>
        <w:rPr>
          <w:color w:val="808080"/>
          <w:spacing w:val="-2"/>
        </w:rPr>
        <w:t>struktuře: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  <w:gridCol w:w="2480"/>
        <w:gridCol w:w="2483"/>
      </w:tblGrid>
      <w:tr>
        <w:trPr>
          <w:trHeight w:val="1070" w:hRule="atLeast"/>
        </w:trPr>
        <w:tc>
          <w:tcPr>
            <w:tcW w:w="2480" w:type="dxa"/>
            <w:shd w:val="clear" w:color="auto" w:fill="00AFEF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Role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dle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Rámcové </w:t>
            </w:r>
            <w:r>
              <w:rPr>
                <w:b/>
                <w:color w:val="FFFFFF"/>
                <w:spacing w:val="-2"/>
                <w:sz w:val="2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41" w:hanging="1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Předpokládaný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počet využití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této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role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v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532" w:right="45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Cena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za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MD v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Kč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bez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532" w:right="457" w:firstLine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Cena celkem v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Kč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bez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DPH</w:t>
            </w:r>
          </w:p>
        </w:tc>
      </w:tr>
      <w:tr>
        <w:trPr>
          <w:trHeight w:val="566" w:hRule="atLeast"/>
        </w:trPr>
        <w:tc>
          <w:tcPr>
            <w:tcW w:w="2480" w:type="dxa"/>
          </w:tcPr>
          <w:p>
            <w:pPr>
              <w:pStyle w:val="TableParagraph"/>
              <w:spacing w:before="156"/>
              <w:ind w:left="7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Analytik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6"/>
              <w:ind w:left="1042" w:right="1031"/>
              <w:jc w:val="center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17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6"/>
              <w:ind w:right="618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10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200,-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6"/>
              <w:ind w:right="554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173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400,00</w:t>
            </w:r>
            <w:r>
              <w:rPr>
                <w:color w:val="808080"/>
                <w:spacing w:val="-5"/>
                <w:sz w:val="22"/>
              </w:rPr>
              <w:t> Kč</w:t>
            </w:r>
          </w:p>
        </w:tc>
      </w:tr>
      <w:tr>
        <w:trPr>
          <w:trHeight w:val="566" w:hRule="atLeast"/>
        </w:trPr>
        <w:tc>
          <w:tcPr>
            <w:tcW w:w="2480" w:type="dxa"/>
          </w:tcPr>
          <w:p>
            <w:pPr>
              <w:pStyle w:val="TableParagraph"/>
              <w:spacing w:before="158"/>
              <w:ind w:left="72"/>
              <w:rPr>
                <w:sz w:val="22"/>
              </w:rPr>
            </w:pPr>
            <w:r>
              <w:rPr>
                <w:color w:val="808080"/>
                <w:sz w:val="22"/>
              </w:rPr>
              <w:t>Analytik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senior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8"/>
              <w:ind w:left="1042" w:right="1031"/>
              <w:jc w:val="center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51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8"/>
              <w:ind w:right="618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11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800,-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8"/>
              <w:ind w:right="554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601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800,00</w:t>
            </w:r>
            <w:r>
              <w:rPr>
                <w:color w:val="808080"/>
                <w:spacing w:val="-5"/>
                <w:sz w:val="22"/>
              </w:rPr>
              <w:t> Kč</w:t>
            </w:r>
          </w:p>
        </w:tc>
      </w:tr>
      <w:tr>
        <w:trPr>
          <w:trHeight w:val="568" w:hRule="atLeast"/>
        </w:trPr>
        <w:tc>
          <w:tcPr>
            <w:tcW w:w="2480" w:type="dxa"/>
          </w:tcPr>
          <w:p>
            <w:pPr>
              <w:pStyle w:val="TableParagraph"/>
              <w:spacing w:before="158"/>
              <w:ind w:left="7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Architekt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8"/>
              <w:ind w:left="1042" w:right="1031"/>
              <w:jc w:val="center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25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8"/>
              <w:ind w:right="618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10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800,-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8"/>
              <w:ind w:right="554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270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000,00</w:t>
            </w:r>
            <w:r>
              <w:rPr>
                <w:color w:val="808080"/>
                <w:spacing w:val="-5"/>
                <w:sz w:val="22"/>
              </w:rPr>
              <w:t> Kč</w:t>
            </w:r>
          </w:p>
        </w:tc>
      </w:tr>
      <w:tr>
        <w:trPr>
          <w:trHeight w:val="565" w:hRule="atLeast"/>
        </w:trPr>
        <w:tc>
          <w:tcPr>
            <w:tcW w:w="2480" w:type="dxa"/>
          </w:tcPr>
          <w:p>
            <w:pPr>
              <w:pStyle w:val="TableParagraph"/>
              <w:spacing w:before="156"/>
              <w:ind w:left="72"/>
              <w:rPr>
                <w:sz w:val="22"/>
              </w:rPr>
            </w:pPr>
            <w:r>
              <w:rPr>
                <w:color w:val="808080"/>
                <w:sz w:val="22"/>
              </w:rPr>
              <w:t>Architekt</w:t>
            </w:r>
            <w:r>
              <w:rPr>
                <w:color w:val="808080"/>
                <w:spacing w:val="-8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senior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6"/>
              <w:ind w:left="1045" w:right="1031"/>
              <w:jc w:val="center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138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6"/>
              <w:ind w:right="618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12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200,-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6"/>
              <w:ind w:right="554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683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600,00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Kč</w:t>
            </w:r>
          </w:p>
        </w:tc>
      </w:tr>
      <w:tr>
        <w:trPr>
          <w:trHeight w:val="568" w:hRule="atLeast"/>
        </w:trPr>
        <w:tc>
          <w:tcPr>
            <w:tcW w:w="2480" w:type="dxa"/>
          </w:tcPr>
          <w:p>
            <w:pPr>
              <w:pStyle w:val="TableParagraph"/>
              <w:spacing w:before="31"/>
              <w:ind w:left="72" w:right="449"/>
              <w:rPr>
                <w:sz w:val="22"/>
              </w:rPr>
            </w:pPr>
            <w:r>
              <w:rPr>
                <w:color w:val="808080"/>
                <w:sz w:val="22"/>
              </w:rPr>
              <w:t>Projektový</w:t>
            </w:r>
            <w:r>
              <w:rPr>
                <w:color w:val="808080"/>
                <w:spacing w:val="-16"/>
                <w:sz w:val="22"/>
              </w:rPr>
              <w:t> </w:t>
            </w:r>
            <w:r>
              <w:rPr>
                <w:color w:val="808080"/>
                <w:sz w:val="22"/>
              </w:rPr>
              <w:t>manažer </w:t>
            </w:r>
            <w:r>
              <w:rPr>
                <w:color w:val="808080"/>
                <w:spacing w:val="-2"/>
                <w:sz w:val="22"/>
              </w:rPr>
              <w:t>senior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8"/>
              <w:ind w:left="1042" w:right="1031"/>
              <w:jc w:val="center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96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8"/>
              <w:ind w:right="618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12</w:t>
            </w:r>
            <w:r>
              <w:rPr>
                <w:color w:val="808080"/>
                <w:spacing w:val="-1"/>
                <w:sz w:val="22"/>
              </w:rPr>
              <w:t> </w:t>
            </w:r>
            <w:r>
              <w:rPr>
                <w:color w:val="808080"/>
                <w:spacing w:val="-2"/>
                <w:sz w:val="22"/>
              </w:rPr>
              <w:t>800,-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8"/>
              <w:ind w:right="554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1</w:t>
            </w:r>
            <w:r>
              <w:rPr>
                <w:color w:val="808080"/>
                <w:spacing w:val="-5"/>
                <w:sz w:val="22"/>
              </w:rPr>
              <w:t> </w:t>
            </w:r>
            <w:r>
              <w:rPr>
                <w:color w:val="808080"/>
                <w:sz w:val="22"/>
              </w:rPr>
              <w:t>228</w:t>
            </w:r>
            <w:r>
              <w:rPr>
                <w:color w:val="808080"/>
                <w:spacing w:val="-3"/>
                <w:sz w:val="22"/>
              </w:rPr>
              <w:t> </w:t>
            </w:r>
            <w:r>
              <w:rPr>
                <w:color w:val="808080"/>
                <w:sz w:val="22"/>
              </w:rPr>
              <w:t>800,00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Kč</w:t>
            </w:r>
          </w:p>
        </w:tc>
      </w:tr>
      <w:tr>
        <w:trPr>
          <w:trHeight w:val="566" w:hRule="atLeast"/>
        </w:trPr>
        <w:tc>
          <w:tcPr>
            <w:tcW w:w="2480" w:type="dxa"/>
          </w:tcPr>
          <w:p>
            <w:pPr>
              <w:pStyle w:val="TableParagraph"/>
              <w:spacing w:before="156"/>
              <w:ind w:left="72"/>
              <w:rPr>
                <w:sz w:val="22"/>
              </w:rPr>
            </w:pPr>
            <w:r>
              <w:rPr>
                <w:color w:val="808080"/>
                <w:spacing w:val="-2"/>
                <w:sz w:val="22"/>
              </w:rPr>
              <w:t>Vývojář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6"/>
              <w:ind w:left="1042" w:right="1031"/>
              <w:jc w:val="center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96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6"/>
              <w:ind w:right="618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8 </w:t>
            </w:r>
            <w:r>
              <w:rPr>
                <w:color w:val="808080"/>
                <w:spacing w:val="-2"/>
                <w:sz w:val="22"/>
              </w:rPr>
              <w:t>900,-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6"/>
              <w:ind w:right="554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854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400,00</w:t>
            </w:r>
            <w:r>
              <w:rPr>
                <w:color w:val="808080"/>
                <w:spacing w:val="-5"/>
                <w:sz w:val="22"/>
              </w:rPr>
              <w:t> Kč</w:t>
            </w:r>
          </w:p>
        </w:tc>
      </w:tr>
      <w:tr>
        <w:trPr>
          <w:trHeight w:val="568" w:hRule="atLeast"/>
        </w:trPr>
        <w:tc>
          <w:tcPr>
            <w:tcW w:w="2480" w:type="dxa"/>
          </w:tcPr>
          <w:p>
            <w:pPr>
              <w:pStyle w:val="TableParagraph"/>
              <w:spacing w:before="159"/>
              <w:ind w:left="72"/>
              <w:rPr>
                <w:sz w:val="22"/>
              </w:rPr>
            </w:pPr>
            <w:r>
              <w:rPr>
                <w:color w:val="808080"/>
                <w:sz w:val="22"/>
              </w:rPr>
              <w:t>Vývojář</w:t>
            </w:r>
            <w:r>
              <w:rPr>
                <w:color w:val="808080"/>
                <w:spacing w:val="-4"/>
                <w:sz w:val="22"/>
              </w:rPr>
              <w:t> </w:t>
            </w:r>
            <w:r>
              <w:rPr>
                <w:color w:val="808080"/>
                <w:sz w:val="22"/>
              </w:rPr>
              <w:t>-</w:t>
            </w:r>
            <w:r>
              <w:rPr>
                <w:color w:val="808080"/>
                <w:spacing w:val="-2"/>
                <w:sz w:val="22"/>
              </w:rPr>
              <w:t> senior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9"/>
              <w:ind w:left="1045" w:right="1031"/>
              <w:jc w:val="center"/>
              <w:rPr>
                <w:sz w:val="22"/>
              </w:rPr>
            </w:pPr>
            <w:r>
              <w:rPr>
                <w:color w:val="808080"/>
                <w:spacing w:val="-5"/>
                <w:sz w:val="22"/>
              </w:rPr>
              <w:t>231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9"/>
              <w:ind w:right="618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9 </w:t>
            </w:r>
            <w:r>
              <w:rPr>
                <w:color w:val="808080"/>
                <w:spacing w:val="-2"/>
                <w:sz w:val="22"/>
              </w:rPr>
              <w:t>900,-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9"/>
              <w:ind w:right="554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2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286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z w:val="22"/>
              </w:rPr>
              <w:t>900,00</w:t>
            </w:r>
            <w:r>
              <w:rPr>
                <w:color w:val="808080"/>
                <w:spacing w:val="-2"/>
                <w:sz w:val="22"/>
              </w:rPr>
              <w:t> </w:t>
            </w:r>
            <w:r>
              <w:rPr>
                <w:color w:val="808080"/>
                <w:spacing w:val="-5"/>
                <w:sz w:val="22"/>
              </w:rPr>
              <w:t>Kč</w:t>
            </w:r>
          </w:p>
        </w:tc>
      </w:tr>
      <w:tr>
        <w:trPr>
          <w:trHeight w:val="565" w:hRule="atLeast"/>
        </w:trPr>
        <w:tc>
          <w:tcPr>
            <w:tcW w:w="7440" w:type="dxa"/>
            <w:gridSpan w:val="3"/>
          </w:tcPr>
          <w:p>
            <w:pPr>
              <w:pStyle w:val="TableParagraph"/>
              <w:spacing w:before="156"/>
              <w:ind w:left="72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Celková</w:t>
            </w:r>
            <w:r>
              <w:rPr>
                <w:b/>
                <w:color w:val="808080"/>
                <w:spacing w:val="-3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cena</w:t>
            </w:r>
            <w:r>
              <w:rPr>
                <w:b/>
                <w:color w:val="808080"/>
                <w:spacing w:val="-5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v</w:t>
            </w:r>
            <w:r>
              <w:rPr>
                <w:b/>
                <w:color w:val="808080"/>
                <w:spacing w:val="-3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Kč</w:t>
            </w:r>
            <w:r>
              <w:rPr>
                <w:b/>
                <w:color w:val="808080"/>
                <w:spacing w:val="-3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bez</w:t>
            </w:r>
            <w:r>
              <w:rPr>
                <w:b/>
                <w:color w:val="808080"/>
                <w:spacing w:val="-4"/>
                <w:sz w:val="22"/>
              </w:rPr>
              <w:t> </w:t>
            </w:r>
            <w:r>
              <w:rPr>
                <w:b/>
                <w:color w:val="808080"/>
                <w:spacing w:val="-5"/>
                <w:sz w:val="22"/>
              </w:rPr>
              <w:t>DPH</w:t>
            </w:r>
          </w:p>
        </w:tc>
        <w:tc>
          <w:tcPr>
            <w:tcW w:w="2483" w:type="dxa"/>
          </w:tcPr>
          <w:p>
            <w:pPr>
              <w:pStyle w:val="TableParagraph"/>
              <w:spacing w:before="156"/>
              <w:ind w:right="520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7</w:t>
            </w:r>
            <w:r>
              <w:rPr>
                <w:b/>
                <w:color w:val="808080"/>
                <w:spacing w:val="-5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098</w:t>
            </w:r>
            <w:r>
              <w:rPr>
                <w:b/>
                <w:color w:val="808080"/>
                <w:spacing w:val="-3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900,00</w:t>
            </w:r>
            <w:r>
              <w:rPr>
                <w:b/>
                <w:color w:val="808080"/>
                <w:spacing w:val="-2"/>
                <w:sz w:val="22"/>
              </w:rPr>
              <w:t> </w:t>
            </w:r>
            <w:r>
              <w:rPr>
                <w:b/>
                <w:color w:val="808080"/>
                <w:spacing w:val="-5"/>
                <w:sz w:val="22"/>
              </w:rPr>
              <w:t>Kč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line="312" w:lineRule="auto"/>
        <w:ind w:left="172" w:right="108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> </w:t>
      </w:r>
      <w:r>
        <w:rPr>
          <w:color w:val="808080"/>
        </w:rPr>
        <w:t>člověkodní</w:t>
      </w:r>
      <w:r>
        <w:rPr>
          <w:color w:val="808080"/>
          <w:spacing w:val="-15"/>
        </w:rPr>
        <w:t> </w:t>
      </w:r>
      <w:r>
        <w:rPr>
          <w:color w:val="808080"/>
        </w:rPr>
        <w:t>u</w:t>
      </w:r>
      <w:r>
        <w:rPr>
          <w:color w:val="808080"/>
          <w:spacing w:val="-15"/>
        </w:rPr>
        <w:t> </w:t>
      </w:r>
      <w:r>
        <w:rPr>
          <w:color w:val="808080"/>
        </w:rPr>
        <w:t>jednotlivých</w:t>
      </w:r>
      <w:r>
        <w:rPr>
          <w:color w:val="808080"/>
          <w:spacing w:val="-16"/>
        </w:rPr>
        <w:t> </w:t>
      </w:r>
      <w:r>
        <w:rPr>
          <w:color w:val="808080"/>
        </w:rPr>
        <w:t>rolí</w:t>
      </w:r>
      <w:r>
        <w:rPr>
          <w:color w:val="808080"/>
          <w:spacing w:val="-15"/>
        </w:rPr>
        <w:t> </w:t>
      </w:r>
      <w:r>
        <w:rPr>
          <w:color w:val="808080"/>
        </w:rPr>
        <w:t>je</w:t>
      </w:r>
      <w:r>
        <w:rPr>
          <w:color w:val="808080"/>
          <w:spacing w:val="-15"/>
        </w:rPr>
        <w:t> </w:t>
      </w:r>
      <w:r>
        <w:rPr>
          <w:color w:val="808080"/>
        </w:rPr>
        <w:t>indikativní</w:t>
      </w:r>
      <w:r>
        <w:rPr>
          <w:color w:val="808080"/>
          <w:spacing w:val="-15"/>
        </w:rPr>
        <w:t> </w:t>
      </w:r>
      <w:r>
        <w:rPr>
          <w:color w:val="808080"/>
        </w:rPr>
        <w:t>a</w:t>
      </w:r>
      <w:r>
        <w:rPr>
          <w:color w:val="808080"/>
          <w:spacing w:val="-15"/>
        </w:rPr>
        <w:t> </w:t>
      </w:r>
      <w:r>
        <w:rPr>
          <w:color w:val="808080"/>
        </w:rPr>
        <w:t>Objednatel</w:t>
      </w:r>
      <w:r>
        <w:rPr>
          <w:color w:val="808080"/>
          <w:spacing w:val="-15"/>
        </w:rPr>
        <w:t> </w:t>
      </w:r>
      <w:r>
        <w:rPr>
          <w:color w:val="808080"/>
        </w:rPr>
        <w:t>jej</w:t>
      </w:r>
      <w:r>
        <w:rPr>
          <w:color w:val="808080"/>
          <w:spacing w:val="-14"/>
        </w:rPr>
        <w:t> </w:t>
      </w:r>
      <w:r>
        <w:rPr>
          <w:color w:val="808080"/>
        </w:rPr>
        <w:t>může</w:t>
      </w:r>
      <w:r>
        <w:rPr>
          <w:color w:val="808080"/>
          <w:spacing w:val="-15"/>
        </w:rPr>
        <w:t> </w:t>
      </w:r>
      <w:r>
        <w:rPr>
          <w:color w:val="808080"/>
        </w:rPr>
        <w:t>v</w:t>
      </w:r>
      <w:r>
        <w:rPr>
          <w:color w:val="808080"/>
          <w:spacing w:val="-16"/>
        </w:rPr>
        <w:t> </w:t>
      </w:r>
      <w:r>
        <w:rPr>
          <w:color w:val="808080"/>
        </w:rPr>
        <w:t>průběhu</w:t>
      </w:r>
      <w:r>
        <w:rPr>
          <w:color w:val="808080"/>
          <w:spacing w:val="-13"/>
        </w:rPr>
        <w:t> </w:t>
      </w:r>
      <w:r>
        <w:rPr>
          <w:color w:val="808080"/>
        </w:rPr>
        <w:t>trvání</w:t>
      </w:r>
      <w:r>
        <w:rPr>
          <w:color w:val="808080"/>
          <w:spacing w:val="-14"/>
        </w:rPr>
        <w:t> </w:t>
      </w:r>
      <w:r>
        <w:rPr>
          <w:color w:val="808080"/>
        </w:rPr>
        <w:t>Smlouvy</w:t>
      </w:r>
      <w:r>
        <w:rPr>
          <w:color w:val="808080"/>
          <w:spacing w:val="-16"/>
        </w:rPr>
        <w:t> </w:t>
      </w:r>
      <w:r>
        <w:rPr>
          <w:color w:val="808080"/>
        </w:rPr>
        <w:t>měnit, a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to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za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předpokladu,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že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nebude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překročena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celková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cena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za</w:t>
      </w:r>
      <w:r>
        <w:rPr>
          <w:color w:val="808080"/>
          <w:spacing w:val="80"/>
        </w:rPr>
        <w:t> </w:t>
      </w:r>
      <w:r>
        <w:rPr>
          <w:color w:val="808080"/>
        </w:rPr>
        <w:t>Předmět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plnění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dle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čl.</w:t>
      </w:r>
      <w:r>
        <w:rPr>
          <w:color w:val="808080"/>
          <w:spacing w:val="80"/>
          <w:w w:val="150"/>
        </w:rPr>
        <w:t> </w:t>
      </w:r>
      <w:r>
        <w:rPr>
          <w:color w:val="808080"/>
        </w:rPr>
        <w:t>2 odst 2.1 této Smlouvy.</w:t>
      </w:r>
    </w:p>
    <w:p>
      <w:pPr>
        <w:spacing w:after="0" w:line="312" w:lineRule="auto"/>
        <w:jc w:val="both"/>
        <w:sectPr>
          <w:pgSz w:w="11910" w:h="16840"/>
          <w:pgMar w:header="649" w:footer="756" w:top="2000" w:bottom="940" w:left="9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3"/>
        <w:ind w:left="172" w:right="0" w:firstLine="0"/>
        <w:jc w:val="left"/>
        <w:rPr>
          <w:b/>
          <w:sz w:val="32"/>
        </w:rPr>
      </w:pPr>
      <w:r>
        <w:rPr>
          <w:b/>
          <w:color w:val="226284"/>
          <w:sz w:val="32"/>
        </w:rPr>
        <w:t>Technické</w:t>
      </w:r>
      <w:r>
        <w:rPr>
          <w:b/>
          <w:color w:val="226284"/>
          <w:spacing w:val="-17"/>
          <w:sz w:val="32"/>
        </w:rPr>
        <w:t> </w:t>
      </w:r>
      <w:r>
        <w:rPr>
          <w:b/>
          <w:color w:val="226284"/>
          <w:spacing w:val="-2"/>
          <w:sz w:val="32"/>
        </w:rPr>
        <w:t>požadavky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Heading1"/>
        <w:numPr>
          <w:ilvl w:val="2"/>
          <w:numId w:val="2"/>
        </w:numPr>
        <w:tabs>
          <w:tab w:pos="894" w:val="left" w:leader="none"/>
        </w:tabs>
        <w:spacing w:line="240" w:lineRule="auto" w:before="0" w:after="0"/>
        <w:ind w:left="893" w:right="0" w:hanging="361"/>
        <w:jc w:val="left"/>
      </w:pPr>
      <w:r>
        <w:rPr>
          <w:color w:val="808080"/>
        </w:rPr>
        <w:t>Vývojové</w:t>
      </w:r>
      <w:r>
        <w:rPr>
          <w:color w:val="808080"/>
          <w:spacing w:val="-3"/>
        </w:rPr>
        <w:t> </w:t>
      </w:r>
      <w:r>
        <w:rPr>
          <w:color w:val="808080"/>
          <w:spacing w:val="-2"/>
        </w:rPr>
        <w:t>prostředí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72" w:right="1509"/>
      </w:pPr>
      <w:r>
        <w:rPr>
          <w:color w:val="808080"/>
        </w:rPr>
        <w:t>NAKIT</w:t>
      </w:r>
      <w:r>
        <w:rPr>
          <w:color w:val="808080"/>
          <w:spacing w:val="-3"/>
        </w:rPr>
        <w:t> </w:t>
      </w:r>
      <w:r>
        <w:rPr>
          <w:color w:val="808080"/>
        </w:rPr>
        <w:t>vývojové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(dále</w:t>
      </w:r>
      <w:r>
        <w:rPr>
          <w:color w:val="808080"/>
          <w:spacing w:val="-3"/>
        </w:rPr>
        <w:t> </w:t>
      </w:r>
      <w:r>
        <w:rPr>
          <w:color w:val="808080"/>
        </w:rPr>
        <w:t>jen</w:t>
      </w:r>
      <w:r>
        <w:rPr>
          <w:color w:val="808080"/>
          <w:spacing w:val="-5"/>
        </w:rPr>
        <w:t> </w:t>
      </w:r>
      <w:r>
        <w:rPr>
          <w:color w:val="808080"/>
        </w:rPr>
        <w:t>DEV)</w:t>
      </w:r>
      <w:r>
        <w:rPr>
          <w:color w:val="808080"/>
          <w:spacing w:val="-4"/>
        </w:rPr>
        <w:t> </w:t>
      </w:r>
      <w:r>
        <w:rPr>
          <w:color w:val="808080"/>
        </w:rPr>
        <w:t>slouží</w:t>
      </w:r>
      <w:r>
        <w:rPr>
          <w:color w:val="808080"/>
          <w:spacing w:val="-4"/>
        </w:rPr>
        <w:t> </w:t>
      </w:r>
      <w:r>
        <w:rPr>
          <w:color w:val="808080"/>
        </w:rPr>
        <w:t>pro</w:t>
      </w:r>
      <w:r>
        <w:rPr>
          <w:color w:val="808080"/>
          <w:spacing w:val="-3"/>
        </w:rPr>
        <w:t> </w:t>
      </w:r>
      <w:r>
        <w:rPr>
          <w:color w:val="808080"/>
        </w:rPr>
        <w:t>potřeby</w:t>
      </w:r>
      <w:r>
        <w:rPr>
          <w:color w:val="808080"/>
          <w:spacing w:val="-2"/>
        </w:rPr>
        <w:t> </w:t>
      </w:r>
      <w:r>
        <w:rPr>
          <w:color w:val="808080"/>
        </w:rPr>
        <w:t>kontinuálního</w:t>
      </w:r>
      <w:r>
        <w:rPr>
          <w:color w:val="808080"/>
          <w:spacing w:val="-5"/>
        </w:rPr>
        <w:t> </w:t>
      </w:r>
      <w:r>
        <w:rPr>
          <w:color w:val="808080"/>
        </w:rPr>
        <w:t>vývoje. Skládá se z: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69" w:lineRule="exact" w:before="0" w:after="0"/>
        <w:ind w:left="893" w:right="0" w:hanging="361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Azure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Kubernetes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service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69" w:lineRule="exact" w:before="0" w:after="0"/>
        <w:ind w:left="893" w:right="0" w:hanging="361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SQL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NoSql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servery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(Azure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SQL,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Postgresql,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MySql,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CosmosDB,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Redis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Cache)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68" w:lineRule="exact" w:before="0" w:after="0"/>
        <w:ind w:left="893" w:right="0" w:hanging="361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Azure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Key</w:t>
      </w:r>
      <w:r>
        <w:rPr>
          <w:color w:val="808080"/>
          <w:spacing w:val="-3"/>
          <w:sz w:val="22"/>
        </w:rPr>
        <w:t> </w:t>
      </w:r>
      <w:r>
        <w:rPr>
          <w:color w:val="808080"/>
          <w:spacing w:val="-2"/>
          <w:sz w:val="22"/>
        </w:rPr>
        <w:t>Vault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68" w:lineRule="exact" w:before="0" w:after="0"/>
        <w:ind w:left="893" w:right="0" w:hanging="361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Application</w:t>
      </w:r>
      <w:r>
        <w:rPr>
          <w:color w:val="808080"/>
          <w:spacing w:val="-8"/>
          <w:sz w:val="22"/>
        </w:rPr>
        <w:t> </w:t>
      </w:r>
      <w:r>
        <w:rPr>
          <w:color w:val="808080"/>
          <w:spacing w:val="-2"/>
          <w:sz w:val="22"/>
        </w:rPr>
        <w:t>Insights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68" w:lineRule="exact" w:before="0" w:after="0"/>
        <w:ind w:left="893" w:right="0" w:hanging="361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Azure </w:t>
      </w:r>
      <w:r>
        <w:rPr>
          <w:color w:val="808080"/>
          <w:spacing w:val="-2"/>
          <w:sz w:val="22"/>
        </w:rPr>
        <w:t>Search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37" w:lineRule="auto" w:before="0" w:after="0"/>
        <w:ind w:left="893" w:right="108" w:hanging="360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Reverzní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proxy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Azure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Application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Gateway</w:t>
      </w:r>
      <w:r>
        <w:rPr>
          <w:color w:val="808080"/>
          <w:spacing w:val="-17"/>
          <w:sz w:val="22"/>
        </w:rPr>
        <w:t> </w:t>
      </w:r>
      <w:r>
        <w:rPr>
          <w:color w:val="808080"/>
          <w:sz w:val="22"/>
        </w:rPr>
        <w:t>s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WAF</w:t>
      </w:r>
      <w:r>
        <w:rPr>
          <w:color w:val="808080"/>
          <w:spacing w:val="-17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blokujícím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režimu</w:t>
      </w:r>
      <w:r>
        <w:rPr>
          <w:color w:val="808080"/>
          <w:spacing w:val="-17"/>
          <w:sz w:val="22"/>
        </w:rPr>
        <w:t> </w:t>
      </w:r>
      <w:r>
        <w:rPr>
          <w:color w:val="808080"/>
          <w:sz w:val="22"/>
        </w:rPr>
        <w:t>(aplikace</w:t>
      </w:r>
      <w:r>
        <w:rPr>
          <w:color w:val="808080"/>
          <w:spacing w:val="-17"/>
          <w:sz w:val="22"/>
        </w:rPr>
        <w:t> </w:t>
      </w:r>
      <w:r>
        <w:rPr>
          <w:color w:val="808080"/>
          <w:sz w:val="22"/>
        </w:rPr>
        <w:t>musí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dodržovat OWASP pravidla a je zcela na zodpovědnosti programátora dodržovat pravidla OWASP 3.0)</w:t>
      </w:r>
    </w:p>
    <w:p>
      <w:pPr>
        <w:pStyle w:val="BodyText"/>
        <w:spacing w:before="1"/>
      </w:pPr>
    </w:p>
    <w:p>
      <w:pPr>
        <w:pStyle w:val="BodyText"/>
        <w:ind w:left="172" w:right="104"/>
        <w:jc w:val="both"/>
      </w:pPr>
      <w:r>
        <w:rPr>
          <w:color w:val="808080"/>
        </w:rPr>
        <w:t>Každý vývojový tým může používat vlastní prostředí (např. Docker swarm, MiniKube, nebo vlastní servery), pro lokální testy a debugging. Nicméně jako relevantní prostředí pro integrace a další testování je pouze oficiální Nakit Dev.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2"/>
        </w:numPr>
        <w:tabs>
          <w:tab w:pos="894" w:val="left" w:leader="none"/>
        </w:tabs>
        <w:spacing w:line="240" w:lineRule="auto" w:before="0" w:after="0"/>
        <w:ind w:left="893" w:right="0" w:hanging="361"/>
        <w:jc w:val="left"/>
      </w:pPr>
      <w:r>
        <w:rPr>
          <w:color w:val="808080"/>
        </w:rPr>
        <w:t>Výstupy</w:t>
      </w:r>
      <w:r>
        <w:rPr>
          <w:color w:val="808080"/>
          <w:spacing w:val="-10"/>
        </w:rPr>
        <w:t> </w:t>
      </w:r>
      <w:r>
        <w:rPr>
          <w:color w:val="808080"/>
        </w:rPr>
        <w:t>programátorských</w:t>
      </w:r>
      <w:r>
        <w:rPr>
          <w:color w:val="808080"/>
          <w:spacing w:val="-10"/>
        </w:rPr>
        <w:t> </w:t>
      </w:r>
      <w:r>
        <w:rPr>
          <w:color w:val="808080"/>
          <w:spacing w:val="-4"/>
        </w:rPr>
        <w:t>týmů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72"/>
        <w:jc w:val="both"/>
      </w:pPr>
      <w:r>
        <w:rPr>
          <w:color w:val="808080"/>
        </w:rPr>
        <w:t>Programátorské</w:t>
      </w:r>
      <w:r>
        <w:rPr>
          <w:color w:val="808080"/>
          <w:spacing w:val="-10"/>
        </w:rPr>
        <w:t> </w:t>
      </w:r>
      <w:r>
        <w:rPr>
          <w:color w:val="808080"/>
        </w:rPr>
        <w:t>týmy</w:t>
      </w:r>
      <w:r>
        <w:rPr>
          <w:color w:val="808080"/>
          <w:spacing w:val="-4"/>
        </w:rPr>
        <w:t> </w:t>
      </w:r>
      <w:r>
        <w:rPr>
          <w:color w:val="808080"/>
        </w:rPr>
        <w:t>dodávají</w:t>
      </w:r>
      <w:r>
        <w:rPr>
          <w:color w:val="808080"/>
          <w:spacing w:val="-7"/>
        </w:rPr>
        <w:t> </w:t>
      </w:r>
      <w:r>
        <w:rPr>
          <w:color w:val="808080"/>
        </w:rPr>
        <w:t>zdrojové</w:t>
      </w:r>
      <w:r>
        <w:rPr>
          <w:color w:val="808080"/>
          <w:spacing w:val="-7"/>
        </w:rPr>
        <w:t> </w:t>
      </w:r>
      <w:r>
        <w:rPr>
          <w:color w:val="808080"/>
        </w:rPr>
        <w:t>kódy</w:t>
      </w:r>
      <w:r>
        <w:rPr>
          <w:color w:val="808080"/>
          <w:spacing w:val="-7"/>
        </w:rPr>
        <w:t> </w:t>
      </w:r>
      <w:r>
        <w:rPr>
          <w:color w:val="808080"/>
        </w:rPr>
        <w:t>do</w:t>
      </w:r>
      <w:r>
        <w:rPr>
          <w:color w:val="808080"/>
          <w:spacing w:val="-7"/>
        </w:rPr>
        <w:t> </w:t>
      </w:r>
      <w:r>
        <w:rPr>
          <w:color w:val="808080"/>
        </w:rPr>
        <w:t>GIT</w:t>
      </w:r>
      <w:r>
        <w:rPr>
          <w:color w:val="808080"/>
          <w:spacing w:val="-7"/>
        </w:rPr>
        <w:t> </w:t>
      </w:r>
      <w:r>
        <w:rPr>
          <w:color w:val="808080"/>
        </w:rPr>
        <w:t>prostředí</w:t>
      </w:r>
      <w:r>
        <w:rPr>
          <w:color w:val="808080"/>
          <w:spacing w:val="-7"/>
        </w:rPr>
        <w:t> </w:t>
      </w:r>
      <w:r>
        <w:rPr>
          <w:color w:val="808080"/>
        </w:rPr>
        <w:t>Nakit</w:t>
      </w:r>
      <w:r>
        <w:rPr>
          <w:color w:val="808080"/>
          <w:spacing w:val="-3"/>
        </w:rPr>
        <w:t> </w:t>
      </w:r>
      <w:r>
        <w:rPr>
          <w:color w:val="808080"/>
        </w:rPr>
        <w:t>s</w:t>
      </w:r>
      <w:r>
        <w:rPr>
          <w:color w:val="808080"/>
          <w:spacing w:val="-3"/>
        </w:rPr>
        <w:t> </w:t>
      </w:r>
      <w:r>
        <w:rPr>
          <w:color w:val="808080"/>
        </w:rPr>
        <w:t>následujícími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pravidly: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37" w:lineRule="auto" w:before="3" w:after="0"/>
        <w:ind w:left="893" w:right="109" w:hanging="360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Zdrojové kódy jsou kompilovatelné v prostředí Docker v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operačním systému Ubuntu (aktuální </w:t>
      </w:r>
      <w:r>
        <w:rPr>
          <w:color w:val="808080"/>
          <w:spacing w:val="-2"/>
          <w:sz w:val="22"/>
        </w:rPr>
        <w:t>LTS).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37" w:lineRule="auto" w:before="4" w:after="0"/>
        <w:ind w:left="893" w:right="106" w:hanging="360"/>
        <w:jc w:val="both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Kromě zdrojových kódů je výstupem Dockerfile, který sestavuje danou aplikaci nebo mikroslužbu. Dockerfile obsahuje všechny proměnné prostředí, mount pointy dle best practice psaní Dockerfile a je detailně okomentován pro potřeby provozního týmu.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37" w:lineRule="auto" w:before="5" w:after="0"/>
        <w:ind w:left="893" w:right="108" w:hanging="360"/>
        <w:jc w:val="both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Dockerfile musí být psaný tak, aby výsledný Docker kontejner umožnoval non-root běh (pod linux uživatelem 1001).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69" w:lineRule="exact" w:before="2" w:after="0"/>
        <w:ind w:left="893" w:right="0" w:hanging="361"/>
        <w:jc w:val="both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Je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striktně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zakázáno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používat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jiné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Docker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base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image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než</w:t>
      </w:r>
      <w:r>
        <w:rPr>
          <w:color w:val="808080"/>
          <w:spacing w:val="-4"/>
          <w:sz w:val="22"/>
        </w:rPr>
        <w:t> </w:t>
      </w:r>
      <w:r>
        <w:rPr>
          <w:color w:val="808080"/>
          <w:spacing w:val="-2"/>
          <w:sz w:val="22"/>
        </w:rPr>
        <w:t>oficiální.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37" w:lineRule="auto" w:before="2" w:after="0"/>
        <w:ind w:left="893" w:right="113" w:hanging="360"/>
        <w:jc w:val="both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Každá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změna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kódu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GIT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musí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mít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asociovaný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ticket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popisující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změnu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zdrojového</w:t>
      </w:r>
      <w:r>
        <w:rPr>
          <w:color w:val="808080"/>
          <w:spacing w:val="40"/>
          <w:sz w:val="22"/>
        </w:rPr>
        <w:t> </w:t>
      </w:r>
      <w:r>
        <w:rPr>
          <w:color w:val="808080"/>
          <w:sz w:val="22"/>
        </w:rPr>
        <w:t>kódu.</w:t>
      </w:r>
      <w:r>
        <w:rPr>
          <w:color w:val="808080"/>
          <w:spacing w:val="80"/>
          <w:sz w:val="22"/>
        </w:rPr>
        <w:t> </w:t>
      </w:r>
      <w:r>
        <w:rPr>
          <w:color w:val="808080"/>
          <w:sz w:val="22"/>
        </w:rPr>
        <w:t>Z ticketu musí být zřejmé kdo a proč kód vytvořil nebo modifikoval.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37" w:lineRule="auto" w:before="3" w:after="0"/>
        <w:ind w:left="893" w:right="106" w:hanging="360"/>
        <w:jc w:val="both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Při sestavování aplikace je zakázáno stahovat balíčky třetích stran z veřejných repositářů. Programátorské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týmy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jsou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zodpovědní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za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umisťování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těchto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balíčku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do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prostředí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Azure</w:t>
      </w:r>
      <w:r>
        <w:rPr>
          <w:color w:val="808080"/>
          <w:spacing w:val="-16"/>
          <w:sz w:val="22"/>
        </w:rPr>
        <w:t> </w:t>
      </w:r>
      <w:r>
        <w:rPr>
          <w:color w:val="808080"/>
          <w:sz w:val="22"/>
        </w:rPr>
        <w:t>DevOps </w:t>
      </w:r>
      <w:r>
        <w:rPr>
          <w:color w:val="808080"/>
          <w:spacing w:val="-2"/>
          <w:sz w:val="22"/>
        </w:rPr>
        <w:t>artifacts.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37" w:lineRule="auto" w:before="5" w:after="0"/>
        <w:ind w:left="893" w:right="107" w:hanging="360"/>
        <w:jc w:val="both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Všechna dodávaná řešení musí obsahovat health check, tzn. readiness a liveness probes pro prostředí Kubernetes.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40" w:lineRule="auto" w:before="2" w:after="0"/>
        <w:ind w:left="893" w:right="109" w:hanging="360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Programátorské týmy zodpovídají</w:t>
      </w:r>
      <w:r>
        <w:rPr>
          <w:color w:val="808080"/>
          <w:spacing w:val="19"/>
          <w:sz w:val="22"/>
        </w:rPr>
        <w:t> </w:t>
      </w:r>
      <w:r>
        <w:rPr>
          <w:color w:val="808080"/>
          <w:sz w:val="22"/>
        </w:rPr>
        <w:t>za aktuálnost použitých frameworků a balíčků třetích stran</w:t>
      </w:r>
      <w:r>
        <w:rPr>
          <w:color w:val="808080"/>
          <w:spacing w:val="80"/>
          <w:sz w:val="22"/>
        </w:rPr>
        <w:t> </w:t>
      </w:r>
      <w:r>
        <w:rPr>
          <w:color w:val="808080"/>
          <w:sz w:val="22"/>
        </w:rPr>
        <w:t>z pohledu jejich licenční politiky a bezpečnosti.</w:t>
      </w: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40" w:lineRule="auto" w:before="0" w:after="0"/>
        <w:ind w:left="893" w:right="0" w:hanging="361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FAT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testy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report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z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FAT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testování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včetně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reportu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zátěžových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testů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(v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prostředí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Nakit</w:t>
      </w:r>
      <w:r>
        <w:rPr>
          <w:color w:val="808080"/>
          <w:spacing w:val="-4"/>
          <w:sz w:val="22"/>
        </w:rPr>
        <w:t> Dev)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2"/>
        </w:numPr>
        <w:tabs>
          <w:tab w:pos="894" w:val="left" w:leader="none"/>
        </w:tabs>
        <w:spacing w:line="240" w:lineRule="auto" w:before="0" w:after="0"/>
        <w:ind w:left="893" w:right="0" w:hanging="361"/>
        <w:jc w:val="both"/>
      </w:pPr>
      <w:r>
        <w:rPr>
          <w:color w:val="808080"/>
        </w:rPr>
        <w:t>Kontinuální</w:t>
      </w:r>
      <w:r>
        <w:rPr>
          <w:color w:val="808080"/>
          <w:spacing w:val="-5"/>
        </w:rPr>
        <w:t> </w:t>
      </w:r>
      <w:r>
        <w:rPr>
          <w:color w:val="808080"/>
        </w:rPr>
        <w:t>vývoj</w:t>
      </w:r>
      <w:r>
        <w:rPr>
          <w:color w:val="808080"/>
          <w:spacing w:val="-7"/>
        </w:rPr>
        <w:t> </w:t>
      </w:r>
      <w:r>
        <w:rPr>
          <w:color w:val="808080"/>
        </w:rPr>
        <w:t>v</w:t>
      </w:r>
      <w:r>
        <w:rPr>
          <w:color w:val="808080"/>
          <w:spacing w:val="-5"/>
        </w:rPr>
        <w:t> </w:t>
      </w:r>
      <w:r>
        <w:rPr>
          <w:color w:val="808080"/>
        </w:rPr>
        <w:t>prostředí</w:t>
      </w:r>
      <w:r>
        <w:rPr>
          <w:color w:val="808080"/>
          <w:spacing w:val="-8"/>
        </w:rPr>
        <w:t> </w:t>
      </w:r>
      <w:r>
        <w:rPr>
          <w:color w:val="808080"/>
          <w:spacing w:val="-5"/>
        </w:rPr>
        <w:t>GIT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37" w:lineRule="auto" w:before="0" w:after="0"/>
        <w:ind w:left="893" w:right="1900" w:hanging="360"/>
        <w:jc w:val="left"/>
        <w:rPr>
          <w:rFonts w:ascii="Symbol" w:hAnsi="Symbol"/>
          <w:color w:val="808080"/>
          <w:sz w:val="22"/>
        </w:rPr>
      </w:pPr>
      <w:r>
        <w:rPr>
          <w:color w:val="808080"/>
          <w:sz w:val="22"/>
        </w:rPr>
        <w:t>Pro všechny vývojáře je závazné toto git workflow: </w:t>
      </w:r>
      <w:hyperlink r:id="rId11">
        <w:r>
          <w:rPr>
            <w:color w:val="808080"/>
            <w:spacing w:val="-2"/>
            <w:sz w:val="22"/>
            <w:u w:val="single" w:color="808080"/>
          </w:rPr>
          <w:t>https://www.atlassian.com/git/tutorials/comparing-workflows/gitflow-workflow</w:t>
        </w:r>
      </w:hyperlink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40" w:lineRule="auto" w:before="94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Správci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větví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master/main,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develop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release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jsou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zaměstnanci</w:t>
      </w:r>
      <w:r>
        <w:rPr>
          <w:color w:val="808080"/>
          <w:spacing w:val="-5"/>
          <w:sz w:val="22"/>
        </w:rPr>
        <w:t> </w:t>
      </w:r>
      <w:r>
        <w:rPr>
          <w:color w:val="808080"/>
          <w:spacing w:val="-2"/>
          <w:sz w:val="22"/>
        </w:rPr>
        <w:t>Nakit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header="649" w:footer="756" w:top="2000" w:bottom="940" w:left="960" w:right="740"/>
        </w:sectPr>
      </w:pP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40" w:lineRule="auto" w:before="145" w:after="0"/>
        <w:ind w:left="893" w:right="109" w:hanging="360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Git workflow může být rozšířen o další větev pro potřeby externích dodavatelů. Tato větev je ekvivalentem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větve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develop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zaměstnanec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externího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dodavatele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je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zodpovědný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za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kontinuální synchronizaci této větve s oficiální develop větví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40" w:lineRule="auto" w:before="1" w:after="0"/>
        <w:ind w:left="893" w:right="112" w:hanging="360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Git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workflow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musí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umožnit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spolupráci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nad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zdrojovými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kódy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mezi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programátory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Nakit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externími </w:t>
      </w:r>
      <w:r>
        <w:rPr>
          <w:color w:val="808080"/>
          <w:spacing w:val="-2"/>
          <w:sz w:val="22"/>
        </w:rPr>
        <w:t>dodavateli.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2"/>
          <w:numId w:val="2"/>
        </w:numPr>
        <w:tabs>
          <w:tab w:pos="894" w:val="left" w:leader="none"/>
        </w:tabs>
        <w:spacing w:line="240" w:lineRule="auto" w:before="0" w:after="0"/>
        <w:ind w:left="893" w:right="0" w:hanging="361"/>
        <w:jc w:val="left"/>
      </w:pPr>
      <w:r>
        <w:rPr>
          <w:color w:val="808080"/>
        </w:rPr>
        <w:t>Aplikační</w:t>
      </w:r>
      <w:r>
        <w:rPr>
          <w:color w:val="808080"/>
          <w:spacing w:val="-6"/>
        </w:rPr>
        <w:t> </w:t>
      </w:r>
      <w:r>
        <w:rPr>
          <w:color w:val="808080"/>
          <w:spacing w:val="-2"/>
        </w:rPr>
        <w:t>architektura</w:t>
      </w:r>
    </w:p>
    <w:p>
      <w:pPr>
        <w:pStyle w:val="BodyText"/>
        <w:spacing w:before="8"/>
        <w:rPr>
          <w:b/>
          <w:sz w:val="33"/>
        </w:rPr>
      </w:pP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59" w:lineRule="auto" w:before="0" w:after="0"/>
        <w:ind w:left="893" w:right="105" w:hanging="360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Aplikační architektura celého řešení nebo dílčích celků (např. mikroslužeb) musí splňovat kritéria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Cloud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native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aplikace.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Programátoři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při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předání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zadaného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díla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popíšou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řešení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z pohledu 12-ti faktorů cloud native aplikace.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59" w:lineRule="auto" w:before="0" w:after="0"/>
        <w:ind w:left="893" w:right="109" w:hanging="360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Aplikace nesmí mít „hard-coded“ závislosti ve vztahu ke cloudové infrastruktuře. Řešení musí zahrnovat frameworky typu Entity Framework, DAPR a Open Telemetry, aby bylo umožněno naplnění exit strategie do jiných prostředí infrastruktury bez nutnosti měnit kód aplikace.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59" w:lineRule="auto" w:before="0" w:after="0"/>
        <w:ind w:left="893" w:right="109" w:hanging="360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SW řešení postavená na principu mikroslužeb musí striktně dodržovat doporučené návrhové vzory těchto řešení.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894" w:val="left" w:leader="none"/>
        </w:tabs>
        <w:spacing w:line="259" w:lineRule="auto" w:before="0" w:after="0"/>
        <w:ind w:left="893" w:right="106" w:hanging="360"/>
        <w:jc w:val="both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Existující řešení není nutné přepisovat z pohledu výše uvedených kritérií. Nové mikroslužby nebo řešení naopak tyto aspekty dodržovat musí.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2"/>
        </w:numPr>
        <w:tabs>
          <w:tab w:pos="894" w:val="left" w:leader="none"/>
        </w:tabs>
        <w:spacing w:line="240" w:lineRule="auto" w:before="0" w:after="0"/>
        <w:ind w:left="893" w:right="0" w:hanging="361"/>
        <w:jc w:val="left"/>
      </w:pPr>
      <w:r>
        <w:rPr>
          <w:color w:val="808080"/>
        </w:rPr>
        <w:t>Sběr</w:t>
      </w:r>
      <w:r>
        <w:rPr>
          <w:color w:val="808080"/>
          <w:spacing w:val="-4"/>
        </w:rPr>
        <w:t> </w:t>
      </w:r>
      <w:r>
        <w:rPr>
          <w:color w:val="808080"/>
        </w:rPr>
        <w:t>telemetrie</w:t>
      </w:r>
      <w:r>
        <w:rPr>
          <w:color w:val="808080"/>
          <w:spacing w:val="-4"/>
        </w:rPr>
        <w:t> </w:t>
      </w:r>
      <w:r>
        <w:rPr>
          <w:color w:val="808080"/>
        </w:rPr>
        <w:t>z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aplikací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ind w:left="172"/>
      </w:pPr>
      <w:r>
        <w:rPr>
          <w:color w:val="808080"/>
        </w:rPr>
        <w:t>Členové vývoje sbírají telemetrii, výjimky, trace a debug události do Application Insights nebo Open </w:t>
      </w:r>
      <w:r>
        <w:rPr>
          <w:color w:val="808080"/>
          <w:spacing w:val="-2"/>
        </w:rPr>
        <w:t>Telemetry.</w:t>
      </w:r>
    </w:p>
    <w:p>
      <w:pPr>
        <w:pStyle w:val="BodyText"/>
        <w:spacing w:before="1"/>
        <w:ind w:left="172"/>
      </w:pPr>
      <w:r>
        <w:rPr>
          <w:color w:val="808080"/>
        </w:rPr>
        <w:t>Tato</w:t>
      </w:r>
      <w:r>
        <w:rPr>
          <w:color w:val="808080"/>
          <w:spacing w:val="-9"/>
        </w:rPr>
        <w:t> </w:t>
      </w:r>
      <w:r>
        <w:rPr>
          <w:color w:val="808080"/>
        </w:rPr>
        <w:t>telemetrie</w:t>
      </w:r>
      <w:r>
        <w:rPr>
          <w:color w:val="808080"/>
          <w:spacing w:val="-9"/>
        </w:rPr>
        <w:t> </w:t>
      </w:r>
      <w:r>
        <w:rPr>
          <w:color w:val="808080"/>
        </w:rPr>
        <w:t>se</w:t>
      </w:r>
      <w:r>
        <w:rPr>
          <w:color w:val="808080"/>
          <w:spacing w:val="-9"/>
        </w:rPr>
        <w:t> </w:t>
      </w:r>
      <w:r>
        <w:rPr>
          <w:color w:val="808080"/>
        </w:rPr>
        <w:t>sbírá</w:t>
      </w:r>
      <w:r>
        <w:rPr>
          <w:color w:val="808080"/>
          <w:spacing w:val="-11"/>
        </w:rPr>
        <w:t> </w:t>
      </w:r>
      <w:r>
        <w:rPr>
          <w:color w:val="808080"/>
        </w:rPr>
        <w:t>pro</w:t>
      </w:r>
      <w:r>
        <w:rPr>
          <w:color w:val="808080"/>
          <w:spacing w:val="-6"/>
        </w:rPr>
        <w:t> </w:t>
      </w:r>
      <w:r>
        <w:rPr>
          <w:color w:val="808080"/>
        </w:rPr>
        <w:t>potřeby</w:t>
      </w:r>
      <w:r>
        <w:rPr>
          <w:color w:val="808080"/>
          <w:spacing w:val="-8"/>
        </w:rPr>
        <w:t> </w:t>
      </w:r>
      <w:r>
        <w:rPr>
          <w:color w:val="808080"/>
        </w:rPr>
        <w:t>provozu.</w:t>
      </w:r>
      <w:r>
        <w:rPr>
          <w:color w:val="808080"/>
          <w:spacing w:val="-8"/>
        </w:rPr>
        <w:t> </w:t>
      </w:r>
      <w:r>
        <w:rPr>
          <w:color w:val="808080"/>
        </w:rPr>
        <w:t>Tzn.</w:t>
      </w:r>
      <w:r>
        <w:rPr>
          <w:color w:val="808080"/>
          <w:spacing w:val="-7"/>
        </w:rPr>
        <w:t> </w:t>
      </w:r>
      <w:r>
        <w:rPr>
          <w:color w:val="808080"/>
        </w:rPr>
        <w:t>že</w:t>
      </w:r>
      <w:r>
        <w:rPr>
          <w:color w:val="808080"/>
          <w:spacing w:val="-9"/>
        </w:rPr>
        <w:t> </w:t>
      </w:r>
      <w:r>
        <w:rPr>
          <w:color w:val="808080"/>
        </w:rPr>
        <w:t>provoz</w:t>
      </w:r>
      <w:r>
        <w:rPr>
          <w:color w:val="808080"/>
          <w:spacing w:val="-9"/>
        </w:rPr>
        <w:t> </w:t>
      </w:r>
      <w:r>
        <w:rPr>
          <w:color w:val="808080"/>
        </w:rPr>
        <w:t>dokáže</w:t>
      </w:r>
      <w:r>
        <w:rPr>
          <w:color w:val="808080"/>
          <w:spacing w:val="-9"/>
        </w:rPr>
        <w:t> </w:t>
      </w:r>
      <w:r>
        <w:rPr>
          <w:color w:val="808080"/>
        </w:rPr>
        <w:t>interpretovat</w:t>
      </w:r>
      <w:r>
        <w:rPr>
          <w:color w:val="808080"/>
          <w:spacing w:val="-7"/>
        </w:rPr>
        <w:t> </w:t>
      </w:r>
      <w:r>
        <w:rPr>
          <w:color w:val="808080"/>
        </w:rPr>
        <w:t>chyby</w:t>
      </w:r>
      <w:r>
        <w:rPr>
          <w:color w:val="808080"/>
          <w:spacing w:val="-8"/>
        </w:rPr>
        <w:t> </w:t>
      </w:r>
      <w:r>
        <w:rPr>
          <w:color w:val="808080"/>
        </w:rPr>
        <w:t>aplikace</w:t>
      </w:r>
      <w:r>
        <w:rPr>
          <w:color w:val="808080"/>
          <w:spacing w:val="-9"/>
        </w:rPr>
        <w:t> </w:t>
      </w:r>
      <w:r>
        <w:rPr>
          <w:color w:val="808080"/>
        </w:rPr>
        <w:t>nebo problémy při volání do vzdálených systémů.</w:t>
      </w:r>
    </w:p>
    <w:p>
      <w:pPr>
        <w:pStyle w:val="BodyText"/>
        <w:ind w:left="172"/>
      </w:pPr>
      <w:r>
        <w:rPr>
          <w:color w:val="808080"/>
        </w:rPr>
        <w:t>Do prostředí Application Insights musí být umožněn přístup jak členům vývoje, tak i členům provozu. Neošetřené</w:t>
      </w:r>
      <w:r>
        <w:rPr>
          <w:color w:val="808080"/>
          <w:spacing w:val="-9"/>
        </w:rPr>
        <w:t> </w:t>
      </w:r>
      <w:r>
        <w:rPr>
          <w:color w:val="808080"/>
        </w:rPr>
        <w:t>výjimka</w:t>
      </w:r>
      <w:r>
        <w:rPr>
          <w:color w:val="808080"/>
          <w:spacing w:val="-9"/>
        </w:rPr>
        <w:t> </w:t>
      </w:r>
      <w:r>
        <w:rPr>
          <w:color w:val="808080"/>
        </w:rPr>
        <w:t>nebo</w:t>
      </w:r>
      <w:r>
        <w:rPr>
          <w:color w:val="808080"/>
          <w:spacing w:val="-9"/>
        </w:rPr>
        <w:t> </w:t>
      </w:r>
      <w:r>
        <w:rPr>
          <w:color w:val="808080"/>
        </w:rPr>
        <w:t>logy</w:t>
      </w:r>
      <w:r>
        <w:rPr>
          <w:color w:val="808080"/>
          <w:spacing w:val="-8"/>
        </w:rPr>
        <w:t> </w:t>
      </w:r>
      <w:r>
        <w:rPr>
          <w:color w:val="808080"/>
        </w:rPr>
        <w:t>„Došlo</w:t>
      </w:r>
      <w:r>
        <w:rPr>
          <w:color w:val="808080"/>
          <w:spacing w:val="-9"/>
        </w:rPr>
        <w:t> </w:t>
      </w:r>
      <w:r>
        <w:rPr>
          <w:color w:val="808080"/>
        </w:rPr>
        <w:t>k neočekávané</w:t>
      </w:r>
      <w:r>
        <w:rPr>
          <w:color w:val="808080"/>
          <w:spacing w:val="-9"/>
        </w:rPr>
        <w:t> </w:t>
      </w:r>
      <w:r>
        <w:rPr>
          <w:color w:val="808080"/>
        </w:rPr>
        <w:t>chybě“</w:t>
      </w:r>
      <w:r>
        <w:rPr>
          <w:color w:val="808080"/>
          <w:spacing w:val="-8"/>
        </w:rPr>
        <w:t> </w:t>
      </w:r>
      <w:r>
        <w:rPr>
          <w:color w:val="808080"/>
        </w:rPr>
        <w:t>ztěžují</w:t>
      </w:r>
      <w:r>
        <w:rPr>
          <w:color w:val="808080"/>
          <w:spacing w:val="-8"/>
        </w:rPr>
        <w:t> </w:t>
      </w:r>
      <w:r>
        <w:rPr>
          <w:color w:val="808080"/>
        </w:rPr>
        <w:t>provozu</w:t>
      </w:r>
      <w:r>
        <w:rPr>
          <w:color w:val="808080"/>
          <w:spacing w:val="-9"/>
        </w:rPr>
        <w:t> </w:t>
      </w:r>
      <w:r>
        <w:rPr>
          <w:color w:val="808080"/>
        </w:rPr>
        <w:t>dohled</w:t>
      </w:r>
      <w:r>
        <w:rPr>
          <w:color w:val="808080"/>
          <w:spacing w:val="-9"/>
        </w:rPr>
        <w:t> </w:t>
      </w:r>
      <w:r>
        <w:rPr>
          <w:color w:val="808080"/>
        </w:rPr>
        <w:t>nad</w:t>
      </w:r>
      <w:r>
        <w:rPr>
          <w:color w:val="808080"/>
          <w:spacing w:val="-9"/>
        </w:rPr>
        <w:t> </w:t>
      </w:r>
      <w:r>
        <w:rPr>
          <w:color w:val="808080"/>
        </w:rPr>
        <w:t>aplikací</w:t>
      </w:r>
      <w:r>
        <w:rPr>
          <w:color w:val="808080"/>
          <w:spacing w:val="-8"/>
        </w:rPr>
        <w:t> </w:t>
      </w:r>
      <w:r>
        <w:rPr>
          <w:color w:val="808080"/>
        </w:rPr>
        <w:t>a</w:t>
      </w:r>
      <w:r>
        <w:rPr>
          <w:color w:val="808080"/>
          <w:spacing w:val="-11"/>
        </w:rPr>
        <w:t> </w:t>
      </w:r>
      <w:r>
        <w:rPr>
          <w:color w:val="808080"/>
        </w:rPr>
        <w:t>tyto situace</w:t>
      </w:r>
      <w:r>
        <w:rPr>
          <w:color w:val="808080"/>
          <w:spacing w:val="-12"/>
        </w:rPr>
        <w:t> </w:t>
      </w:r>
      <w:r>
        <w:rPr>
          <w:color w:val="808080"/>
        </w:rPr>
        <w:t>mohou</w:t>
      </w:r>
      <w:r>
        <w:rPr>
          <w:color w:val="808080"/>
          <w:spacing w:val="-7"/>
        </w:rPr>
        <w:t> </w:t>
      </w:r>
      <w:r>
        <w:rPr>
          <w:color w:val="808080"/>
        </w:rPr>
        <w:t>být</w:t>
      </w:r>
      <w:r>
        <w:rPr>
          <w:color w:val="808080"/>
          <w:spacing w:val="-6"/>
        </w:rPr>
        <w:t> </w:t>
      </w:r>
      <w:r>
        <w:rPr>
          <w:color w:val="808080"/>
        </w:rPr>
        <w:t>programátorům</w:t>
      </w:r>
      <w:r>
        <w:rPr>
          <w:color w:val="808080"/>
          <w:spacing w:val="-9"/>
        </w:rPr>
        <w:t> </w:t>
      </w:r>
      <w:r>
        <w:rPr>
          <w:color w:val="808080"/>
        </w:rPr>
        <w:t>vráceny</w:t>
      </w:r>
      <w:r>
        <w:rPr>
          <w:color w:val="808080"/>
          <w:spacing w:val="-8"/>
        </w:rPr>
        <w:t> </w:t>
      </w:r>
      <w:r>
        <w:rPr>
          <w:color w:val="808080"/>
        </w:rPr>
        <w:t>k</w:t>
      </w:r>
      <w:r>
        <w:rPr>
          <w:color w:val="808080"/>
          <w:spacing w:val="-4"/>
        </w:rPr>
        <w:t> </w:t>
      </w:r>
      <w:r>
        <w:rPr>
          <w:color w:val="808080"/>
        </w:rPr>
        <w:t>dořešení</w:t>
      </w:r>
      <w:r>
        <w:rPr>
          <w:color w:val="808080"/>
          <w:spacing w:val="-7"/>
        </w:rPr>
        <w:t> </w:t>
      </w:r>
      <w:r>
        <w:rPr>
          <w:color w:val="808080"/>
        </w:rPr>
        <w:t>ve</w:t>
      </w:r>
      <w:r>
        <w:rPr>
          <w:color w:val="808080"/>
          <w:spacing w:val="-9"/>
        </w:rPr>
        <w:t> </w:t>
      </w:r>
      <w:r>
        <w:rPr>
          <w:color w:val="808080"/>
        </w:rPr>
        <w:t>vztahu</w:t>
      </w:r>
      <w:r>
        <w:rPr>
          <w:color w:val="808080"/>
          <w:spacing w:val="-9"/>
        </w:rPr>
        <w:t> </w:t>
      </w:r>
      <w:r>
        <w:rPr>
          <w:color w:val="808080"/>
        </w:rPr>
        <w:t>řádného</w:t>
      </w:r>
      <w:r>
        <w:rPr>
          <w:color w:val="808080"/>
          <w:spacing w:val="-10"/>
        </w:rPr>
        <w:t> </w:t>
      </w:r>
      <w:r>
        <w:rPr>
          <w:color w:val="808080"/>
        </w:rPr>
        <w:t>konkrétního</w:t>
      </w:r>
      <w:r>
        <w:rPr>
          <w:color w:val="808080"/>
          <w:spacing w:val="-9"/>
        </w:rPr>
        <w:t> </w:t>
      </w:r>
      <w:r>
        <w:rPr>
          <w:color w:val="808080"/>
        </w:rPr>
        <w:t>logování</w:t>
      </w:r>
      <w:r>
        <w:rPr>
          <w:color w:val="808080"/>
          <w:spacing w:val="-8"/>
        </w:rPr>
        <w:t> </w:t>
      </w:r>
      <w:r>
        <w:rPr>
          <w:color w:val="808080"/>
          <w:spacing w:val="-2"/>
        </w:rPr>
        <w:t>chyby.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2"/>
        </w:numPr>
        <w:tabs>
          <w:tab w:pos="894" w:val="left" w:leader="none"/>
        </w:tabs>
        <w:spacing w:line="240" w:lineRule="auto" w:before="1" w:after="0"/>
        <w:ind w:left="893" w:right="0" w:hanging="361"/>
        <w:jc w:val="left"/>
      </w:pPr>
      <w:r>
        <w:rPr>
          <w:color w:val="808080"/>
          <w:spacing w:val="-2"/>
        </w:rPr>
        <w:t>DevOps</w:t>
      </w:r>
    </w:p>
    <w:p>
      <w:pPr>
        <w:pStyle w:val="BodyText"/>
        <w:spacing w:before="16"/>
        <w:ind w:left="172"/>
      </w:pPr>
      <w:r>
        <w:rPr>
          <w:color w:val="808080"/>
        </w:rPr>
        <w:t>V</w:t>
      </w:r>
      <w:r>
        <w:rPr>
          <w:color w:val="808080"/>
          <w:spacing w:val="-3"/>
        </w:rPr>
        <w:t> </w:t>
      </w:r>
      <w:r>
        <w:rPr>
          <w:color w:val="808080"/>
        </w:rPr>
        <w:t>kontextu</w:t>
      </w:r>
      <w:r>
        <w:rPr>
          <w:color w:val="808080"/>
          <w:spacing w:val="-5"/>
        </w:rPr>
        <w:t> </w:t>
      </w:r>
      <w:r>
        <w:rPr>
          <w:color w:val="808080"/>
        </w:rPr>
        <w:t>filosofie</w:t>
      </w:r>
      <w:r>
        <w:rPr>
          <w:color w:val="808080"/>
          <w:spacing w:val="-5"/>
        </w:rPr>
        <w:t> </w:t>
      </w:r>
      <w:r>
        <w:rPr>
          <w:color w:val="808080"/>
        </w:rPr>
        <w:t>DevOps</w:t>
      </w:r>
      <w:r>
        <w:rPr>
          <w:color w:val="808080"/>
          <w:spacing w:val="-5"/>
        </w:rPr>
        <w:t> </w:t>
      </w:r>
      <w:r>
        <w:rPr>
          <w:color w:val="808080"/>
        </w:rPr>
        <w:t>jsou</w:t>
      </w:r>
      <w:r>
        <w:rPr>
          <w:color w:val="808080"/>
          <w:spacing w:val="-5"/>
        </w:rPr>
        <w:t> </w:t>
      </w:r>
      <w:r>
        <w:rPr>
          <w:color w:val="808080"/>
        </w:rPr>
        <w:t>všichni</w:t>
      </w:r>
      <w:r>
        <w:rPr>
          <w:color w:val="808080"/>
          <w:spacing w:val="-3"/>
        </w:rPr>
        <w:t> </w:t>
      </w:r>
      <w:r>
        <w:rPr>
          <w:color w:val="808080"/>
        </w:rPr>
        <w:t>členové</w:t>
      </w:r>
      <w:r>
        <w:rPr>
          <w:color w:val="808080"/>
          <w:spacing w:val="-5"/>
        </w:rPr>
        <w:t> </w:t>
      </w:r>
      <w:r>
        <w:rPr>
          <w:color w:val="808080"/>
        </w:rPr>
        <w:t>vývoje</w:t>
      </w:r>
      <w:r>
        <w:rPr>
          <w:color w:val="808080"/>
          <w:spacing w:val="-5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provozu</w:t>
      </w:r>
      <w:r>
        <w:rPr>
          <w:color w:val="808080"/>
          <w:spacing w:val="-5"/>
        </w:rPr>
        <w:t> </w:t>
      </w:r>
      <w:r>
        <w:rPr>
          <w:color w:val="808080"/>
        </w:rPr>
        <w:t>zodpovědní</w:t>
      </w:r>
      <w:r>
        <w:rPr>
          <w:color w:val="808080"/>
          <w:spacing w:val="-4"/>
        </w:rPr>
        <w:t> </w:t>
      </w:r>
      <w:r>
        <w:rPr>
          <w:color w:val="808080"/>
        </w:rPr>
        <w:t>za</w:t>
      </w:r>
      <w:r>
        <w:rPr>
          <w:color w:val="808080"/>
          <w:spacing w:val="-5"/>
        </w:rPr>
        <w:t> </w:t>
      </w:r>
      <w:r>
        <w:rPr>
          <w:color w:val="808080"/>
        </w:rPr>
        <w:t>plynulou</w:t>
      </w:r>
      <w:r>
        <w:rPr>
          <w:color w:val="808080"/>
          <w:spacing w:val="-3"/>
        </w:rPr>
        <w:t> </w:t>
      </w:r>
      <w:r>
        <w:rPr>
          <w:color w:val="808080"/>
        </w:rPr>
        <w:t>kontinuální integraci a nasazování.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"/>
        </w:numPr>
        <w:tabs>
          <w:tab w:pos="894" w:val="left" w:leader="none"/>
        </w:tabs>
        <w:spacing w:line="240" w:lineRule="auto" w:before="0" w:after="0"/>
        <w:ind w:left="893" w:right="0" w:hanging="361"/>
        <w:jc w:val="left"/>
      </w:pPr>
      <w:r>
        <w:rPr>
          <w:color w:val="808080"/>
          <w:spacing w:val="-2"/>
        </w:rPr>
        <w:t>Dokumentace</w:t>
      </w:r>
    </w:p>
    <w:p>
      <w:pPr>
        <w:pStyle w:val="BodyText"/>
        <w:spacing w:before="16"/>
        <w:ind w:left="172"/>
      </w:pPr>
      <w:r>
        <w:rPr>
          <w:color w:val="808080"/>
        </w:rPr>
        <w:t>Programátorskou</w:t>
      </w:r>
      <w:r>
        <w:rPr>
          <w:color w:val="808080"/>
          <w:spacing w:val="-8"/>
        </w:rPr>
        <w:t> </w:t>
      </w:r>
      <w:r>
        <w:rPr>
          <w:color w:val="808080"/>
        </w:rPr>
        <w:t>dokumentací</w:t>
      </w:r>
      <w:r>
        <w:rPr>
          <w:color w:val="808080"/>
          <w:spacing w:val="-8"/>
        </w:rPr>
        <w:t> </w:t>
      </w:r>
      <w:r>
        <w:rPr>
          <w:color w:val="808080"/>
        </w:rPr>
        <w:t>se</w:t>
      </w:r>
      <w:r>
        <w:rPr>
          <w:color w:val="808080"/>
          <w:spacing w:val="-9"/>
        </w:rPr>
        <w:t> </w:t>
      </w:r>
      <w:r>
        <w:rPr>
          <w:color w:val="808080"/>
          <w:spacing w:val="-2"/>
        </w:rPr>
        <w:t>rozumí: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52" w:lineRule="exact" w:before="1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Zdrojový</w:t>
      </w:r>
      <w:r>
        <w:rPr>
          <w:color w:val="808080"/>
          <w:spacing w:val="-14"/>
          <w:sz w:val="22"/>
        </w:rPr>
        <w:t> </w:t>
      </w:r>
      <w:r>
        <w:rPr>
          <w:color w:val="808080"/>
          <w:sz w:val="22"/>
        </w:rPr>
        <w:t>kód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samotný</w:t>
      </w:r>
      <w:r>
        <w:rPr>
          <w:color w:val="808080"/>
          <w:spacing w:val="-15"/>
          <w:sz w:val="22"/>
        </w:rPr>
        <w:t> </w:t>
      </w:r>
      <w:r>
        <w:rPr>
          <w:color w:val="808080"/>
          <w:sz w:val="22"/>
        </w:rPr>
        <w:t>(relevantní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názvy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tříd,</w:t>
      </w:r>
      <w:r>
        <w:rPr>
          <w:color w:val="808080"/>
          <w:spacing w:val="-11"/>
          <w:sz w:val="22"/>
        </w:rPr>
        <w:t> </w:t>
      </w:r>
      <w:r>
        <w:rPr>
          <w:color w:val="808080"/>
          <w:sz w:val="22"/>
        </w:rPr>
        <w:t>metod.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proměnných,</w:t>
      </w:r>
      <w:r>
        <w:rPr>
          <w:color w:val="808080"/>
          <w:spacing w:val="-12"/>
          <w:sz w:val="22"/>
        </w:rPr>
        <w:t> </w:t>
      </w:r>
      <w:r>
        <w:rPr>
          <w:color w:val="808080"/>
          <w:sz w:val="22"/>
        </w:rPr>
        <w:t>faktor</w:t>
      </w:r>
      <w:r>
        <w:rPr>
          <w:color w:val="808080"/>
          <w:spacing w:val="-10"/>
          <w:sz w:val="22"/>
        </w:rPr>
        <w:t> </w:t>
      </w:r>
      <w:r>
        <w:rPr>
          <w:color w:val="808080"/>
          <w:sz w:val="22"/>
        </w:rPr>
        <w:t>složitosti</w:t>
      </w:r>
      <w:r>
        <w:rPr>
          <w:color w:val="808080"/>
          <w:spacing w:val="-13"/>
          <w:sz w:val="22"/>
        </w:rPr>
        <w:t> </w:t>
      </w:r>
      <w:r>
        <w:rPr>
          <w:color w:val="808080"/>
          <w:sz w:val="22"/>
        </w:rPr>
        <w:t>metody,</w:t>
      </w:r>
      <w:r>
        <w:rPr>
          <w:color w:val="808080"/>
          <w:spacing w:val="-12"/>
          <w:sz w:val="22"/>
        </w:rPr>
        <w:t> </w:t>
      </w:r>
      <w:r>
        <w:rPr>
          <w:color w:val="808080"/>
          <w:spacing w:val="-2"/>
          <w:sz w:val="22"/>
        </w:rPr>
        <w:t>atd.)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52" w:lineRule="exact" w:before="0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Asociovaný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ticket</w:t>
      </w:r>
      <w:r>
        <w:rPr>
          <w:color w:val="808080"/>
          <w:spacing w:val="-1"/>
          <w:sz w:val="22"/>
        </w:rPr>
        <w:t> </w:t>
      </w:r>
      <w:r>
        <w:rPr>
          <w:color w:val="808080"/>
          <w:sz w:val="22"/>
        </w:rPr>
        <w:t>s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GIT</w:t>
      </w:r>
      <w:r>
        <w:rPr>
          <w:color w:val="808080"/>
          <w:spacing w:val="-6"/>
          <w:sz w:val="22"/>
        </w:rPr>
        <w:t> </w:t>
      </w:r>
      <w:r>
        <w:rPr>
          <w:color w:val="808080"/>
          <w:spacing w:val="-2"/>
          <w:sz w:val="22"/>
        </w:rPr>
        <w:t>commitem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52" w:lineRule="exact" w:before="2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Unit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testy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(okomentované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použití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části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aplikace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včetně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chybových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stavů)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52" w:lineRule="exact" w:before="0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Swagger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API</w:t>
      </w:r>
      <w:r>
        <w:rPr>
          <w:color w:val="808080"/>
          <w:spacing w:val="-2"/>
          <w:sz w:val="22"/>
        </w:rPr>
        <w:t> dokumentace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52" w:lineRule="exact" w:before="0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Komentáře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uvnitř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metod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napomáhající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pochopení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činnosti</w:t>
      </w:r>
      <w:r>
        <w:rPr>
          <w:color w:val="808080"/>
          <w:spacing w:val="-9"/>
          <w:sz w:val="22"/>
        </w:rPr>
        <w:t> </w:t>
      </w:r>
      <w:r>
        <w:rPr>
          <w:color w:val="808080"/>
          <w:spacing w:val="-2"/>
          <w:sz w:val="22"/>
        </w:rPr>
        <w:t>metody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52" w:lineRule="exact" w:before="1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Podrobný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popis</w:t>
      </w:r>
      <w:r>
        <w:rPr>
          <w:color w:val="808080"/>
          <w:spacing w:val="-9"/>
          <w:sz w:val="22"/>
        </w:rPr>
        <w:t> </w:t>
      </w:r>
      <w:r>
        <w:rPr>
          <w:color w:val="808080"/>
          <w:sz w:val="22"/>
        </w:rPr>
        <w:t>konfiguračních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parametrů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vč.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jejich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formátu,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použitých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certifikátů,</w:t>
      </w:r>
      <w:r>
        <w:rPr>
          <w:color w:val="808080"/>
          <w:spacing w:val="-7"/>
          <w:sz w:val="22"/>
        </w:rPr>
        <w:t> </w:t>
      </w:r>
      <w:r>
        <w:rPr>
          <w:color w:val="808080"/>
          <w:spacing w:val="-2"/>
          <w:sz w:val="22"/>
        </w:rPr>
        <w:t>apod.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252" w:lineRule="exact" w:before="0" w:after="0"/>
        <w:ind w:left="893" w:right="0" w:hanging="361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Popis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vazeb</w:t>
      </w:r>
      <w:r>
        <w:rPr>
          <w:color w:val="808080"/>
          <w:spacing w:val="-6"/>
          <w:sz w:val="22"/>
        </w:rPr>
        <w:t> </w:t>
      </w:r>
      <w:r>
        <w:rPr>
          <w:color w:val="808080"/>
          <w:sz w:val="22"/>
        </w:rPr>
        <w:t>mezi</w:t>
      </w:r>
      <w:r>
        <w:rPr>
          <w:color w:val="808080"/>
          <w:spacing w:val="-7"/>
          <w:sz w:val="22"/>
        </w:rPr>
        <w:t> </w:t>
      </w:r>
      <w:r>
        <w:rPr>
          <w:color w:val="808080"/>
          <w:sz w:val="22"/>
        </w:rPr>
        <w:t>jednotlivými</w:t>
      </w:r>
      <w:r>
        <w:rPr>
          <w:color w:val="808080"/>
          <w:spacing w:val="-4"/>
          <w:sz w:val="22"/>
        </w:rPr>
        <w:t> </w:t>
      </w:r>
      <w:r>
        <w:rPr>
          <w:color w:val="808080"/>
          <w:spacing w:val="-2"/>
          <w:sz w:val="22"/>
        </w:rPr>
        <w:t>komponentami</w:t>
      </w:r>
    </w:p>
    <w:p>
      <w:pPr>
        <w:pStyle w:val="ListParagraph"/>
        <w:numPr>
          <w:ilvl w:val="3"/>
          <w:numId w:val="2"/>
        </w:numPr>
        <w:tabs>
          <w:tab w:pos="893" w:val="left" w:leader="none"/>
          <w:tab w:pos="894" w:val="left" w:leader="none"/>
        </w:tabs>
        <w:spacing w:line="465" w:lineRule="auto" w:before="2" w:after="0"/>
        <w:ind w:left="172" w:right="1727" w:firstLine="360"/>
        <w:jc w:val="left"/>
        <w:rPr>
          <w:rFonts w:ascii="Symbol" w:hAnsi="Symbol"/>
          <w:color w:val="808080"/>
          <w:sz w:val="20"/>
        </w:rPr>
      </w:pPr>
      <w:r>
        <w:rPr>
          <w:color w:val="808080"/>
          <w:sz w:val="22"/>
        </w:rPr>
        <w:t>Seznam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chybových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kódů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jejich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význam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(např.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v</w:t>
      </w:r>
      <w:r>
        <w:rPr>
          <w:color w:val="808080"/>
          <w:spacing w:val="-2"/>
          <w:sz w:val="22"/>
        </w:rPr>
        <w:t> </w:t>
      </w:r>
      <w:r>
        <w:rPr>
          <w:color w:val="808080"/>
          <w:sz w:val="22"/>
        </w:rPr>
        <w:t>případě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custom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exceptions) Programátorská dokumentace se vytváří kontinuálně a je povinnou součástí d</w:t>
      </w:r>
    </w:p>
    <w:sectPr>
      <w:pgSz w:w="11910" w:h="16840"/>
      <w:pgMar w:header="649" w:footer="756" w:top="2000" w:bottom="940" w:left="9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rebuchet MS">
    <w:altName w:val="Trebuchet MS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73999pt;margin-top:793.105957pt;width:11.1pt;height:10.050pt;mso-position-horizontal-relative:page;mso-position-vertical-relative:page;z-index:-15980544" type="#_x0000_t202" id="docshape1" filled="false" stroked="false">
          <v:textbox inset="0,0,0,0">
            <w:txbxContent>
              <w:p>
                <w:pPr>
                  <w:spacing w:line="184" w:lineRule="exact" w:before="0"/>
                  <w:ind w:left="6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w w:val="100"/>
                    <w:sz w:val="16"/>
                  </w:rPr>
                  <w:fldChar w:fldCharType="begin"/>
                </w:r>
                <w:r>
                  <w:rPr>
                    <w:rFonts w:ascii="Calibri"/>
                    <w:w w:val="100"/>
                    <w:sz w:val="16"/>
                  </w:rPr>
                  <w:instrText> PAGE </w:instrText>
                </w:r>
                <w:r>
                  <w:rPr>
                    <w:rFonts w:ascii="Calibri"/>
                    <w:w w:val="100"/>
                    <w:sz w:val="16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16"/>
                  </w:rPr>
                  <w:t>1</w:t>
                </w:r>
                <w:r>
                  <w:rPr>
                    <w:rFonts w:ascii="Calibri"/>
                    <w:w w:val="10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5424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238" w:hanging="358"/>
      </w:pPr>
      <w:rPr>
        <w:rFonts w:hint="default" w:ascii="Symbol" w:hAnsi="Symbol" w:eastAsia="Symbol" w:cs="Symbol"/>
        <w:b w:val="0"/>
        <w:bCs w:val="0"/>
        <w:i w:val="0"/>
        <w:iCs w:val="0"/>
        <w:color w:val="80808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136" w:hanging="35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33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929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6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23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19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16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413" w:hanging="35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4402" w:hanging="262"/>
        <w:jc w:val="left"/>
      </w:pPr>
      <w:rPr>
        <w:rFonts w:hint="default" w:ascii="Arial" w:hAnsi="Arial" w:eastAsia="Arial" w:cs="Arial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39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893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"/>
      <w:lvlJc w:val="left"/>
      <w:pPr>
        <w:ind w:left="893" w:hanging="360"/>
      </w:pPr>
      <w:rPr>
        <w:rFonts w:hint="default" w:ascii="Symbol" w:hAnsi="Symbol" w:eastAsia="Symbol" w:cs="Symbol"/>
        <w:w w:val="10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29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58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47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21" w:hanging="432"/>
        <w:jc w:val="left"/>
      </w:pPr>
      <w:rPr>
        <w:rFonts w:hint="default" w:ascii="Arial" w:hAnsi="Arial" w:eastAsia="Arial" w:cs="Arial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39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87" w:hanging="432"/>
        <w:jc w:val="right"/>
      </w:pPr>
      <w:rPr>
        <w:rFonts w:hint="default" w:ascii="Arial" w:hAnsi="Arial" w:eastAsia="Arial" w:cs="Arial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739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8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313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93" w:hanging="361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93" w:hanging="361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aktury@nakit.cz" TargetMode="External"/><Relationship Id="rId8" Type="http://schemas.openxmlformats.org/officeDocument/2006/relationships/hyperlink" Target="mailto:rudolf.stekl@nakit.cz" TargetMode="External"/><Relationship Id="rId9" Type="http://schemas.openxmlformats.org/officeDocument/2006/relationships/hyperlink" Target="mailto:tomas.fasko@autocont.cz" TargetMode="External"/><Relationship Id="rId10" Type="http://schemas.openxmlformats.org/officeDocument/2006/relationships/image" Target="media/image2.jpeg"/><Relationship Id="rId11" Type="http://schemas.openxmlformats.org/officeDocument/2006/relationships/hyperlink" Target="https://www.atlassian.com/git/tutorials/comparing-workflows/gitflow-workflow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2023-03-28T11:14:28Z</dcterms:created>
  <dcterms:modified xsi:type="dcterms:W3CDTF">2023-03-28T11:14:28Z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2023-03-28T00:00:00Z</vt:filetime>
  </property>
  <property fmtid="{D5CDD505-2E9C-101B-9397-08002B2CF9AE}" pid="5" name="MSIP_Label_82a99ebc-0f39-4fac-abab-b8d6469272ed_ActionId">
    <vt:lpwstr>44293119-5adf-4f29-8a88-4d560f5d308f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2023-03-13T18:33:18Z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MSIP_Label_9cc168b4-0267-4bd6-8e85-481e0b7f64cb_ActionId">
    <vt:lpwstr>06b0bcbe-3c2a-4892-b1c5-94992d931392</vt:lpwstr>
  </property>
  <property fmtid="{D5CDD505-2E9C-101B-9397-08002B2CF9AE}" pid="13" name="MSIP_Label_9cc168b4-0267-4bd6-8e85-481e0b7f64cb_ContentBits">
    <vt:lpwstr>0</vt:lpwstr>
  </property>
  <property fmtid="{D5CDD505-2E9C-101B-9397-08002B2CF9AE}" pid="14" name="MSIP_Label_9cc168b4-0267-4bd6-8e85-481e0b7f64cb_Enabled">
    <vt:lpwstr>true</vt:lpwstr>
  </property>
  <property fmtid="{D5CDD505-2E9C-101B-9397-08002B2CF9AE}" pid="15" name="MSIP_Label_9cc168b4-0267-4bd6-8e85-481e0b7f64cb_Method">
    <vt:lpwstr>Standard</vt:lpwstr>
  </property>
  <property fmtid="{D5CDD505-2E9C-101B-9397-08002B2CF9AE}" pid="16" name="MSIP_Label_9cc168b4-0267-4bd6-8e85-481e0b7f64cb_Name">
    <vt:lpwstr>POC_interni</vt:lpwstr>
  </property>
  <property fmtid="{D5CDD505-2E9C-101B-9397-08002B2CF9AE}" pid="17" name="MSIP_Label_9cc168b4-0267-4bd6-8e85-481e0b7f64cb_SetDate">
    <vt:lpwstr>2023-02-27T09:21:11Z</vt:lpwstr>
  </property>
  <property fmtid="{D5CDD505-2E9C-101B-9397-08002B2CF9AE}" pid="18" name="MSIP_Label_9cc168b4-0267-4bd6-8e85-481e0b7f64cb_SiteId">
    <vt:lpwstr>1db41d6f-1f37-46db-bd3e-c483abb8105d</vt:lpwstr>
  </property>
  <property fmtid="{D5CDD505-2E9C-101B-9397-08002B2CF9AE}" pid="19" name="Producer">
    <vt:lpwstr>Microsoft® Word pro Microsoft 365</vt:lpwstr>
  </property>
</Properties>
</file>