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854"/>
        <w:gridCol w:w="878"/>
        <w:gridCol w:w="806"/>
        <w:gridCol w:w="691"/>
        <w:gridCol w:w="854"/>
      </w:tblGrid>
      <w:tr w:rsidR="00F6614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Zkladntext210ptTun"/>
              </w:rPr>
              <w:t>CENY ZA SVOZ ODPADU - PODNIKATELSKÉ SUBJEKTY ROČNÍ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Zkladntext21"/>
              </w:rPr>
              <w:t>PLATNÉ OD 1. 7. 2022 Četnost svozu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Druh nádoby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Tun"/>
              </w:rPr>
              <w:t xml:space="preserve">x </w:t>
            </w:r>
            <w:r>
              <w:rPr>
                <w:rStyle w:val="Zkladntext21"/>
              </w:rPr>
              <w:t>týdně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2 x týdně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lx 14 dní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Tun"/>
              </w:rPr>
              <w:t>5 x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Zkladntext21"/>
              </w:rPr>
              <w:t>týdně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Tun"/>
              </w:rPr>
              <w:t>lx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měsíčně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Popelnice </w:t>
            </w:r>
            <w:r>
              <w:rPr>
                <w:rStyle w:val="Zkladntext2Tun"/>
              </w:rPr>
              <w:t>120 1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2 398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4 794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1 198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599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Popelnice </w:t>
            </w:r>
            <w:r>
              <w:rPr>
                <w:rStyle w:val="Zkladntext2Tun"/>
              </w:rPr>
              <w:t>240 1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4 794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9 589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2 398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1 198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Kontejner </w:t>
            </w:r>
            <w:r>
              <w:rPr>
                <w:rStyle w:val="Zkladntext2Tun"/>
              </w:rPr>
              <w:t>1100 1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rPr>
                <w:rStyle w:val="Zkladntext21"/>
              </w:rPr>
              <w:t>20</w:t>
            </w:r>
            <w:r>
              <w:rPr>
                <w:rStyle w:val="Zkladntext21"/>
              </w:rPr>
              <w:t xml:space="preserve"> 879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Zkladntext21"/>
              </w:rPr>
              <w:t>41 759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10 440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5 220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Velkoobjemový kontejner 5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rPr>
                <w:rStyle w:val="Zkladntext21"/>
              </w:rPr>
              <w:t>92 859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Zkladntext21"/>
              </w:rPr>
              <w:t>185 718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46 430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rPr>
                <w:rStyle w:val="Zkladntext21"/>
              </w:rPr>
              <w:t>23 215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Kontejner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PAPÍR 1100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7 992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Zkladntext21"/>
              </w:rPr>
              <w:t>15 983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3 996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1999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Kontejner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PLAST 1100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8 936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Zkladntext21"/>
              </w:rPr>
              <w:t>17 873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4 469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2 234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Kontejner na separovaný </w:t>
            </w:r>
            <w:r>
              <w:rPr>
                <w:rStyle w:val="Zkladntext21"/>
              </w:rPr>
              <w:t>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SKLO 1100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6 875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Zkladntext21"/>
              </w:rPr>
              <w:t>13 750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3 438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1719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Popelnice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PAPÍR 120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3 331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1665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834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Popelnice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PLAST 120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3 700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1850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926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Popelnice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SKLO 120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2 864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1432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717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Popelnice na separovaný </w:t>
            </w:r>
            <w:r>
              <w:rPr>
                <w:rStyle w:val="Zkladntext21"/>
              </w:rPr>
              <w:t>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PAPÍR 240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6 662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3 331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1665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Popelnice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PLAST 240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7 399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3 701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1853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Popelnice na separovaný odpad</w:t>
            </w:r>
          </w:p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Tun"/>
              </w:rPr>
              <w:t>SKLO 240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5 729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Zkladntext21"/>
              </w:rPr>
              <w:t>2 864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1432</w:t>
            </w:r>
          </w:p>
        </w:tc>
      </w:tr>
      <w:tr w:rsidR="00F661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Odpadkový koš </w:t>
            </w:r>
            <w:r>
              <w:rPr>
                <w:rStyle w:val="Zkladntext2Tun"/>
              </w:rPr>
              <w:t>50 1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right="220"/>
              <w:jc w:val="right"/>
            </w:pPr>
            <w:r>
              <w:rPr>
                <w:rStyle w:val="Zkladntext21"/>
              </w:rPr>
              <w:t>1 237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Zkladntext210ptTu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Zkladntext21"/>
              </w:rPr>
              <w:t>6 187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46" w:rsidRDefault="00207E7F">
            <w:pPr>
              <w:pStyle w:val="Zkladntext20"/>
              <w:framePr w:w="7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-</w:t>
            </w:r>
          </w:p>
        </w:tc>
      </w:tr>
    </w:tbl>
    <w:p w:rsidR="00F66146" w:rsidRDefault="00207E7F">
      <w:pPr>
        <w:pStyle w:val="Titulektabulky0"/>
        <w:framePr w:w="7027" w:wrap="notBeside" w:vAnchor="text" w:hAnchor="text" w:xAlign="center" w:y="1"/>
        <w:shd w:val="clear" w:color="auto" w:fill="auto"/>
      </w:pPr>
      <w:r>
        <w:t>Pronájem velkoobjemového kontejneru s nepravidelným</w:t>
      </w:r>
      <w:r>
        <w:t xml:space="preserve"> vývozem 2.900,- Kč/ měsíc</w:t>
      </w:r>
    </w:p>
    <w:p w:rsidR="00F66146" w:rsidRDefault="00F66146">
      <w:pPr>
        <w:framePr w:w="7027" w:wrap="notBeside" w:vAnchor="text" w:hAnchor="text" w:xAlign="center" w:y="1"/>
        <w:rPr>
          <w:sz w:val="2"/>
          <w:szCs w:val="2"/>
        </w:rPr>
      </w:pPr>
    </w:p>
    <w:p w:rsidR="00F66146" w:rsidRDefault="00F66146">
      <w:pPr>
        <w:rPr>
          <w:sz w:val="2"/>
          <w:szCs w:val="2"/>
        </w:rPr>
      </w:pPr>
    </w:p>
    <w:p w:rsidR="00F66146" w:rsidRDefault="00207E7F">
      <w:pPr>
        <w:pStyle w:val="Zkladntext20"/>
        <w:shd w:val="clear" w:color="auto" w:fill="auto"/>
        <w:spacing w:before="124"/>
      </w:pPr>
      <w:r>
        <w:t xml:space="preserve">K uvedným cenám se připočítává </w:t>
      </w:r>
      <w:r>
        <w:rPr>
          <w:rStyle w:val="Zkladntext2Tun0"/>
          <w:lang w:val="cs-CZ" w:eastAsia="cs-CZ" w:bidi="cs-CZ"/>
        </w:rPr>
        <w:t>DPH ve výši 21 %</w:t>
      </w:r>
    </w:p>
    <w:p w:rsidR="00F66146" w:rsidRDefault="00207E7F">
      <w:pPr>
        <w:pStyle w:val="Zkladntext20"/>
        <w:shd w:val="clear" w:color="auto" w:fill="auto"/>
        <w:spacing w:before="0" w:line="235" w:lineRule="exact"/>
      </w:pPr>
      <w:r>
        <w:t>Schválil:</w:t>
      </w:r>
    </w:p>
    <w:p w:rsidR="00F66146" w:rsidRDefault="00207E7F">
      <w:pPr>
        <w:pStyle w:val="Zkladntext20"/>
        <w:shd w:val="clear" w:color="auto" w:fill="auto"/>
        <w:spacing w:before="0" w:line="235" w:lineRule="exact"/>
        <w:ind w:right="2220"/>
      </w:pPr>
      <w:r>
        <w:t>Tomáš Najvar, jednatel společnosti Sotes Sokolov spol. s r.o. Chebská 1939, 356 01 Sokolov</w:t>
      </w:r>
      <w:bookmarkStart w:id="0" w:name="_GoBack"/>
      <w:bookmarkEnd w:id="0"/>
    </w:p>
    <w:sectPr w:rsidR="00F66146">
      <w:pgSz w:w="11900" w:h="16840"/>
      <w:pgMar w:top="1492" w:right="1128" w:bottom="1492" w:left="3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7F" w:rsidRDefault="00207E7F">
      <w:r>
        <w:separator/>
      </w:r>
    </w:p>
  </w:endnote>
  <w:endnote w:type="continuationSeparator" w:id="0">
    <w:p w:rsidR="00207E7F" w:rsidRDefault="002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7F" w:rsidRDefault="00207E7F"/>
  </w:footnote>
  <w:footnote w:type="continuationSeparator" w:id="0">
    <w:p w:rsidR="00207E7F" w:rsidRDefault="00207E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6146"/>
    <w:rsid w:val="00207E7F"/>
    <w:rsid w:val="00996099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38C8-CD74-40A1-8DA6-D2ACBFC0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0" w:line="208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Květuše</dc:creator>
  <cp:lastModifiedBy>Zatloukalová Květuše</cp:lastModifiedBy>
  <cp:revision>1</cp:revision>
  <dcterms:created xsi:type="dcterms:W3CDTF">2023-03-28T07:42:00Z</dcterms:created>
  <dcterms:modified xsi:type="dcterms:W3CDTF">2023-03-28T07:43:00Z</dcterms:modified>
</cp:coreProperties>
</file>