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F710" w14:textId="30A42895" w:rsidR="00B7025F" w:rsidRDefault="00B7025F" w:rsidP="00F45C79">
      <w:pPr>
        <w:pStyle w:val="smlouvabodytextbold"/>
        <w:jc w:val="center"/>
        <w:rPr>
          <w:rFonts w:ascii="Calibri" w:hAnsi="Calibri" w:cs="Calibri"/>
          <w:sz w:val="20"/>
          <w:szCs w:val="18"/>
        </w:rPr>
      </w:pPr>
      <w:r w:rsidRPr="009D5B7E">
        <w:rPr>
          <w:rFonts w:ascii="Calibri" w:hAnsi="Calibri" w:cs="Calibri"/>
          <w:sz w:val="20"/>
          <w:szCs w:val="18"/>
        </w:rPr>
        <w:t>Smlouva o poskytování poradenských služeb</w:t>
      </w:r>
    </w:p>
    <w:p w14:paraId="24B5BC7D" w14:textId="0101B351" w:rsidR="00A3469C" w:rsidRPr="00A3469C" w:rsidRDefault="00A3469C" w:rsidP="00A3469C">
      <w:pPr>
        <w:rPr>
          <w:lang w:val="cs-CZ"/>
        </w:rPr>
      </w:pPr>
      <w:r>
        <w:rPr>
          <w:lang w:val="cs-CZ"/>
        </w:rPr>
        <w:tab/>
      </w:r>
      <w:r>
        <w:rPr>
          <w:lang w:val="cs-CZ"/>
        </w:rPr>
        <w:tab/>
      </w:r>
      <w:r>
        <w:rPr>
          <w:lang w:val="cs-CZ"/>
        </w:rPr>
        <w:tab/>
      </w:r>
      <w:r>
        <w:rPr>
          <w:lang w:val="cs-CZ"/>
        </w:rPr>
        <w:tab/>
      </w:r>
      <w:r>
        <w:rPr>
          <w:lang w:val="cs-CZ"/>
        </w:rPr>
        <w:tab/>
        <w:t>MUZ/00066/2023</w:t>
      </w:r>
    </w:p>
    <w:p w14:paraId="5F87E7FE" w14:textId="77777777" w:rsidR="00B7025F" w:rsidRPr="009D5B7E" w:rsidRDefault="00B7025F" w:rsidP="00F45C79">
      <w:pPr>
        <w:pStyle w:val="smlouvabodytext"/>
        <w:spacing w:after="120"/>
        <w:jc w:val="center"/>
        <w:rPr>
          <w:rFonts w:ascii="Calibri" w:hAnsi="Calibri" w:cs="Calibri"/>
          <w:sz w:val="20"/>
        </w:rPr>
      </w:pPr>
      <w:r w:rsidRPr="009D5B7E">
        <w:rPr>
          <w:rFonts w:ascii="Calibri" w:hAnsi="Calibri" w:cs="Calibri"/>
          <w:sz w:val="20"/>
        </w:rPr>
        <w:t>uzavřená v souladu s ustanovením § 1746 odst. 2. zák. č. 89/2012 Sb., občanský zákoník, ve znění pozdějších předpisů (dále jen „</w:t>
      </w:r>
      <w:r w:rsidRPr="009D5B7E">
        <w:rPr>
          <w:rFonts w:ascii="Calibri" w:hAnsi="Calibri" w:cs="Calibri"/>
          <w:b/>
          <w:sz w:val="20"/>
        </w:rPr>
        <w:t>občanský zákoník</w:t>
      </w:r>
      <w:r w:rsidRPr="009D5B7E">
        <w:rPr>
          <w:rFonts w:ascii="Calibri" w:hAnsi="Calibri" w:cs="Calibri"/>
          <w:sz w:val="20"/>
        </w:rPr>
        <w:t>“)</w:t>
      </w:r>
    </w:p>
    <w:p w14:paraId="7BDBEA8A" w14:textId="77777777" w:rsidR="00B7025F" w:rsidRPr="009D5B7E" w:rsidRDefault="00B7025F" w:rsidP="00B7025F">
      <w:pPr>
        <w:pStyle w:val="smlouvabodytext"/>
        <w:spacing w:after="120"/>
        <w:jc w:val="left"/>
        <w:rPr>
          <w:rFonts w:ascii="Calibri" w:hAnsi="Calibri" w:cs="Calibri"/>
          <w:sz w:val="20"/>
        </w:rPr>
      </w:pPr>
    </w:p>
    <w:p w14:paraId="3EC1A638"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mezi </w:t>
      </w:r>
    </w:p>
    <w:p w14:paraId="26129660" w14:textId="77777777" w:rsidR="00B7025F" w:rsidRPr="009D5B7E" w:rsidRDefault="00B7025F" w:rsidP="00B7025F">
      <w:pPr>
        <w:pStyle w:val="smlouvabodytext"/>
        <w:spacing w:after="120"/>
        <w:jc w:val="left"/>
        <w:rPr>
          <w:rFonts w:ascii="Calibri" w:hAnsi="Calibri" w:cs="Calibri"/>
          <w:sz w:val="20"/>
        </w:rPr>
      </w:pPr>
    </w:p>
    <w:p w14:paraId="321FA729" w14:textId="77777777" w:rsidR="00B7025F" w:rsidRPr="009D5B7E" w:rsidRDefault="00B7025F" w:rsidP="00B7025F">
      <w:pPr>
        <w:pStyle w:val="smlouvabodytext"/>
        <w:spacing w:after="120"/>
        <w:jc w:val="left"/>
        <w:rPr>
          <w:rFonts w:ascii="Calibri" w:hAnsi="Calibri" w:cs="Calibri"/>
          <w:b/>
          <w:sz w:val="20"/>
        </w:rPr>
      </w:pPr>
      <w:r w:rsidRPr="009D5B7E">
        <w:rPr>
          <w:rFonts w:ascii="Calibri" w:hAnsi="Calibri" w:cs="Calibri"/>
          <w:sz w:val="20"/>
        </w:rPr>
        <w:t>společností</w:t>
      </w:r>
      <w:r w:rsidRPr="009D5B7E">
        <w:rPr>
          <w:rFonts w:ascii="Calibri" w:hAnsi="Calibri" w:cs="Calibri"/>
          <w:b/>
          <w:sz w:val="20"/>
        </w:rPr>
        <w:t xml:space="preserve"> Deloitte Advisory s.r.o.</w:t>
      </w:r>
    </w:p>
    <w:p w14:paraId="035C91E9" w14:textId="3ADC12DD"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se sídlem </w:t>
      </w:r>
      <w:r w:rsidR="005408F9" w:rsidRPr="009D5B7E">
        <w:rPr>
          <w:rFonts w:ascii="Calibri" w:hAnsi="Calibri" w:cs="Calibri"/>
          <w:sz w:val="20"/>
        </w:rPr>
        <w:t>Italská 2581/67, Praha 2, 120 00, Česká republika</w:t>
      </w:r>
      <w:r w:rsidRPr="009D5B7E">
        <w:rPr>
          <w:rFonts w:ascii="Calibri" w:hAnsi="Calibri" w:cs="Calibri"/>
          <w:sz w:val="20"/>
        </w:rPr>
        <w:t>,</w:t>
      </w:r>
    </w:p>
    <w:p w14:paraId="11564C19"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zapsanou v obchodním rejstříku vedeném Městským soudem v Praze, oddíle C, vložce 113225,</w:t>
      </w:r>
    </w:p>
    <w:p w14:paraId="36B21441" w14:textId="77777777" w:rsidR="00B7025F" w:rsidRPr="009D5B7E" w:rsidRDefault="00B7025F" w:rsidP="00B7025F">
      <w:pPr>
        <w:pStyle w:val="smlouvabodytext"/>
        <w:spacing w:after="120"/>
        <w:jc w:val="left"/>
        <w:rPr>
          <w:rFonts w:ascii="Calibri" w:hAnsi="Calibri" w:cs="Calibri"/>
          <w:sz w:val="20"/>
        </w:rPr>
      </w:pPr>
    </w:p>
    <w:p w14:paraId="68BFCBCA" w14:textId="583D2116" w:rsidR="00B7025F" w:rsidRPr="009D5B7E" w:rsidRDefault="00B7025F" w:rsidP="00B7025F">
      <w:pPr>
        <w:pStyle w:val="smlouvabodytext"/>
        <w:spacing w:after="120"/>
        <w:jc w:val="left"/>
        <w:rPr>
          <w:rFonts w:ascii="Calibri" w:hAnsi="Calibri" w:cs="Calibri"/>
          <w:sz w:val="20"/>
        </w:rPr>
      </w:pPr>
      <w:r w:rsidRPr="00F87CCF">
        <w:rPr>
          <w:rFonts w:ascii="Calibri" w:hAnsi="Calibri" w:cs="Calibri"/>
          <w:sz w:val="20"/>
        </w:rPr>
        <w:t>zastoupenou</w:t>
      </w:r>
      <w:r w:rsidR="00F41AD7" w:rsidRPr="00F87CCF">
        <w:rPr>
          <w:rFonts w:ascii="Calibri" w:hAnsi="Calibri" w:cs="Calibri"/>
          <w:sz w:val="20"/>
        </w:rPr>
        <w:t xml:space="preserve"> </w:t>
      </w:r>
      <w:bookmarkStart w:id="0" w:name="Partner1"/>
      <w:bookmarkEnd w:id="0"/>
      <w:r w:rsidR="009F560F" w:rsidRPr="00F87CCF">
        <w:rPr>
          <w:rFonts w:ascii="Calibri" w:hAnsi="Calibri" w:cs="Calibri"/>
          <w:sz w:val="20"/>
        </w:rPr>
        <w:t>Petrem Prunerem</w:t>
      </w:r>
      <w:r w:rsidRPr="00F87CCF">
        <w:rPr>
          <w:rFonts w:ascii="Calibri" w:hAnsi="Calibri" w:cs="Calibri"/>
          <w:sz w:val="20"/>
        </w:rPr>
        <w:t>, na základě plné moci</w:t>
      </w:r>
    </w:p>
    <w:p w14:paraId="20F9FDD8" w14:textId="77777777" w:rsidR="00B7025F" w:rsidRPr="009D5B7E" w:rsidRDefault="00B7025F" w:rsidP="00B7025F">
      <w:pPr>
        <w:pStyle w:val="smlouvabodytext"/>
        <w:spacing w:after="120"/>
        <w:jc w:val="left"/>
        <w:rPr>
          <w:rFonts w:ascii="Calibri" w:hAnsi="Calibri" w:cs="Calibri"/>
          <w:sz w:val="20"/>
        </w:rPr>
      </w:pPr>
    </w:p>
    <w:p w14:paraId="318C0BCE"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IČO: 27582167, DIČ: CZ27582167</w:t>
      </w:r>
    </w:p>
    <w:p w14:paraId="64ADAA7C" w14:textId="3585B98F"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bankovní spojení: ING Bank N.V., Českomoravská 2420/15, 190 00 Praha 9</w:t>
      </w:r>
      <w:r w:rsidR="00F41AD7" w:rsidRPr="009D5B7E">
        <w:rPr>
          <w:rFonts w:ascii="Calibri" w:hAnsi="Calibri" w:cs="Calibri"/>
          <w:sz w:val="20"/>
        </w:rPr>
        <w:t xml:space="preserve"> </w:t>
      </w:r>
    </w:p>
    <w:p w14:paraId="75725047" w14:textId="397286DE"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číslo účtu CZK: 1000037000/3500, IBAN: CZ31 3500 0000 0010 0003 7000 </w:t>
      </w:r>
    </w:p>
    <w:p w14:paraId="3D7EAFF3"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číslo účtu EUR: 1330037003/3500, IBAN: CZ37 3500 0000 0013 3003 7003</w:t>
      </w:r>
    </w:p>
    <w:p w14:paraId="4030D65E" w14:textId="77777777" w:rsidR="00B7025F" w:rsidRPr="009D5B7E" w:rsidRDefault="00B7025F" w:rsidP="00B7025F">
      <w:pPr>
        <w:pStyle w:val="smlouvabodytext"/>
        <w:spacing w:after="120"/>
        <w:jc w:val="left"/>
        <w:rPr>
          <w:rFonts w:ascii="Calibri" w:hAnsi="Calibri" w:cs="Calibri"/>
          <w:sz w:val="20"/>
        </w:rPr>
      </w:pPr>
    </w:p>
    <w:p w14:paraId="2C9CACDD"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(dále jen „</w:t>
      </w:r>
      <w:r w:rsidRPr="009D5B7E">
        <w:rPr>
          <w:rFonts w:ascii="Calibri" w:hAnsi="Calibri" w:cs="Calibri"/>
          <w:b/>
          <w:sz w:val="20"/>
        </w:rPr>
        <w:t>Deloitte</w:t>
      </w:r>
      <w:r w:rsidRPr="009D5B7E">
        <w:rPr>
          <w:rFonts w:ascii="Calibri" w:hAnsi="Calibri" w:cs="Calibri"/>
          <w:sz w:val="20"/>
        </w:rPr>
        <w:t>“)</w:t>
      </w:r>
    </w:p>
    <w:p w14:paraId="11A07686" w14:textId="77777777" w:rsidR="00B7025F" w:rsidRPr="009D5B7E" w:rsidRDefault="00B7025F" w:rsidP="00B7025F">
      <w:pPr>
        <w:pStyle w:val="smlouvabodytext"/>
        <w:spacing w:after="120"/>
        <w:jc w:val="left"/>
        <w:rPr>
          <w:rFonts w:ascii="Calibri" w:hAnsi="Calibri" w:cs="Calibri"/>
          <w:sz w:val="20"/>
        </w:rPr>
      </w:pPr>
    </w:p>
    <w:p w14:paraId="53EFBD28" w14:textId="77777777"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a </w:t>
      </w:r>
    </w:p>
    <w:p w14:paraId="2F389680" w14:textId="77777777" w:rsidR="00B7025F" w:rsidRPr="009D5B7E" w:rsidRDefault="00B7025F" w:rsidP="00B7025F">
      <w:pPr>
        <w:pStyle w:val="smlouvabodytext"/>
        <w:spacing w:after="120"/>
        <w:jc w:val="left"/>
        <w:rPr>
          <w:rFonts w:ascii="Calibri" w:hAnsi="Calibri" w:cs="Calibri"/>
          <w:sz w:val="20"/>
        </w:rPr>
      </w:pPr>
    </w:p>
    <w:p w14:paraId="28F286B7" w14:textId="217CE07C" w:rsidR="00B7025F" w:rsidRPr="009D5B7E" w:rsidRDefault="00A8558A" w:rsidP="00B7025F">
      <w:pPr>
        <w:pStyle w:val="smlouvabodytext"/>
        <w:spacing w:after="120"/>
        <w:jc w:val="left"/>
        <w:rPr>
          <w:rFonts w:ascii="Calibri" w:hAnsi="Calibri" w:cs="Calibri"/>
          <w:b/>
          <w:sz w:val="20"/>
        </w:rPr>
      </w:pPr>
      <w:bookmarkStart w:id="1" w:name="DNazev"/>
      <w:bookmarkEnd w:id="1"/>
      <w:r>
        <w:rPr>
          <w:rFonts w:ascii="Calibri" w:hAnsi="Calibri" w:cs="Calibri"/>
          <w:sz w:val="20"/>
        </w:rPr>
        <w:t xml:space="preserve">příspěvkovou organizací </w:t>
      </w:r>
      <w:bookmarkStart w:id="2" w:name="_Hlk128564724"/>
      <w:r w:rsidRPr="00A8558A">
        <w:rPr>
          <w:rFonts w:ascii="Calibri" w:hAnsi="Calibri" w:cs="Calibri"/>
          <w:b/>
          <w:bCs/>
          <w:sz w:val="20"/>
        </w:rPr>
        <w:t>Muzeum hlavního města Prahy</w:t>
      </w:r>
      <w:bookmarkEnd w:id="2"/>
    </w:p>
    <w:p w14:paraId="7B26E8A1" w14:textId="27B37922"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se sídlem </w:t>
      </w:r>
      <w:bookmarkStart w:id="3" w:name="AdresaKl"/>
      <w:bookmarkEnd w:id="3"/>
      <w:r w:rsidR="00B64DE7">
        <w:rPr>
          <w:rFonts w:ascii="Calibri" w:hAnsi="Calibri" w:cs="Calibri"/>
          <w:sz w:val="20"/>
        </w:rPr>
        <w:t xml:space="preserve">Kožná 475/1, Praha 1 Staré Město, </w:t>
      </w:r>
      <w:r w:rsidR="00745FCC">
        <w:rPr>
          <w:rFonts w:ascii="Calibri" w:hAnsi="Calibri" w:cs="Calibri"/>
          <w:sz w:val="20"/>
        </w:rPr>
        <w:t>110 01</w:t>
      </w:r>
    </w:p>
    <w:p w14:paraId="7A106476" w14:textId="77777777" w:rsidR="00B7025F" w:rsidRPr="009D5B7E" w:rsidRDefault="00B7025F" w:rsidP="00B7025F">
      <w:pPr>
        <w:pStyle w:val="smlouvabodytext"/>
        <w:spacing w:after="120"/>
        <w:jc w:val="left"/>
        <w:rPr>
          <w:rFonts w:ascii="Calibri" w:hAnsi="Calibri" w:cs="Calibri"/>
          <w:sz w:val="20"/>
        </w:rPr>
      </w:pPr>
    </w:p>
    <w:p w14:paraId="61EAF14F" w14:textId="01CDCF7E"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zastoupenou </w:t>
      </w:r>
      <w:r w:rsidR="00FF0073" w:rsidRPr="00FF0073">
        <w:rPr>
          <w:rFonts w:ascii="Calibri" w:hAnsi="Calibri" w:cs="Calibri"/>
          <w:sz w:val="20"/>
        </w:rPr>
        <w:t>RNDr. Ing. Ivo Mac</w:t>
      </w:r>
      <w:r w:rsidR="00FF0073">
        <w:rPr>
          <w:rFonts w:ascii="Calibri" w:hAnsi="Calibri" w:cs="Calibri"/>
          <w:sz w:val="20"/>
        </w:rPr>
        <w:t>kem</w:t>
      </w:r>
      <w:r w:rsidR="00C8093A">
        <w:rPr>
          <w:rFonts w:ascii="Calibri" w:hAnsi="Calibri" w:cs="Calibri"/>
          <w:sz w:val="20"/>
        </w:rPr>
        <w:t>, ředitelem</w:t>
      </w:r>
    </w:p>
    <w:p w14:paraId="0D385A04" w14:textId="77777777" w:rsidR="00B7025F" w:rsidRPr="009D5B7E" w:rsidRDefault="00B7025F" w:rsidP="00B7025F">
      <w:pPr>
        <w:pStyle w:val="smlouvabodytext"/>
        <w:spacing w:after="120"/>
        <w:jc w:val="left"/>
        <w:rPr>
          <w:rFonts w:ascii="Calibri" w:hAnsi="Calibri" w:cs="Calibri"/>
          <w:sz w:val="20"/>
        </w:rPr>
      </w:pPr>
    </w:p>
    <w:p w14:paraId="45E1F7A9" w14:textId="49B0DA1C"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IČO:</w:t>
      </w:r>
      <w:r w:rsidR="00AD7B0E">
        <w:rPr>
          <w:rFonts w:ascii="Calibri" w:hAnsi="Calibri" w:cs="Calibri"/>
          <w:sz w:val="20"/>
        </w:rPr>
        <w:t xml:space="preserve"> 00064432</w:t>
      </w:r>
    </w:p>
    <w:p w14:paraId="26282FCE" w14:textId="2487585A" w:rsidR="00D05129" w:rsidRDefault="00B7025F" w:rsidP="00B7025F">
      <w:pPr>
        <w:pStyle w:val="smlouvabodytext"/>
        <w:spacing w:after="120"/>
        <w:jc w:val="left"/>
      </w:pPr>
      <w:r w:rsidRPr="009D5B7E">
        <w:rPr>
          <w:rFonts w:ascii="Calibri" w:hAnsi="Calibri" w:cs="Calibri"/>
          <w:sz w:val="20"/>
        </w:rPr>
        <w:t xml:space="preserve">bankovní spojení: </w:t>
      </w:r>
      <w:bookmarkStart w:id="4" w:name="BankSpoj"/>
      <w:bookmarkEnd w:id="4"/>
      <w:r w:rsidR="00D05129">
        <w:rPr>
          <w:rFonts w:ascii="Calibri" w:hAnsi="Calibri" w:cs="Calibri"/>
          <w:sz w:val="20"/>
        </w:rPr>
        <w:t>ČSOB, a.s.</w:t>
      </w:r>
      <w:r w:rsidRPr="009D5B7E">
        <w:rPr>
          <w:rFonts w:ascii="Calibri" w:hAnsi="Calibri" w:cs="Calibri"/>
          <w:sz w:val="20"/>
        </w:rPr>
        <w:t xml:space="preserve">, číslo účtu: </w:t>
      </w:r>
      <w:r w:rsidR="00D05129" w:rsidRPr="003D0809">
        <w:rPr>
          <w:rFonts w:ascii="Calibri" w:hAnsi="Calibri" w:cs="Calibri"/>
          <w:sz w:val="20"/>
          <w:szCs w:val="20"/>
        </w:rPr>
        <w:t>295329099/0300</w:t>
      </w:r>
      <w:commentRangeStart w:id="5"/>
      <w:commentRangeEnd w:id="5"/>
      <w:r w:rsidR="00404330" w:rsidRPr="003D0809">
        <w:rPr>
          <w:rStyle w:val="Odkaznakoment"/>
          <w:rFonts w:ascii="Calibri" w:eastAsia="Verdana" w:hAnsi="Calibri" w:cs="Calibri"/>
          <w:noProof w:val="0"/>
          <w:sz w:val="20"/>
          <w:szCs w:val="20"/>
          <w:lang w:val="en-US"/>
        </w:rPr>
        <w:commentReference w:id="5"/>
      </w:r>
    </w:p>
    <w:p w14:paraId="1E5F4C59" w14:textId="7188BF84"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 xml:space="preserve">(dále jen </w:t>
      </w:r>
      <w:bookmarkStart w:id="6" w:name="ZN1"/>
      <w:bookmarkEnd w:id="6"/>
      <w:r w:rsidRPr="009D5B7E">
        <w:rPr>
          <w:rFonts w:ascii="Calibri" w:hAnsi="Calibri" w:cs="Calibri"/>
          <w:sz w:val="20"/>
        </w:rPr>
        <w:t>„</w:t>
      </w:r>
      <w:r w:rsidRPr="009D5B7E">
        <w:rPr>
          <w:rFonts w:ascii="Calibri" w:hAnsi="Calibri" w:cs="Calibri"/>
          <w:b/>
          <w:sz w:val="20"/>
        </w:rPr>
        <w:t>Klient</w:t>
      </w:r>
      <w:r w:rsidRPr="009D5B7E">
        <w:rPr>
          <w:rFonts w:ascii="Calibri" w:hAnsi="Calibri" w:cs="Calibri"/>
          <w:sz w:val="20"/>
        </w:rPr>
        <w:t>“)</w:t>
      </w:r>
    </w:p>
    <w:p w14:paraId="4900C294" w14:textId="77777777" w:rsidR="00B7025F" w:rsidRPr="009D5B7E" w:rsidRDefault="00B7025F" w:rsidP="00B7025F">
      <w:pPr>
        <w:pStyle w:val="smlouvabodytext"/>
        <w:spacing w:after="120"/>
        <w:jc w:val="left"/>
        <w:rPr>
          <w:rFonts w:ascii="Calibri" w:hAnsi="Calibri" w:cs="Calibri"/>
          <w:sz w:val="20"/>
        </w:rPr>
      </w:pPr>
    </w:p>
    <w:p w14:paraId="3D359636" w14:textId="3CBBC06E" w:rsidR="00B7025F" w:rsidRPr="009D5B7E" w:rsidRDefault="00B7025F" w:rsidP="00B7025F">
      <w:pPr>
        <w:pStyle w:val="smlouvabodytext"/>
        <w:spacing w:after="120"/>
        <w:jc w:val="left"/>
        <w:rPr>
          <w:rFonts w:ascii="Calibri" w:hAnsi="Calibri" w:cs="Calibri"/>
          <w:sz w:val="20"/>
        </w:rPr>
      </w:pPr>
      <w:r w:rsidRPr="009D5B7E">
        <w:rPr>
          <w:rFonts w:ascii="Calibri" w:hAnsi="Calibri" w:cs="Calibri"/>
          <w:sz w:val="20"/>
        </w:rPr>
        <w:t>Na Deloitte a Klienta je dále odkazováno jednotlivě jako na „</w:t>
      </w:r>
      <w:r w:rsidRPr="009D5B7E">
        <w:rPr>
          <w:rFonts w:ascii="Calibri" w:hAnsi="Calibri" w:cs="Calibri"/>
          <w:b/>
          <w:sz w:val="20"/>
        </w:rPr>
        <w:t>smluvní stranu</w:t>
      </w:r>
      <w:r w:rsidRPr="009D5B7E">
        <w:rPr>
          <w:rFonts w:ascii="Calibri" w:hAnsi="Calibri" w:cs="Calibri"/>
          <w:sz w:val="20"/>
        </w:rPr>
        <w:t>“, případně dohromady jako na „</w:t>
      </w:r>
      <w:r w:rsidRPr="009D5B7E">
        <w:rPr>
          <w:rFonts w:ascii="Calibri" w:hAnsi="Calibri" w:cs="Calibri"/>
          <w:b/>
          <w:sz w:val="20"/>
        </w:rPr>
        <w:t>smluvní strany</w:t>
      </w:r>
      <w:r w:rsidRPr="009D5B7E">
        <w:rPr>
          <w:rFonts w:ascii="Calibri" w:hAnsi="Calibri" w:cs="Calibri"/>
          <w:sz w:val="20"/>
        </w:rPr>
        <w:t>“.</w:t>
      </w:r>
      <w:r w:rsidR="00F41AD7" w:rsidRPr="009D5B7E">
        <w:rPr>
          <w:rFonts w:ascii="Calibri" w:hAnsi="Calibri" w:cs="Calibri"/>
          <w:sz w:val="20"/>
        </w:rPr>
        <w:t xml:space="preserve"> </w:t>
      </w:r>
    </w:p>
    <w:p w14:paraId="4BD0656A" w14:textId="77777777" w:rsidR="00B7025F" w:rsidRPr="009D5B7E" w:rsidRDefault="00B7025F" w:rsidP="00B7025F">
      <w:pPr>
        <w:rPr>
          <w:rFonts w:ascii="Calibri" w:hAnsi="Calibri" w:cs="Calibri"/>
          <w:sz w:val="20"/>
          <w:szCs w:val="18"/>
          <w:lang w:val="cs-CZ"/>
        </w:rPr>
      </w:pPr>
    </w:p>
    <w:p w14:paraId="59DE3AEF" w14:textId="77777777" w:rsidR="00C56476" w:rsidRPr="009D5B7E" w:rsidRDefault="00C56476">
      <w:pPr>
        <w:spacing w:after="0" w:line="240" w:lineRule="auto"/>
        <w:rPr>
          <w:rFonts w:ascii="Calibri" w:hAnsi="Calibri" w:cs="Calibri"/>
          <w:sz w:val="20"/>
          <w:szCs w:val="18"/>
          <w:lang w:val="cs-CZ"/>
        </w:rPr>
        <w:sectPr w:rsidR="00C56476" w:rsidRPr="009D5B7E" w:rsidSect="00F41AD7">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680" w:footer="567" w:gutter="0"/>
          <w:cols w:space="284"/>
          <w:docGrid w:linePitch="360"/>
        </w:sectPr>
      </w:pPr>
    </w:p>
    <w:p w14:paraId="77350363" w14:textId="5CA0BF60" w:rsidR="00B7025F" w:rsidRPr="009D5B7E" w:rsidRDefault="00B7025F" w:rsidP="003E572E">
      <w:pPr>
        <w:pStyle w:val="Zkladntext"/>
        <w:rPr>
          <w:rFonts w:ascii="Calibri" w:hAnsi="Calibri" w:cs="Calibri"/>
          <w:sz w:val="20"/>
          <w:lang w:val="cs-CZ"/>
        </w:rPr>
      </w:pPr>
      <w:r w:rsidRPr="009D5B7E">
        <w:rPr>
          <w:rFonts w:ascii="Calibri" w:hAnsi="Calibri" w:cs="Calibri"/>
          <w:sz w:val="20"/>
          <w:lang w:val="cs-CZ"/>
        </w:rPr>
        <w:lastRenderedPageBreak/>
        <w:t>Obě smluvní strany se dohodly, že budou vázány následujícím zněním této Smlouvy o poskytování poradenských služeb, která je definována v Obchodních podmínkách jako Smluvní dopis (dále jen „</w:t>
      </w:r>
      <w:r w:rsidRPr="009D5B7E">
        <w:rPr>
          <w:rFonts w:ascii="Calibri" w:hAnsi="Calibri" w:cs="Calibri"/>
          <w:b/>
          <w:sz w:val="20"/>
          <w:lang w:val="cs-CZ"/>
        </w:rPr>
        <w:t>Smluvní dopis</w:t>
      </w:r>
      <w:r w:rsidRPr="009D5B7E">
        <w:rPr>
          <w:rFonts w:ascii="Calibri" w:hAnsi="Calibri" w:cs="Calibri"/>
          <w:sz w:val="20"/>
          <w:lang w:val="cs-CZ"/>
        </w:rPr>
        <w:t>“).</w:t>
      </w:r>
      <w:r w:rsidR="00F41AD7" w:rsidRPr="009D5B7E">
        <w:rPr>
          <w:rFonts w:ascii="Calibri" w:hAnsi="Calibri" w:cs="Calibri"/>
          <w:sz w:val="20"/>
          <w:lang w:val="cs-CZ"/>
        </w:rPr>
        <w:t xml:space="preserve"> </w:t>
      </w:r>
    </w:p>
    <w:p w14:paraId="47CFD5B7" w14:textId="77777777" w:rsidR="00B7025F" w:rsidRPr="009D5B7E" w:rsidRDefault="00B7025F" w:rsidP="003E572E">
      <w:pPr>
        <w:pStyle w:val="Smlouvaheading1"/>
        <w:rPr>
          <w:rFonts w:ascii="Calibri" w:hAnsi="Calibri" w:cs="Calibri"/>
          <w:sz w:val="20"/>
          <w:szCs w:val="18"/>
        </w:rPr>
      </w:pPr>
      <w:proofErr w:type="spellStart"/>
      <w:r w:rsidRPr="009D5B7E">
        <w:rPr>
          <w:rFonts w:ascii="Calibri" w:hAnsi="Calibri" w:cs="Calibri"/>
          <w:sz w:val="20"/>
          <w:szCs w:val="18"/>
        </w:rPr>
        <w:t>Úvodní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w:t>
      </w:r>
    </w:p>
    <w:p w14:paraId="0B46A4ED" w14:textId="54EF8C14" w:rsidR="00B7025F" w:rsidRPr="009D5B7E" w:rsidRDefault="00B7025F" w:rsidP="003E572E">
      <w:pPr>
        <w:pStyle w:val="Smlouvaheading2"/>
        <w:rPr>
          <w:rFonts w:ascii="Calibri" w:hAnsi="Calibri" w:cs="Calibri"/>
          <w:sz w:val="20"/>
          <w:szCs w:val="18"/>
        </w:rPr>
      </w:pPr>
      <w:proofErr w:type="spellStart"/>
      <w:r w:rsidRPr="009D5B7E">
        <w:rPr>
          <w:rFonts w:ascii="Calibri" w:hAnsi="Calibri" w:cs="Calibri"/>
          <w:sz w:val="20"/>
          <w:szCs w:val="18"/>
        </w:rPr>
        <w:t>Účelem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tohoto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stanovit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pravidla</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poskytování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odborných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v </w:t>
      </w:r>
      <w:proofErr w:type="spellStart"/>
      <w:r w:rsidRPr="004052D4">
        <w:rPr>
          <w:rFonts w:ascii="Calibri" w:hAnsi="Calibri" w:cs="Calibri"/>
          <w:sz w:val="20"/>
          <w:szCs w:val="18"/>
        </w:rPr>
        <w:t>oblasti</w:t>
      </w:r>
      <w:proofErr w:type="spellEnd"/>
      <w:r w:rsidRPr="004052D4">
        <w:rPr>
          <w:rFonts w:ascii="Calibri" w:hAnsi="Calibri" w:cs="Calibri"/>
          <w:sz w:val="20"/>
          <w:szCs w:val="18"/>
        </w:rPr>
        <w:t xml:space="preserve"> </w:t>
      </w:r>
      <w:proofErr w:type="spellStart"/>
      <w:r w:rsidRPr="004052D4">
        <w:rPr>
          <w:rFonts w:ascii="Calibri" w:hAnsi="Calibri" w:cs="Calibri"/>
          <w:sz w:val="20"/>
          <w:szCs w:val="18"/>
        </w:rPr>
        <w:t>podnikového</w:t>
      </w:r>
      <w:proofErr w:type="spellEnd"/>
      <w:r w:rsidRPr="004052D4">
        <w:rPr>
          <w:rFonts w:ascii="Calibri" w:hAnsi="Calibri" w:cs="Calibri"/>
          <w:sz w:val="20"/>
          <w:szCs w:val="18"/>
        </w:rPr>
        <w:t xml:space="preserve"> </w:t>
      </w:r>
      <w:proofErr w:type="spellStart"/>
      <w:r w:rsidRPr="004052D4">
        <w:rPr>
          <w:rFonts w:ascii="Calibri" w:hAnsi="Calibri" w:cs="Calibri"/>
          <w:sz w:val="20"/>
          <w:szCs w:val="18"/>
        </w:rPr>
        <w:t>poradenství</w:t>
      </w:r>
      <w:proofErr w:type="spellEnd"/>
      <w:r w:rsidRPr="004052D4">
        <w:rPr>
          <w:rFonts w:ascii="Calibri" w:hAnsi="Calibri" w:cs="Calibri"/>
          <w:sz w:val="20"/>
          <w:szCs w:val="18"/>
        </w:rPr>
        <w:t xml:space="preserve"> (</w:t>
      </w:r>
      <w:proofErr w:type="spellStart"/>
      <w:r w:rsidRPr="004052D4">
        <w:rPr>
          <w:rFonts w:ascii="Calibri" w:hAnsi="Calibri" w:cs="Calibri"/>
          <w:sz w:val="20"/>
          <w:szCs w:val="18"/>
        </w:rPr>
        <w:t>dále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jen</w:t>
      </w:r>
      <w:proofErr w:type="spellEnd"/>
      <w:r w:rsidRPr="009D5B7E">
        <w:rPr>
          <w:rFonts w:ascii="Calibri" w:hAnsi="Calibri" w:cs="Calibri"/>
          <w:sz w:val="20"/>
          <w:szCs w:val="18"/>
        </w:rPr>
        <w:t xml:space="preserve"> „</w:t>
      </w:r>
      <w:proofErr w:type="spellStart"/>
      <w:r w:rsidRPr="009D5B7E">
        <w:rPr>
          <w:rFonts w:ascii="Calibri" w:hAnsi="Calibri" w:cs="Calibri"/>
          <w:b/>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
    <w:p w14:paraId="3031CA9A" w14:textId="77777777" w:rsidR="00B7025F" w:rsidRPr="009D5B7E" w:rsidRDefault="00B7025F" w:rsidP="003E572E">
      <w:pPr>
        <w:pStyle w:val="Smlouvaheading2"/>
        <w:rPr>
          <w:rFonts w:ascii="Calibri" w:hAnsi="Calibri" w:cs="Calibri"/>
          <w:sz w:val="20"/>
          <w:szCs w:val="18"/>
        </w:rPr>
      </w:pP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tímto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přílohami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Přílohy</w:t>
      </w:r>
      <w:proofErr w:type="spellEnd"/>
      <w:r w:rsidRPr="009D5B7E">
        <w:rPr>
          <w:rFonts w:ascii="Calibri" w:hAnsi="Calibri" w:cs="Calibri"/>
          <w:sz w:val="20"/>
          <w:szCs w:val="18"/>
        </w:rPr>
        <w:t xml:space="preserve"> č. 3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Deloitte CE (</w:t>
      </w:r>
      <w:proofErr w:type="spellStart"/>
      <w:r w:rsidRPr="009D5B7E">
        <w:rPr>
          <w:rFonts w:ascii="Calibri" w:hAnsi="Calibri" w:cs="Calibri"/>
          <w:sz w:val="20"/>
          <w:szCs w:val="18"/>
        </w:rPr>
        <w:t>dále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jen</w:t>
      </w:r>
      <w:proofErr w:type="spellEnd"/>
      <w:r w:rsidRPr="009D5B7E">
        <w:rPr>
          <w:rFonts w:ascii="Calibri" w:hAnsi="Calibri" w:cs="Calibri"/>
          <w:sz w:val="20"/>
          <w:szCs w:val="18"/>
        </w:rPr>
        <w:t xml:space="preserve"> „</w:t>
      </w:r>
      <w:proofErr w:type="spellStart"/>
      <w:r w:rsidRPr="009D5B7E">
        <w:rPr>
          <w:rFonts w:ascii="Calibri" w:hAnsi="Calibri" w:cs="Calibri"/>
          <w:b/>
          <w:sz w:val="20"/>
          <w:szCs w:val="18"/>
        </w:rPr>
        <w:t>Obchodní</w:t>
      </w:r>
      <w:proofErr w:type="spellEnd"/>
      <w:r w:rsidRPr="009D5B7E">
        <w:rPr>
          <w:rFonts w:ascii="Calibri" w:hAnsi="Calibri" w:cs="Calibri"/>
          <w:b/>
          <w:sz w:val="20"/>
          <w:szCs w:val="18"/>
        </w:rPr>
        <w:t xml:space="preserve"> </w:t>
      </w:r>
      <w:proofErr w:type="spellStart"/>
      <w:r w:rsidRPr="009D5B7E">
        <w:rPr>
          <w:rFonts w:ascii="Calibri" w:hAnsi="Calibri" w:cs="Calibri"/>
          <w:b/>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přičemž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tvoří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nedílnou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w:t>
      </w:r>
    </w:p>
    <w:p w14:paraId="013639C2" w14:textId="77777777" w:rsidR="00B7025F" w:rsidRPr="009D5B7E" w:rsidRDefault="00B7025F" w:rsidP="003E572E">
      <w:pPr>
        <w:pStyle w:val="Smlouvaheading2"/>
        <w:rPr>
          <w:rFonts w:ascii="Calibri" w:hAnsi="Calibri" w:cs="Calibri"/>
          <w:sz w:val="20"/>
          <w:szCs w:val="18"/>
        </w:rPr>
      </w:pPr>
      <w:proofErr w:type="spellStart"/>
      <w:r w:rsidRPr="009D5B7E">
        <w:rPr>
          <w:rFonts w:ascii="Calibri" w:hAnsi="Calibri" w:cs="Calibri"/>
          <w:sz w:val="20"/>
          <w:szCs w:val="18"/>
        </w:rPr>
        <w:t>Rozsah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podrobněji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vymezen</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Příloze</w:t>
      </w:r>
      <w:proofErr w:type="spellEnd"/>
      <w:r w:rsidRPr="009D5B7E">
        <w:rPr>
          <w:rFonts w:ascii="Calibri" w:hAnsi="Calibri" w:cs="Calibri"/>
          <w:sz w:val="20"/>
          <w:szCs w:val="18"/>
        </w:rPr>
        <w:t xml:space="preserve"> č. 1 </w:t>
      </w:r>
      <w:proofErr w:type="spellStart"/>
      <w:r w:rsidRPr="009D5B7E">
        <w:rPr>
          <w:rFonts w:ascii="Calibri" w:hAnsi="Calibri" w:cs="Calibri"/>
          <w:sz w:val="20"/>
          <w:szCs w:val="18"/>
        </w:rPr>
        <w:t>tohoto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w:t>
      </w:r>
    </w:p>
    <w:p w14:paraId="185289B7" w14:textId="77777777" w:rsidR="00B7025F" w:rsidRPr="009D5B7E" w:rsidRDefault="00B7025F" w:rsidP="003E572E">
      <w:pPr>
        <w:pStyle w:val="Smlouvaheading2"/>
        <w:rPr>
          <w:rFonts w:ascii="Calibri" w:hAnsi="Calibri" w:cs="Calibri"/>
          <w:sz w:val="20"/>
          <w:szCs w:val="18"/>
        </w:rPr>
      </w:pP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tohoto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označován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b/>
          <w:sz w:val="20"/>
          <w:szCs w:val="18"/>
        </w:rPr>
        <w:t>Smlouva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Termíny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nedefinované</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tomto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význam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specifikovaný</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podmínkách</w:t>
      </w:r>
      <w:proofErr w:type="spellEnd"/>
      <w:r w:rsidRPr="009D5B7E">
        <w:rPr>
          <w:rFonts w:ascii="Calibri" w:hAnsi="Calibri" w:cs="Calibri"/>
          <w:sz w:val="20"/>
          <w:szCs w:val="18"/>
        </w:rPr>
        <w:t>. 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rozporu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tímto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dopisem</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přílohami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Přílohy</w:t>
      </w:r>
      <w:proofErr w:type="spellEnd"/>
      <w:r w:rsidRPr="009D5B7E">
        <w:rPr>
          <w:rFonts w:ascii="Calibri" w:hAnsi="Calibri" w:cs="Calibri"/>
          <w:sz w:val="20"/>
          <w:szCs w:val="18"/>
        </w:rPr>
        <w:t xml:space="preserve"> č. 1 a 2 v </w:t>
      </w:r>
      <w:proofErr w:type="spellStart"/>
      <w:r w:rsidRPr="009D5B7E">
        <w:rPr>
          <w:rFonts w:ascii="Calibri" w:hAnsi="Calibri" w:cs="Calibri"/>
          <w:sz w:val="20"/>
          <w:szCs w:val="18"/>
        </w:rPr>
        <w:t>příslušném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podmínkami</w:t>
      </w:r>
      <w:proofErr w:type="spellEnd"/>
      <w:r w:rsidRPr="009D5B7E">
        <w:rPr>
          <w:rFonts w:ascii="Calibri" w:hAnsi="Calibri" w:cs="Calibri"/>
          <w:sz w:val="20"/>
          <w:szCs w:val="18"/>
        </w:rPr>
        <w:t xml:space="preserve">. </w:t>
      </w:r>
    </w:p>
    <w:p w14:paraId="3179FAD6" w14:textId="77777777" w:rsidR="00B7025F" w:rsidRPr="009D5B7E" w:rsidRDefault="00B7025F" w:rsidP="003E572E">
      <w:pPr>
        <w:pStyle w:val="Smlouvaheading1"/>
        <w:rPr>
          <w:rFonts w:ascii="Calibri" w:hAnsi="Calibri" w:cs="Calibri"/>
          <w:sz w:val="20"/>
          <w:szCs w:val="18"/>
        </w:rPr>
      </w:pPr>
      <w:proofErr w:type="spellStart"/>
      <w:r w:rsidRPr="009D5B7E">
        <w:rPr>
          <w:rFonts w:ascii="Calibri" w:hAnsi="Calibri" w:cs="Calibri"/>
          <w:sz w:val="20"/>
          <w:szCs w:val="18"/>
        </w:rPr>
        <w:t>Předmět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2F98C26A" w14:textId="77777777" w:rsidR="00B7025F" w:rsidRPr="009D5B7E" w:rsidRDefault="00B7025F" w:rsidP="000445D6">
      <w:pPr>
        <w:pStyle w:val="Smlouvaheading2"/>
        <w:rPr>
          <w:rFonts w:ascii="Calibri" w:hAnsi="Calibri" w:cs="Calibri"/>
          <w:sz w:val="20"/>
          <w:szCs w:val="18"/>
        </w:rPr>
      </w:pPr>
      <w:proofErr w:type="spellStart"/>
      <w:r w:rsidRPr="009D5B7E">
        <w:rPr>
          <w:rFonts w:ascii="Calibri" w:hAnsi="Calibri" w:cs="Calibri"/>
          <w:sz w:val="20"/>
          <w:szCs w:val="18"/>
        </w:rPr>
        <w:t>Předmětem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závazek</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poskytovat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jejichž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rozsah</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vymezen</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Příloze</w:t>
      </w:r>
      <w:proofErr w:type="spellEnd"/>
      <w:r w:rsidRPr="009D5B7E">
        <w:rPr>
          <w:rFonts w:ascii="Calibri" w:hAnsi="Calibri" w:cs="Calibri"/>
          <w:sz w:val="20"/>
          <w:szCs w:val="18"/>
        </w:rPr>
        <w:t xml:space="preserve"> č. 1, a </w:t>
      </w:r>
      <w:proofErr w:type="spellStart"/>
      <w:r w:rsidRPr="009D5B7E">
        <w:rPr>
          <w:rFonts w:ascii="Calibri" w:hAnsi="Calibri" w:cs="Calibri"/>
          <w:sz w:val="20"/>
          <w:szCs w:val="18"/>
        </w:rPr>
        <w:t>tomu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odpovídající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uhradit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způsobem</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dále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stanoveným</w:t>
      </w:r>
      <w:proofErr w:type="spellEnd"/>
      <w:r w:rsidRPr="009D5B7E">
        <w:rPr>
          <w:rFonts w:ascii="Calibri" w:hAnsi="Calibri" w:cs="Calibri"/>
          <w:sz w:val="20"/>
          <w:szCs w:val="18"/>
        </w:rPr>
        <w:t xml:space="preserve">. </w:t>
      </w:r>
    </w:p>
    <w:p w14:paraId="12673676" w14:textId="77777777" w:rsidR="00B7025F" w:rsidRPr="009D5B7E" w:rsidRDefault="00B7025F" w:rsidP="000445D6">
      <w:pPr>
        <w:pStyle w:val="Smlouvaheading2"/>
        <w:rPr>
          <w:rFonts w:ascii="Calibri" w:hAnsi="Calibri" w:cs="Calibri"/>
          <w:sz w:val="20"/>
          <w:szCs w:val="18"/>
        </w:rPr>
      </w:pPr>
      <w:proofErr w:type="spellStart"/>
      <w:r w:rsidRPr="009D5B7E">
        <w:rPr>
          <w:rFonts w:ascii="Calibri" w:hAnsi="Calibri" w:cs="Calibri"/>
          <w:sz w:val="20"/>
          <w:szCs w:val="18"/>
        </w:rPr>
        <w:t>Dohodnou</w:t>
      </w:r>
      <w:proofErr w:type="spellEnd"/>
      <w:r w:rsidRPr="009D5B7E">
        <w:rPr>
          <w:rFonts w:ascii="Calibri" w:hAnsi="Calibri" w:cs="Calibri"/>
          <w:sz w:val="20"/>
          <w:szCs w:val="18"/>
        </w:rPr>
        <w:t xml:space="preserve">-li se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a Deloitte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dalších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službách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neuvedených</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Příloze</w:t>
      </w:r>
      <w:proofErr w:type="spellEnd"/>
      <w:r w:rsidRPr="009D5B7E">
        <w:rPr>
          <w:rFonts w:ascii="Calibri" w:hAnsi="Calibri" w:cs="Calibri"/>
          <w:sz w:val="20"/>
          <w:szCs w:val="18"/>
        </w:rPr>
        <w:t xml:space="preserve"> č. 1,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očekávaného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náplně</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specifikovány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dohodnuty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dalších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samostatných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dodatcích</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
    <w:p w14:paraId="1CA115D0" w14:textId="77777777" w:rsidR="00B7025F" w:rsidRPr="009D5B7E" w:rsidRDefault="00B7025F" w:rsidP="003E572E">
      <w:pPr>
        <w:pStyle w:val="Smlouvaheading1"/>
        <w:rPr>
          <w:rFonts w:ascii="Calibri" w:hAnsi="Calibri" w:cs="Calibri"/>
          <w:sz w:val="20"/>
          <w:szCs w:val="18"/>
        </w:rPr>
      </w:pPr>
      <w:bookmarkStart w:id="7" w:name="ZN5"/>
      <w:bookmarkStart w:id="8" w:name="ZN6"/>
      <w:bookmarkStart w:id="9" w:name="ZN7"/>
      <w:bookmarkStart w:id="10" w:name="ZN8"/>
      <w:bookmarkStart w:id="11" w:name="ZN9"/>
      <w:bookmarkStart w:id="12" w:name="ZN10"/>
      <w:bookmarkStart w:id="13" w:name="ZN11"/>
      <w:bookmarkStart w:id="14" w:name="ZN12"/>
      <w:bookmarkStart w:id="15" w:name="ZN13"/>
      <w:bookmarkStart w:id="16" w:name="ZN14"/>
      <w:bookmarkEnd w:id="7"/>
      <w:bookmarkEnd w:id="8"/>
      <w:bookmarkEnd w:id="9"/>
      <w:bookmarkEnd w:id="10"/>
      <w:bookmarkEnd w:id="11"/>
      <w:bookmarkEnd w:id="12"/>
      <w:bookmarkEnd w:id="13"/>
      <w:bookmarkEnd w:id="14"/>
      <w:bookmarkEnd w:id="15"/>
      <w:bookmarkEnd w:id="16"/>
      <w:r w:rsidRPr="009D5B7E">
        <w:rPr>
          <w:rFonts w:ascii="Calibri" w:hAnsi="Calibri" w:cs="Calibri"/>
          <w:sz w:val="20"/>
          <w:szCs w:val="18"/>
        </w:rPr>
        <w:t xml:space="preserve">Cena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platební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
    <w:p w14:paraId="6ACE8C96" w14:textId="77777777" w:rsidR="00B7025F" w:rsidRPr="009D5B7E" w:rsidRDefault="00B7025F" w:rsidP="003E572E">
      <w:pPr>
        <w:pStyle w:val="Smlouvaheading2"/>
        <w:rPr>
          <w:rFonts w:ascii="Calibri" w:hAnsi="Calibri" w:cs="Calibri"/>
          <w:sz w:val="20"/>
          <w:szCs w:val="18"/>
        </w:rPr>
      </w:pPr>
      <w:bookmarkStart w:id="17" w:name="ZN15"/>
      <w:bookmarkEnd w:id="17"/>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zavazuje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platit</w:t>
      </w:r>
      <w:proofErr w:type="spellEnd"/>
      <w:r w:rsidRPr="009D5B7E">
        <w:rPr>
          <w:rFonts w:ascii="Calibri" w:hAnsi="Calibri" w:cs="Calibri"/>
          <w:sz w:val="20"/>
          <w:szCs w:val="18"/>
        </w:rPr>
        <w:t xml:space="preserve"> Deloitte za </w:t>
      </w:r>
      <w:proofErr w:type="spellStart"/>
      <w:r w:rsidRPr="009D5B7E">
        <w:rPr>
          <w:rFonts w:ascii="Calibri" w:hAnsi="Calibri" w:cs="Calibri"/>
          <w:sz w:val="20"/>
          <w:szCs w:val="18"/>
        </w:rPr>
        <w:t>plnění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provedená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cenu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uvedenou</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Příloze</w:t>
      </w:r>
      <w:proofErr w:type="spellEnd"/>
      <w:r w:rsidRPr="009D5B7E">
        <w:rPr>
          <w:rFonts w:ascii="Calibri" w:hAnsi="Calibri" w:cs="Calibri"/>
          <w:sz w:val="20"/>
          <w:szCs w:val="18"/>
        </w:rPr>
        <w:t xml:space="preserve"> č. 2 (</w:t>
      </w:r>
      <w:proofErr w:type="spellStart"/>
      <w:r w:rsidRPr="009D5B7E">
        <w:rPr>
          <w:rFonts w:ascii="Calibri" w:hAnsi="Calibri" w:cs="Calibri"/>
          <w:sz w:val="20"/>
          <w:szCs w:val="18"/>
        </w:rPr>
        <w:t>dále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jen</w:t>
      </w:r>
      <w:proofErr w:type="spellEnd"/>
      <w:r w:rsidRPr="009D5B7E">
        <w:rPr>
          <w:rFonts w:ascii="Calibri" w:hAnsi="Calibri" w:cs="Calibri"/>
          <w:sz w:val="20"/>
          <w:szCs w:val="18"/>
        </w:rPr>
        <w:t xml:space="preserve"> „</w:t>
      </w:r>
      <w:r w:rsidRPr="009D5B7E">
        <w:rPr>
          <w:rFonts w:ascii="Calibri" w:hAnsi="Calibri" w:cs="Calibri"/>
          <w:b/>
          <w:sz w:val="20"/>
          <w:szCs w:val="18"/>
        </w:rPr>
        <w:t>Cena za Služby</w:t>
      </w:r>
      <w:r w:rsidRPr="009D5B7E">
        <w:rPr>
          <w:rFonts w:ascii="Calibri" w:hAnsi="Calibri" w:cs="Calibri"/>
          <w:sz w:val="20"/>
          <w:szCs w:val="18"/>
        </w:rPr>
        <w:t xml:space="preserve">“). </w:t>
      </w:r>
    </w:p>
    <w:p w14:paraId="10F44BA5" w14:textId="70F7F3C2" w:rsidR="00B7025F" w:rsidRPr="009D5B7E" w:rsidRDefault="00B7025F" w:rsidP="003E572E">
      <w:pPr>
        <w:pStyle w:val="Smlouvaheading2"/>
        <w:rPr>
          <w:rFonts w:ascii="Calibri" w:hAnsi="Calibri" w:cs="Calibri"/>
          <w:sz w:val="20"/>
          <w:szCs w:val="18"/>
        </w:rPr>
      </w:pPr>
      <w:bookmarkStart w:id="18" w:name="Mena17"/>
      <w:bookmarkStart w:id="19" w:name="ZN16"/>
      <w:bookmarkStart w:id="20" w:name="ZN17"/>
      <w:bookmarkStart w:id="21" w:name="ZN20"/>
      <w:bookmarkStart w:id="22" w:name="Mena16"/>
      <w:bookmarkStart w:id="23" w:name="ZN59"/>
      <w:bookmarkStart w:id="24" w:name="ZNemployees"/>
      <w:bookmarkStart w:id="25" w:name="ZN27"/>
      <w:bookmarkStart w:id="26" w:name="ZN28"/>
      <w:bookmarkStart w:id="27" w:name="ZN29"/>
      <w:bookmarkStart w:id="28" w:name="ZN30"/>
      <w:bookmarkStart w:id="29" w:name="ZN31"/>
      <w:bookmarkStart w:id="30" w:name="ZN66"/>
      <w:bookmarkStart w:id="31" w:name="ZN32"/>
      <w:bookmarkStart w:id="32" w:name="ZN33"/>
      <w:bookmarkStart w:id="33" w:name="ZN34"/>
      <w:bookmarkStart w:id="34" w:name="ZN35"/>
      <w:bookmarkStart w:id="35" w:name="ZN36"/>
      <w:bookmarkStart w:id="36" w:name="ZN37"/>
      <w:bookmarkStart w:id="37" w:name="ZN67"/>
      <w:bookmarkStart w:id="38" w:name="ZN38"/>
      <w:bookmarkStart w:id="39" w:name="ZN39"/>
      <w:bookmarkStart w:id="40" w:name="ZN40"/>
      <w:bookmarkStart w:id="41" w:name="ZN41"/>
      <w:bookmarkStart w:id="42" w:name="ZN42"/>
      <w:bookmarkStart w:id="43" w:name="Zn61"/>
      <w:bookmarkStart w:id="44" w:name="ZN60"/>
      <w:bookmarkStart w:id="45" w:name="ZN43"/>
      <w:bookmarkStart w:id="46" w:name="ZN44"/>
      <w:bookmarkStart w:id="47" w:name="ZN46"/>
      <w:bookmarkStart w:id="48" w:name="ZN47"/>
      <w:bookmarkStart w:id="49" w:name="ZN48"/>
      <w:bookmarkStart w:id="50" w:name="ZN50"/>
      <w:bookmarkStart w:id="51" w:name="ZN51"/>
      <w:bookmarkStart w:id="52" w:name="ZN52"/>
      <w:bookmarkStart w:id="53" w:name="ZN53"/>
      <w:bookmarkStart w:id="54" w:name="ZN54"/>
      <w:bookmarkStart w:id="55" w:name="ZN55"/>
      <w:bookmarkStart w:id="56" w:name="ZN56"/>
      <w:bookmarkStart w:id="57" w:name="ZN57"/>
      <w:bookmarkStart w:id="58" w:name="ZN58"/>
      <w:bookmarkStart w:id="59" w:name="ZN6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možností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elektronické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fakturace</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stanovených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platnými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předpisy</w:t>
      </w:r>
      <w:proofErr w:type="spellEnd"/>
      <w:r w:rsidRPr="009D5B7E">
        <w:rPr>
          <w:rFonts w:ascii="Calibri" w:hAnsi="Calibri" w:cs="Calibri"/>
          <w:sz w:val="20"/>
          <w:szCs w:val="18"/>
        </w:rPr>
        <w:t xml:space="preserve">. Faktura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považována</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doručenou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okamžikem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zaslání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e-</w:t>
      </w:r>
      <w:proofErr w:type="spellStart"/>
      <w:r w:rsidRPr="009D5B7E">
        <w:rPr>
          <w:rFonts w:ascii="Calibri" w:hAnsi="Calibri" w:cs="Calibri"/>
          <w:sz w:val="20"/>
          <w:szCs w:val="18"/>
        </w:rPr>
        <w:t>mailovou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adresu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určenou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zasílání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povinen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neprodleně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informovat</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změně</w:t>
      </w:r>
      <w:proofErr w:type="spellEnd"/>
      <w:r w:rsidRPr="009D5B7E">
        <w:rPr>
          <w:rFonts w:ascii="Calibri" w:hAnsi="Calibri" w:cs="Calibri"/>
          <w:sz w:val="20"/>
          <w:szCs w:val="18"/>
        </w:rPr>
        <w:t xml:space="preserve"> e-</w:t>
      </w:r>
      <w:proofErr w:type="spellStart"/>
      <w:r w:rsidRPr="009D5B7E">
        <w:rPr>
          <w:rFonts w:ascii="Calibri" w:hAnsi="Calibri" w:cs="Calibri"/>
          <w:sz w:val="20"/>
          <w:szCs w:val="18"/>
        </w:rPr>
        <w:t>mailové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adresy</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zasílání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zajistit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řádnou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funkčnost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uvedené</w:t>
      </w:r>
      <w:proofErr w:type="spellEnd"/>
      <w:r w:rsidRPr="009D5B7E">
        <w:rPr>
          <w:rFonts w:ascii="Calibri" w:hAnsi="Calibri" w:cs="Calibri"/>
          <w:sz w:val="20"/>
          <w:szCs w:val="18"/>
        </w:rPr>
        <w:t xml:space="preserve"> e-</w:t>
      </w:r>
      <w:proofErr w:type="spellStart"/>
      <w:r w:rsidRPr="009D5B7E">
        <w:rPr>
          <w:rFonts w:ascii="Calibri" w:hAnsi="Calibri" w:cs="Calibri"/>
          <w:sz w:val="20"/>
          <w:szCs w:val="18"/>
        </w:rPr>
        <w:t>mailové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adresy</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dobu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trvání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Jestliže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okolností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zřejmé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nelze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doručit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e-</w:t>
      </w:r>
      <w:proofErr w:type="spellStart"/>
      <w:r w:rsidRPr="009D5B7E">
        <w:rPr>
          <w:rFonts w:ascii="Calibri" w:hAnsi="Calibri" w:cs="Calibri"/>
          <w:sz w:val="20"/>
          <w:szCs w:val="18"/>
        </w:rPr>
        <w:t>mailovou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adresu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určenou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zasílání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např</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zpráva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vrátí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nedoručitelná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neprodleně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adresu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sídla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zaslána</w:t>
      </w:r>
      <w:proofErr w:type="spellEnd"/>
      <w:r w:rsidRPr="009D5B7E">
        <w:rPr>
          <w:rFonts w:ascii="Calibri" w:hAnsi="Calibri" w:cs="Calibri"/>
          <w:sz w:val="20"/>
          <w:szCs w:val="18"/>
        </w:rPr>
        <w:t xml:space="preserve"> faktura v </w:t>
      </w:r>
      <w:proofErr w:type="spellStart"/>
      <w:r w:rsidRPr="009D5B7E">
        <w:rPr>
          <w:rFonts w:ascii="Calibri" w:hAnsi="Calibri" w:cs="Calibri"/>
          <w:sz w:val="20"/>
          <w:szCs w:val="18"/>
        </w:rPr>
        <w:t>papírové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podobě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přičemž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však</w:t>
      </w:r>
      <w:proofErr w:type="spellEnd"/>
      <w:r w:rsidRPr="009D5B7E">
        <w:rPr>
          <w:rFonts w:ascii="Calibri" w:hAnsi="Calibri" w:cs="Calibri"/>
          <w:sz w:val="20"/>
          <w:szCs w:val="18"/>
        </w:rPr>
        <w:t xml:space="preserve"> faktura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splatná</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termínu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byla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úspěšně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doručena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prostřednictvím</w:t>
      </w:r>
      <w:proofErr w:type="spellEnd"/>
      <w:r w:rsidRPr="009D5B7E">
        <w:rPr>
          <w:rFonts w:ascii="Calibri" w:hAnsi="Calibri" w:cs="Calibri"/>
          <w:sz w:val="20"/>
          <w:szCs w:val="18"/>
        </w:rPr>
        <w:t xml:space="preserve"> e</w:t>
      </w:r>
      <w:r w:rsidR="00EE70F9">
        <w:rPr>
          <w:rFonts w:ascii="Calibri" w:hAnsi="Calibri" w:cs="Calibri"/>
          <w:sz w:val="20"/>
          <w:szCs w:val="18"/>
        </w:rPr>
        <w:t>-</w:t>
      </w:r>
      <w:proofErr w:type="spellStart"/>
      <w:r w:rsidRPr="009D5B7E">
        <w:rPr>
          <w:rFonts w:ascii="Calibri" w:hAnsi="Calibri" w:cs="Calibri"/>
          <w:sz w:val="20"/>
          <w:szCs w:val="18"/>
        </w:rPr>
        <w:t>mailu</w:t>
      </w:r>
      <w:proofErr w:type="spellEnd"/>
      <w:r w:rsidRPr="009D5B7E">
        <w:rPr>
          <w:rFonts w:ascii="Calibri" w:hAnsi="Calibri" w:cs="Calibri"/>
          <w:sz w:val="20"/>
          <w:szCs w:val="18"/>
        </w:rPr>
        <w:t>.</w:t>
      </w:r>
    </w:p>
    <w:p w14:paraId="0706BF74" w14:textId="07CC3F19" w:rsidR="00B7025F" w:rsidRPr="009D5B7E" w:rsidRDefault="00B7025F" w:rsidP="000445D6">
      <w:pPr>
        <w:pStyle w:val="smlouvabodytext"/>
        <w:ind w:left="425"/>
        <w:rPr>
          <w:rFonts w:ascii="Calibri" w:hAnsi="Calibri" w:cs="Calibri"/>
          <w:b/>
          <w:sz w:val="20"/>
        </w:rPr>
      </w:pPr>
      <w:r w:rsidRPr="009D5B7E">
        <w:rPr>
          <w:rFonts w:ascii="Calibri" w:hAnsi="Calibri" w:cs="Calibri"/>
          <w:sz w:val="20"/>
        </w:rPr>
        <w:t>Pro účely elektronické fakturace se stanovuje níže uvedená e</w:t>
      </w:r>
      <w:r w:rsidR="00EE70F9">
        <w:rPr>
          <w:rFonts w:ascii="Calibri" w:hAnsi="Calibri" w:cs="Calibri"/>
          <w:sz w:val="20"/>
        </w:rPr>
        <w:t>-</w:t>
      </w:r>
      <w:r w:rsidRPr="009D5B7E">
        <w:rPr>
          <w:rFonts w:ascii="Calibri" w:hAnsi="Calibri" w:cs="Calibri"/>
          <w:sz w:val="20"/>
        </w:rPr>
        <w:t>mailová adresa pro zasílání faktur:</w:t>
      </w:r>
    </w:p>
    <w:p w14:paraId="28EB75B2" w14:textId="0A3EB5AC" w:rsidR="00B7025F" w:rsidRPr="005568E8" w:rsidRDefault="00B7025F" w:rsidP="000445D6">
      <w:pPr>
        <w:pStyle w:val="smlouvabodytext"/>
        <w:ind w:left="425"/>
        <w:rPr>
          <w:rFonts w:ascii="Calibri" w:hAnsi="Calibri" w:cs="Calibri"/>
          <w:b/>
          <w:bCs/>
          <w:sz w:val="20"/>
        </w:rPr>
      </w:pPr>
      <w:r w:rsidRPr="00D05129">
        <w:rPr>
          <w:rFonts w:ascii="Calibri" w:hAnsi="Calibri" w:cs="Calibri"/>
          <w:b/>
          <w:sz w:val="20"/>
        </w:rPr>
        <w:t>E-mail:</w:t>
      </w:r>
      <w:r w:rsidRPr="009D5B7E">
        <w:rPr>
          <w:rFonts w:ascii="Calibri" w:hAnsi="Calibri" w:cs="Calibri"/>
          <w:sz w:val="20"/>
        </w:rPr>
        <w:t xml:space="preserve"> </w:t>
      </w:r>
      <w:r w:rsidR="00020D61">
        <w:rPr>
          <w:rFonts w:ascii="Montserrat" w:hAnsi="Montserrat"/>
          <w:color w:val="161414"/>
        </w:rPr>
        <w:t> </w:t>
      </w:r>
      <w:hyperlink r:id="rId20" w:history="1">
        <w:r w:rsidR="00020D61" w:rsidRPr="00E105C1">
          <w:rPr>
            <w:rStyle w:val="Hypertextovodkaz"/>
            <w:rFonts w:ascii="Calibri" w:hAnsi="Calibri" w:cs="Calibri"/>
            <w:sz w:val="20"/>
          </w:rPr>
          <w:t>faktury@muzeumprahy.cz</w:t>
        </w:r>
      </w:hyperlink>
    </w:p>
    <w:p w14:paraId="6C0EFC1D" w14:textId="77777777" w:rsidR="00B7025F" w:rsidRPr="009D5B7E" w:rsidRDefault="00B7025F" w:rsidP="003E572E">
      <w:pPr>
        <w:pStyle w:val="Smlouvaheading1"/>
        <w:rPr>
          <w:rFonts w:ascii="Calibri" w:hAnsi="Calibri" w:cs="Calibri"/>
          <w:sz w:val="20"/>
          <w:szCs w:val="18"/>
        </w:rPr>
      </w:pPr>
      <w:proofErr w:type="spellStart"/>
      <w:r w:rsidRPr="009D5B7E">
        <w:rPr>
          <w:rFonts w:ascii="Calibri" w:hAnsi="Calibri" w:cs="Calibri"/>
          <w:sz w:val="20"/>
          <w:szCs w:val="18"/>
        </w:rPr>
        <w:t>Trvání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1A5B0AFA" w14:textId="171F41A4" w:rsidR="00B7025F" w:rsidRPr="00926AA3" w:rsidRDefault="00B7025F" w:rsidP="00190B88">
      <w:pPr>
        <w:pStyle w:val="Smlouvaheading2"/>
        <w:rPr>
          <w:rFonts w:ascii="Calibri" w:hAnsi="Calibri" w:cs="Calibri"/>
          <w:sz w:val="20"/>
        </w:rPr>
      </w:pPr>
      <w:proofErr w:type="spellStart"/>
      <w:r w:rsidRPr="00926AA3">
        <w:rPr>
          <w:rFonts w:ascii="Calibri" w:hAnsi="Calibri" w:cs="Calibri"/>
          <w:sz w:val="20"/>
          <w:szCs w:val="18"/>
        </w:rPr>
        <w:t>Smlouva</w:t>
      </w:r>
      <w:proofErr w:type="spellEnd"/>
      <w:r w:rsidRPr="00926AA3">
        <w:rPr>
          <w:rFonts w:ascii="Calibri" w:hAnsi="Calibri" w:cs="Calibri"/>
          <w:sz w:val="20"/>
          <w:szCs w:val="18"/>
        </w:rPr>
        <w:t xml:space="preserve"> je </w:t>
      </w:r>
      <w:proofErr w:type="spellStart"/>
      <w:r w:rsidRPr="00926AA3">
        <w:rPr>
          <w:rFonts w:ascii="Calibri" w:hAnsi="Calibri" w:cs="Calibri"/>
          <w:sz w:val="20"/>
          <w:szCs w:val="18"/>
        </w:rPr>
        <w:t>uzavřena</w:t>
      </w:r>
      <w:proofErr w:type="spellEnd"/>
      <w:r w:rsidRPr="00926AA3">
        <w:rPr>
          <w:rFonts w:ascii="Calibri" w:hAnsi="Calibri" w:cs="Calibri"/>
          <w:sz w:val="20"/>
          <w:szCs w:val="18"/>
        </w:rPr>
        <w:t xml:space="preserve"> </w:t>
      </w:r>
      <w:proofErr w:type="spellStart"/>
      <w:r w:rsidRPr="00926AA3">
        <w:rPr>
          <w:rFonts w:ascii="Calibri" w:hAnsi="Calibri" w:cs="Calibri"/>
          <w:sz w:val="20"/>
          <w:szCs w:val="18"/>
        </w:rPr>
        <w:t>na</w:t>
      </w:r>
      <w:proofErr w:type="spellEnd"/>
      <w:r w:rsidRPr="00926AA3">
        <w:rPr>
          <w:rFonts w:ascii="Calibri" w:hAnsi="Calibri" w:cs="Calibri"/>
          <w:sz w:val="20"/>
          <w:szCs w:val="18"/>
        </w:rPr>
        <w:t xml:space="preserve"> </w:t>
      </w:r>
      <w:proofErr w:type="spellStart"/>
      <w:r w:rsidRPr="00926AA3">
        <w:rPr>
          <w:rFonts w:ascii="Calibri" w:hAnsi="Calibri" w:cs="Calibri"/>
          <w:sz w:val="20"/>
        </w:rPr>
        <w:t>dobu</w:t>
      </w:r>
      <w:proofErr w:type="spellEnd"/>
      <w:r w:rsidRPr="00926AA3">
        <w:rPr>
          <w:rFonts w:ascii="Calibri" w:hAnsi="Calibri" w:cs="Calibri"/>
          <w:sz w:val="20"/>
        </w:rPr>
        <w:t xml:space="preserve"> </w:t>
      </w:r>
      <w:proofErr w:type="spellStart"/>
      <w:r w:rsidRPr="00926AA3">
        <w:rPr>
          <w:rFonts w:ascii="Calibri" w:hAnsi="Calibri" w:cs="Calibri"/>
          <w:sz w:val="20"/>
        </w:rPr>
        <w:t>určitou</w:t>
      </w:r>
      <w:proofErr w:type="spellEnd"/>
      <w:r w:rsidRPr="00926AA3">
        <w:rPr>
          <w:rFonts w:ascii="Calibri" w:hAnsi="Calibri" w:cs="Calibri"/>
          <w:sz w:val="20"/>
        </w:rPr>
        <w:t xml:space="preserve">, a to do </w:t>
      </w:r>
      <w:proofErr w:type="spellStart"/>
      <w:r w:rsidRPr="00926AA3">
        <w:rPr>
          <w:rFonts w:ascii="Calibri" w:hAnsi="Calibri" w:cs="Calibri"/>
          <w:sz w:val="20"/>
        </w:rPr>
        <w:t>okamžiku</w:t>
      </w:r>
      <w:proofErr w:type="spellEnd"/>
      <w:r w:rsidRPr="00926AA3">
        <w:rPr>
          <w:rFonts w:ascii="Calibri" w:hAnsi="Calibri" w:cs="Calibri"/>
          <w:sz w:val="20"/>
        </w:rPr>
        <w:t xml:space="preserve"> </w:t>
      </w:r>
      <w:proofErr w:type="spellStart"/>
      <w:r w:rsidRPr="00926AA3">
        <w:rPr>
          <w:rFonts w:ascii="Calibri" w:hAnsi="Calibri" w:cs="Calibri"/>
          <w:sz w:val="20"/>
        </w:rPr>
        <w:t>řádného</w:t>
      </w:r>
      <w:proofErr w:type="spellEnd"/>
      <w:r w:rsidRPr="00926AA3">
        <w:rPr>
          <w:rFonts w:ascii="Calibri" w:hAnsi="Calibri" w:cs="Calibri"/>
          <w:sz w:val="20"/>
        </w:rPr>
        <w:t xml:space="preserve"> </w:t>
      </w:r>
      <w:proofErr w:type="spellStart"/>
      <w:r w:rsidRPr="00926AA3">
        <w:rPr>
          <w:rFonts w:ascii="Calibri" w:hAnsi="Calibri" w:cs="Calibri"/>
          <w:sz w:val="20"/>
        </w:rPr>
        <w:t>splnění</w:t>
      </w:r>
      <w:proofErr w:type="spellEnd"/>
      <w:r w:rsidRPr="00926AA3">
        <w:rPr>
          <w:rFonts w:ascii="Calibri" w:hAnsi="Calibri" w:cs="Calibri"/>
          <w:sz w:val="20"/>
        </w:rPr>
        <w:t xml:space="preserve"> </w:t>
      </w:r>
      <w:proofErr w:type="spellStart"/>
      <w:r w:rsidRPr="00926AA3">
        <w:rPr>
          <w:rFonts w:ascii="Calibri" w:hAnsi="Calibri" w:cs="Calibri"/>
          <w:sz w:val="20"/>
        </w:rPr>
        <w:t>všech</w:t>
      </w:r>
      <w:proofErr w:type="spellEnd"/>
      <w:r w:rsidRPr="00926AA3">
        <w:rPr>
          <w:rFonts w:ascii="Calibri" w:hAnsi="Calibri" w:cs="Calibri"/>
          <w:sz w:val="20"/>
        </w:rPr>
        <w:t xml:space="preserve"> </w:t>
      </w:r>
      <w:proofErr w:type="spellStart"/>
      <w:r w:rsidRPr="00926AA3">
        <w:rPr>
          <w:rFonts w:ascii="Calibri" w:hAnsi="Calibri" w:cs="Calibri"/>
          <w:sz w:val="20"/>
        </w:rPr>
        <w:t>povinností</w:t>
      </w:r>
      <w:proofErr w:type="spellEnd"/>
      <w:r w:rsidRPr="00926AA3">
        <w:rPr>
          <w:rFonts w:ascii="Calibri" w:hAnsi="Calibri" w:cs="Calibri"/>
          <w:sz w:val="20"/>
        </w:rPr>
        <w:t xml:space="preserve"> </w:t>
      </w:r>
      <w:proofErr w:type="spellStart"/>
      <w:r w:rsidRPr="00926AA3">
        <w:rPr>
          <w:rFonts w:ascii="Calibri" w:hAnsi="Calibri" w:cs="Calibri"/>
          <w:sz w:val="20"/>
        </w:rPr>
        <w:t>vyplývajících</w:t>
      </w:r>
      <w:proofErr w:type="spellEnd"/>
      <w:r w:rsidRPr="00926AA3">
        <w:rPr>
          <w:rFonts w:ascii="Calibri" w:hAnsi="Calibri" w:cs="Calibri"/>
          <w:sz w:val="20"/>
        </w:rPr>
        <w:t xml:space="preserve"> z </w:t>
      </w:r>
      <w:proofErr w:type="spellStart"/>
      <w:r w:rsidRPr="00926AA3">
        <w:rPr>
          <w:rFonts w:ascii="Calibri" w:hAnsi="Calibri" w:cs="Calibri"/>
          <w:sz w:val="20"/>
        </w:rPr>
        <w:t>této</w:t>
      </w:r>
      <w:proofErr w:type="spellEnd"/>
      <w:r w:rsidRPr="00926AA3">
        <w:rPr>
          <w:rFonts w:ascii="Calibri" w:hAnsi="Calibri" w:cs="Calibri"/>
          <w:sz w:val="20"/>
        </w:rPr>
        <w:t xml:space="preserve"> </w:t>
      </w:r>
      <w:proofErr w:type="spellStart"/>
      <w:r w:rsidRPr="00926AA3">
        <w:rPr>
          <w:rFonts w:ascii="Calibri" w:hAnsi="Calibri" w:cs="Calibri"/>
          <w:sz w:val="20"/>
        </w:rPr>
        <w:t>Smlouvy</w:t>
      </w:r>
      <w:proofErr w:type="spellEnd"/>
      <w:r w:rsidRPr="00926AA3">
        <w:rPr>
          <w:rFonts w:ascii="Calibri" w:hAnsi="Calibri" w:cs="Calibri"/>
          <w:sz w:val="20"/>
        </w:rPr>
        <w:t xml:space="preserve"> </w:t>
      </w:r>
      <w:proofErr w:type="spellStart"/>
      <w:r w:rsidRPr="00926AA3">
        <w:rPr>
          <w:rFonts w:ascii="Calibri" w:hAnsi="Calibri" w:cs="Calibri"/>
          <w:sz w:val="20"/>
        </w:rPr>
        <w:t>oběma</w:t>
      </w:r>
      <w:proofErr w:type="spellEnd"/>
      <w:r w:rsidRPr="00926AA3">
        <w:rPr>
          <w:rFonts w:ascii="Calibri" w:hAnsi="Calibri" w:cs="Calibri"/>
          <w:sz w:val="20"/>
        </w:rPr>
        <w:t xml:space="preserve"> </w:t>
      </w:r>
      <w:proofErr w:type="spellStart"/>
      <w:r w:rsidRPr="00926AA3">
        <w:rPr>
          <w:rFonts w:ascii="Calibri" w:hAnsi="Calibri" w:cs="Calibri"/>
          <w:sz w:val="20"/>
        </w:rPr>
        <w:t>smluvními</w:t>
      </w:r>
      <w:proofErr w:type="spellEnd"/>
      <w:r w:rsidRPr="00926AA3">
        <w:rPr>
          <w:rFonts w:ascii="Calibri" w:hAnsi="Calibri" w:cs="Calibri"/>
          <w:sz w:val="20"/>
        </w:rPr>
        <w:t xml:space="preserve"> </w:t>
      </w:r>
      <w:proofErr w:type="spellStart"/>
      <w:r w:rsidRPr="00926AA3">
        <w:rPr>
          <w:rFonts w:ascii="Calibri" w:hAnsi="Calibri" w:cs="Calibri"/>
          <w:sz w:val="20"/>
        </w:rPr>
        <w:t>stranami</w:t>
      </w:r>
      <w:proofErr w:type="spellEnd"/>
      <w:r w:rsidRPr="00926AA3">
        <w:rPr>
          <w:rFonts w:ascii="Calibri" w:hAnsi="Calibri" w:cs="Calibri"/>
          <w:sz w:val="20"/>
        </w:rPr>
        <w:t xml:space="preserve">, </w:t>
      </w:r>
      <w:proofErr w:type="spellStart"/>
      <w:r w:rsidRPr="00926AA3">
        <w:rPr>
          <w:rFonts w:ascii="Calibri" w:hAnsi="Calibri" w:cs="Calibri"/>
          <w:sz w:val="20"/>
        </w:rPr>
        <w:t>tj</w:t>
      </w:r>
      <w:proofErr w:type="spellEnd"/>
      <w:r w:rsidRPr="00926AA3">
        <w:rPr>
          <w:rFonts w:ascii="Calibri" w:hAnsi="Calibri" w:cs="Calibri"/>
          <w:sz w:val="20"/>
        </w:rPr>
        <w:t xml:space="preserve">. </w:t>
      </w:r>
      <w:proofErr w:type="spellStart"/>
      <w:r w:rsidRPr="00926AA3">
        <w:rPr>
          <w:rFonts w:ascii="Calibri" w:hAnsi="Calibri" w:cs="Calibri"/>
          <w:sz w:val="20"/>
        </w:rPr>
        <w:t>do</w:t>
      </w:r>
      <w:proofErr w:type="spellEnd"/>
      <w:r w:rsidRPr="00926AA3">
        <w:rPr>
          <w:rFonts w:ascii="Calibri" w:hAnsi="Calibri" w:cs="Calibri"/>
          <w:sz w:val="20"/>
        </w:rPr>
        <w:t xml:space="preserve"> </w:t>
      </w:r>
      <w:proofErr w:type="spellStart"/>
      <w:r w:rsidRPr="00926AA3">
        <w:rPr>
          <w:rFonts w:ascii="Calibri" w:hAnsi="Calibri" w:cs="Calibri"/>
          <w:sz w:val="20"/>
        </w:rPr>
        <w:t>poskytnutí</w:t>
      </w:r>
      <w:proofErr w:type="spellEnd"/>
      <w:r w:rsidRPr="00926AA3">
        <w:rPr>
          <w:rFonts w:ascii="Calibri" w:hAnsi="Calibri" w:cs="Calibri"/>
          <w:sz w:val="20"/>
        </w:rPr>
        <w:t xml:space="preserve"> </w:t>
      </w:r>
      <w:proofErr w:type="spellStart"/>
      <w:r w:rsidRPr="00926AA3">
        <w:rPr>
          <w:rFonts w:ascii="Calibri" w:hAnsi="Calibri" w:cs="Calibri"/>
          <w:sz w:val="20"/>
        </w:rPr>
        <w:t>Služeb</w:t>
      </w:r>
      <w:proofErr w:type="spellEnd"/>
      <w:r w:rsidRPr="00926AA3">
        <w:rPr>
          <w:rFonts w:ascii="Calibri" w:hAnsi="Calibri" w:cs="Calibri"/>
          <w:sz w:val="20"/>
        </w:rPr>
        <w:t xml:space="preserve"> </w:t>
      </w:r>
      <w:proofErr w:type="spellStart"/>
      <w:r w:rsidRPr="00926AA3">
        <w:rPr>
          <w:rFonts w:ascii="Calibri" w:hAnsi="Calibri" w:cs="Calibri"/>
          <w:sz w:val="20"/>
        </w:rPr>
        <w:t>dle</w:t>
      </w:r>
      <w:proofErr w:type="spellEnd"/>
      <w:r w:rsidRPr="00926AA3">
        <w:rPr>
          <w:rFonts w:ascii="Calibri" w:hAnsi="Calibri" w:cs="Calibri"/>
          <w:sz w:val="20"/>
        </w:rPr>
        <w:t xml:space="preserve"> </w:t>
      </w:r>
      <w:proofErr w:type="spellStart"/>
      <w:r w:rsidRPr="00926AA3">
        <w:rPr>
          <w:rFonts w:ascii="Calibri" w:hAnsi="Calibri" w:cs="Calibri"/>
          <w:sz w:val="20"/>
        </w:rPr>
        <w:t>časového</w:t>
      </w:r>
      <w:proofErr w:type="spellEnd"/>
      <w:r w:rsidRPr="00926AA3">
        <w:rPr>
          <w:rFonts w:ascii="Calibri" w:hAnsi="Calibri" w:cs="Calibri"/>
          <w:sz w:val="20"/>
        </w:rPr>
        <w:t xml:space="preserve"> </w:t>
      </w:r>
      <w:proofErr w:type="spellStart"/>
      <w:r w:rsidRPr="00926AA3">
        <w:rPr>
          <w:rFonts w:ascii="Calibri" w:hAnsi="Calibri" w:cs="Calibri"/>
          <w:sz w:val="20"/>
        </w:rPr>
        <w:t>harmonogramu</w:t>
      </w:r>
      <w:proofErr w:type="spellEnd"/>
      <w:r w:rsidRPr="00926AA3">
        <w:rPr>
          <w:rFonts w:ascii="Calibri" w:hAnsi="Calibri" w:cs="Calibri"/>
          <w:sz w:val="20"/>
        </w:rPr>
        <w:t xml:space="preserve"> </w:t>
      </w:r>
      <w:proofErr w:type="spellStart"/>
      <w:r w:rsidRPr="00926AA3">
        <w:rPr>
          <w:rFonts w:ascii="Calibri" w:hAnsi="Calibri" w:cs="Calibri"/>
          <w:sz w:val="20"/>
        </w:rPr>
        <w:t>uvedeného</w:t>
      </w:r>
      <w:proofErr w:type="spellEnd"/>
      <w:r w:rsidRPr="00926AA3">
        <w:rPr>
          <w:rFonts w:ascii="Calibri" w:hAnsi="Calibri" w:cs="Calibri"/>
          <w:sz w:val="20"/>
        </w:rPr>
        <w:t xml:space="preserve"> v </w:t>
      </w:r>
      <w:proofErr w:type="spellStart"/>
      <w:r w:rsidRPr="00926AA3">
        <w:rPr>
          <w:rFonts w:ascii="Calibri" w:hAnsi="Calibri" w:cs="Calibri"/>
          <w:sz w:val="20"/>
        </w:rPr>
        <w:t>Příloze</w:t>
      </w:r>
      <w:proofErr w:type="spellEnd"/>
      <w:r w:rsidRPr="00926AA3">
        <w:rPr>
          <w:rFonts w:ascii="Calibri" w:hAnsi="Calibri" w:cs="Calibri"/>
          <w:sz w:val="20"/>
        </w:rPr>
        <w:t xml:space="preserve"> č. 1 </w:t>
      </w:r>
      <w:proofErr w:type="spellStart"/>
      <w:r w:rsidRPr="00926AA3">
        <w:rPr>
          <w:rFonts w:ascii="Calibri" w:hAnsi="Calibri" w:cs="Calibri"/>
          <w:sz w:val="20"/>
        </w:rPr>
        <w:t>a do</w:t>
      </w:r>
      <w:proofErr w:type="spellEnd"/>
      <w:r w:rsidRPr="00926AA3">
        <w:rPr>
          <w:rFonts w:ascii="Calibri" w:hAnsi="Calibri" w:cs="Calibri"/>
          <w:sz w:val="20"/>
        </w:rPr>
        <w:t xml:space="preserve"> </w:t>
      </w:r>
      <w:proofErr w:type="spellStart"/>
      <w:r w:rsidRPr="00926AA3">
        <w:rPr>
          <w:rFonts w:ascii="Calibri" w:hAnsi="Calibri" w:cs="Calibri"/>
          <w:sz w:val="20"/>
        </w:rPr>
        <w:t>úplného</w:t>
      </w:r>
      <w:proofErr w:type="spellEnd"/>
      <w:r w:rsidRPr="00926AA3">
        <w:rPr>
          <w:rFonts w:ascii="Calibri" w:hAnsi="Calibri" w:cs="Calibri"/>
          <w:sz w:val="20"/>
        </w:rPr>
        <w:t xml:space="preserve"> </w:t>
      </w:r>
      <w:proofErr w:type="spellStart"/>
      <w:r w:rsidRPr="00926AA3">
        <w:rPr>
          <w:rFonts w:ascii="Calibri" w:hAnsi="Calibri" w:cs="Calibri"/>
          <w:sz w:val="20"/>
        </w:rPr>
        <w:t>uhrazení</w:t>
      </w:r>
      <w:proofErr w:type="spellEnd"/>
      <w:r w:rsidRPr="00926AA3">
        <w:rPr>
          <w:rFonts w:ascii="Calibri" w:hAnsi="Calibri" w:cs="Calibri"/>
          <w:sz w:val="20"/>
        </w:rPr>
        <w:t xml:space="preserve"> </w:t>
      </w:r>
      <w:proofErr w:type="spellStart"/>
      <w:r w:rsidRPr="00926AA3">
        <w:rPr>
          <w:rFonts w:ascii="Calibri" w:hAnsi="Calibri" w:cs="Calibri"/>
          <w:sz w:val="20"/>
        </w:rPr>
        <w:t>veškerých</w:t>
      </w:r>
      <w:proofErr w:type="spellEnd"/>
      <w:r w:rsidRPr="00926AA3">
        <w:rPr>
          <w:rFonts w:ascii="Calibri" w:hAnsi="Calibri" w:cs="Calibri"/>
          <w:sz w:val="20"/>
        </w:rPr>
        <w:t xml:space="preserve"> </w:t>
      </w:r>
      <w:proofErr w:type="spellStart"/>
      <w:r w:rsidRPr="00926AA3">
        <w:rPr>
          <w:rFonts w:ascii="Calibri" w:hAnsi="Calibri" w:cs="Calibri"/>
          <w:sz w:val="20"/>
        </w:rPr>
        <w:t>odměn</w:t>
      </w:r>
      <w:proofErr w:type="spellEnd"/>
      <w:r w:rsidRPr="00926AA3">
        <w:rPr>
          <w:rFonts w:ascii="Calibri" w:hAnsi="Calibri" w:cs="Calibri"/>
          <w:sz w:val="20"/>
        </w:rPr>
        <w:t xml:space="preserve"> </w:t>
      </w:r>
      <w:proofErr w:type="spellStart"/>
      <w:r w:rsidRPr="00926AA3">
        <w:rPr>
          <w:rFonts w:ascii="Calibri" w:hAnsi="Calibri" w:cs="Calibri"/>
          <w:sz w:val="20"/>
        </w:rPr>
        <w:t>definovaných</w:t>
      </w:r>
      <w:proofErr w:type="spellEnd"/>
      <w:r w:rsidRPr="00926AA3">
        <w:rPr>
          <w:rFonts w:ascii="Calibri" w:hAnsi="Calibri" w:cs="Calibri"/>
          <w:sz w:val="20"/>
        </w:rPr>
        <w:t xml:space="preserve"> v </w:t>
      </w:r>
      <w:proofErr w:type="spellStart"/>
      <w:r w:rsidRPr="00926AA3">
        <w:rPr>
          <w:rFonts w:ascii="Calibri" w:hAnsi="Calibri" w:cs="Calibri"/>
          <w:sz w:val="20"/>
        </w:rPr>
        <w:t>této</w:t>
      </w:r>
      <w:proofErr w:type="spellEnd"/>
      <w:r w:rsidRPr="00926AA3">
        <w:rPr>
          <w:rFonts w:ascii="Calibri" w:hAnsi="Calibri" w:cs="Calibri"/>
          <w:sz w:val="20"/>
        </w:rPr>
        <w:t xml:space="preserve"> </w:t>
      </w:r>
      <w:proofErr w:type="spellStart"/>
      <w:r w:rsidRPr="00926AA3">
        <w:rPr>
          <w:rFonts w:ascii="Calibri" w:hAnsi="Calibri" w:cs="Calibri"/>
          <w:sz w:val="20"/>
        </w:rPr>
        <w:t>Smlouvě</w:t>
      </w:r>
      <w:proofErr w:type="spellEnd"/>
      <w:r w:rsidRPr="00926AA3">
        <w:rPr>
          <w:rFonts w:ascii="Calibri" w:hAnsi="Calibri" w:cs="Calibri"/>
          <w:sz w:val="20"/>
        </w:rPr>
        <w:t xml:space="preserve"> ze </w:t>
      </w:r>
      <w:proofErr w:type="spellStart"/>
      <w:r w:rsidRPr="00926AA3">
        <w:rPr>
          <w:rFonts w:ascii="Calibri" w:hAnsi="Calibri" w:cs="Calibri"/>
          <w:sz w:val="20"/>
        </w:rPr>
        <w:t>strany</w:t>
      </w:r>
      <w:proofErr w:type="spellEnd"/>
      <w:r w:rsidRPr="00926AA3">
        <w:rPr>
          <w:rFonts w:ascii="Calibri" w:hAnsi="Calibri" w:cs="Calibri"/>
          <w:sz w:val="20"/>
        </w:rPr>
        <w:t xml:space="preserve"> </w:t>
      </w:r>
      <w:proofErr w:type="spellStart"/>
      <w:r w:rsidRPr="00926AA3">
        <w:rPr>
          <w:rFonts w:ascii="Calibri" w:hAnsi="Calibri" w:cs="Calibri"/>
          <w:sz w:val="20"/>
        </w:rPr>
        <w:t>Klienta</w:t>
      </w:r>
      <w:proofErr w:type="spellEnd"/>
      <w:r w:rsidRPr="00926AA3">
        <w:rPr>
          <w:rFonts w:ascii="Calibri" w:hAnsi="Calibri" w:cs="Calibri"/>
          <w:sz w:val="20"/>
        </w:rPr>
        <w:t xml:space="preserve">. </w:t>
      </w:r>
      <w:proofErr w:type="spellStart"/>
      <w:r w:rsidRPr="00926AA3">
        <w:rPr>
          <w:rFonts w:ascii="Calibri" w:hAnsi="Calibri" w:cs="Calibri"/>
          <w:sz w:val="20"/>
        </w:rPr>
        <w:t>Ujednání</w:t>
      </w:r>
      <w:proofErr w:type="spellEnd"/>
      <w:r w:rsidRPr="00926AA3">
        <w:rPr>
          <w:rFonts w:ascii="Calibri" w:hAnsi="Calibri" w:cs="Calibri"/>
          <w:sz w:val="20"/>
        </w:rPr>
        <w:t xml:space="preserve"> 11 (a) </w:t>
      </w:r>
      <w:proofErr w:type="spellStart"/>
      <w:r w:rsidRPr="00926AA3">
        <w:rPr>
          <w:rFonts w:ascii="Calibri" w:hAnsi="Calibri" w:cs="Calibri"/>
          <w:sz w:val="20"/>
        </w:rPr>
        <w:t>Obchodních</w:t>
      </w:r>
      <w:proofErr w:type="spellEnd"/>
      <w:r w:rsidRPr="00926AA3">
        <w:rPr>
          <w:rFonts w:ascii="Calibri" w:hAnsi="Calibri" w:cs="Calibri"/>
          <w:sz w:val="20"/>
        </w:rPr>
        <w:t xml:space="preserve"> </w:t>
      </w:r>
      <w:proofErr w:type="spellStart"/>
      <w:r w:rsidRPr="00926AA3">
        <w:rPr>
          <w:rFonts w:ascii="Calibri" w:hAnsi="Calibri" w:cs="Calibri"/>
          <w:sz w:val="20"/>
        </w:rPr>
        <w:t>podmínek</w:t>
      </w:r>
      <w:proofErr w:type="spellEnd"/>
      <w:r w:rsidRPr="00926AA3">
        <w:rPr>
          <w:rFonts w:ascii="Calibri" w:hAnsi="Calibri" w:cs="Calibri"/>
          <w:sz w:val="20"/>
        </w:rPr>
        <w:t xml:space="preserve"> </w:t>
      </w:r>
      <w:proofErr w:type="spellStart"/>
      <w:r w:rsidRPr="00926AA3">
        <w:rPr>
          <w:rFonts w:ascii="Calibri" w:hAnsi="Calibri" w:cs="Calibri"/>
          <w:sz w:val="20"/>
        </w:rPr>
        <w:t>tímto</w:t>
      </w:r>
      <w:proofErr w:type="spellEnd"/>
      <w:r w:rsidRPr="00926AA3">
        <w:rPr>
          <w:rFonts w:ascii="Calibri" w:hAnsi="Calibri" w:cs="Calibri"/>
          <w:sz w:val="20"/>
        </w:rPr>
        <w:t xml:space="preserve"> </w:t>
      </w:r>
      <w:proofErr w:type="spellStart"/>
      <w:r w:rsidRPr="00926AA3">
        <w:rPr>
          <w:rFonts w:ascii="Calibri" w:hAnsi="Calibri" w:cs="Calibri"/>
          <w:sz w:val="20"/>
        </w:rPr>
        <w:t>není</w:t>
      </w:r>
      <w:proofErr w:type="spellEnd"/>
      <w:r w:rsidRPr="00926AA3">
        <w:rPr>
          <w:rFonts w:ascii="Calibri" w:hAnsi="Calibri" w:cs="Calibri"/>
          <w:sz w:val="20"/>
        </w:rPr>
        <w:t xml:space="preserve"> </w:t>
      </w:r>
      <w:proofErr w:type="spellStart"/>
      <w:r w:rsidRPr="00926AA3">
        <w:rPr>
          <w:rFonts w:ascii="Calibri" w:hAnsi="Calibri" w:cs="Calibri"/>
          <w:sz w:val="20"/>
        </w:rPr>
        <w:t>dotčeno</w:t>
      </w:r>
      <w:proofErr w:type="spellEnd"/>
      <w:r w:rsidRPr="00926AA3">
        <w:rPr>
          <w:rFonts w:ascii="Calibri" w:hAnsi="Calibri" w:cs="Calibri"/>
          <w:sz w:val="20"/>
        </w:rPr>
        <w:t>.</w:t>
      </w:r>
    </w:p>
    <w:p w14:paraId="7F9BDEE1" w14:textId="7B962E7C" w:rsidR="00B7025F" w:rsidRPr="009D5B7E" w:rsidRDefault="00B7025F" w:rsidP="00B204BA">
      <w:pPr>
        <w:pStyle w:val="Smlouvaheading2"/>
        <w:rPr>
          <w:rFonts w:ascii="Calibri" w:hAnsi="Calibri" w:cs="Calibri"/>
          <w:sz w:val="20"/>
          <w:szCs w:val="18"/>
          <w:lang w:val="cs-CZ"/>
        </w:rPr>
      </w:pPr>
      <w:r w:rsidRPr="009D5B7E">
        <w:rPr>
          <w:rFonts w:ascii="Calibri" w:hAnsi="Calibri" w:cs="Calibri"/>
          <w:sz w:val="20"/>
          <w:szCs w:val="18"/>
          <w:lang w:val="cs-CZ"/>
        </w:rPr>
        <w:t>Smlouva nabývá platnosti dnem jejího podpisu oprávněnými zástupci obou smluvních stran</w:t>
      </w:r>
      <w:r w:rsidR="00FF4574">
        <w:rPr>
          <w:rFonts w:ascii="Calibri" w:hAnsi="Calibri" w:cs="Calibri"/>
          <w:sz w:val="20"/>
          <w:szCs w:val="18"/>
          <w:lang w:val="cs-CZ"/>
        </w:rPr>
        <w:t>.</w:t>
      </w:r>
      <w:r w:rsidR="00FF4574" w:rsidRPr="00FF4574">
        <w:t xml:space="preserve"> </w:t>
      </w:r>
      <w:r w:rsidR="00FF4574" w:rsidRPr="00FF4574">
        <w:rPr>
          <w:rFonts w:ascii="Calibri" w:hAnsi="Calibri" w:cs="Calibri"/>
          <w:sz w:val="20"/>
          <w:szCs w:val="18"/>
          <w:lang w:val="cs-CZ"/>
        </w:rPr>
        <w:t xml:space="preserve">Smluvní strany berou na vědomí, že tato </w:t>
      </w:r>
      <w:r w:rsidR="001165BF">
        <w:rPr>
          <w:rFonts w:ascii="Calibri" w:hAnsi="Calibri" w:cs="Calibri"/>
          <w:sz w:val="20"/>
          <w:szCs w:val="18"/>
          <w:lang w:val="cs-CZ"/>
        </w:rPr>
        <w:t>S</w:t>
      </w:r>
      <w:r w:rsidR="00FF4574" w:rsidRPr="00FF4574">
        <w:rPr>
          <w:rFonts w:ascii="Calibri" w:hAnsi="Calibri" w:cs="Calibri"/>
          <w:sz w:val="20"/>
          <w:szCs w:val="18"/>
          <w:lang w:val="cs-CZ"/>
        </w:rPr>
        <w:t xml:space="preserve">mlouva a její dodatky budou uveřejněny prostřednictvím registru smluv podle zákona č. 340/2015 Sb., o zvláštních podmínkách účinnosti některých smluv, uveřejňování těchto smluv a o registru smluv, v platném znění (dále jen „zákon o registru smluv“). Tato </w:t>
      </w:r>
      <w:r w:rsidR="001165BF">
        <w:rPr>
          <w:rFonts w:ascii="Calibri" w:hAnsi="Calibri" w:cs="Calibri"/>
          <w:sz w:val="20"/>
          <w:szCs w:val="18"/>
          <w:lang w:val="cs-CZ"/>
        </w:rPr>
        <w:t>S</w:t>
      </w:r>
      <w:r w:rsidR="00FF4574" w:rsidRPr="00FF4574">
        <w:rPr>
          <w:rFonts w:ascii="Calibri" w:hAnsi="Calibri" w:cs="Calibri"/>
          <w:sz w:val="20"/>
          <w:szCs w:val="18"/>
          <w:lang w:val="cs-CZ"/>
        </w:rPr>
        <w:t xml:space="preserve">mlouva a její dodatky se stanou účinnými nejdříve dnem jejich uveřejnění ve smyslu § 5 zákona o registru smluv. Uveřejnění obstará </w:t>
      </w:r>
      <w:r w:rsidR="001165BF">
        <w:rPr>
          <w:rFonts w:ascii="Calibri" w:hAnsi="Calibri" w:cs="Calibri"/>
          <w:sz w:val="20"/>
          <w:szCs w:val="18"/>
          <w:lang w:val="cs-CZ"/>
        </w:rPr>
        <w:t>Klient</w:t>
      </w:r>
      <w:r w:rsidRPr="009D5B7E">
        <w:rPr>
          <w:rFonts w:ascii="Calibri" w:hAnsi="Calibri" w:cs="Calibri"/>
          <w:sz w:val="20"/>
          <w:szCs w:val="18"/>
          <w:lang w:val="cs-CZ"/>
        </w:rPr>
        <w:t>.</w:t>
      </w:r>
    </w:p>
    <w:p w14:paraId="19C2661C" w14:textId="3F43C9D3" w:rsidR="00B7025F" w:rsidRPr="009D5B7E" w:rsidRDefault="00B7025F" w:rsidP="00A3469C">
      <w:pPr>
        <w:pStyle w:val="Smlouvaheading1"/>
        <w:keepNext/>
        <w:rPr>
          <w:rFonts w:ascii="Calibri" w:hAnsi="Calibri" w:cs="Calibri"/>
          <w:sz w:val="20"/>
          <w:szCs w:val="18"/>
        </w:rPr>
      </w:pPr>
      <w:bookmarkStart w:id="60" w:name="ZN63"/>
      <w:bookmarkEnd w:id="60"/>
      <w:proofErr w:type="spellStart"/>
      <w:r w:rsidRPr="009D5B7E">
        <w:rPr>
          <w:rFonts w:ascii="Calibri" w:hAnsi="Calibri" w:cs="Calibri"/>
          <w:sz w:val="20"/>
          <w:szCs w:val="18"/>
        </w:rPr>
        <w:t>Oznámení</w:t>
      </w:r>
      <w:proofErr w:type="spellEnd"/>
      <w:r w:rsidRPr="009D5B7E">
        <w:rPr>
          <w:rFonts w:ascii="Calibri" w:hAnsi="Calibri" w:cs="Calibri"/>
          <w:sz w:val="20"/>
          <w:szCs w:val="18"/>
        </w:rPr>
        <w:t xml:space="preserve"> </w:t>
      </w:r>
    </w:p>
    <w:p w14:paraId="51D40A20" w14:textId="77777777" w:rsidR="00B7025F" w:rsidRPr="009D5B7E" w:rsidRDefault="00B7025F" w:rsidP="00B204BA">
      <w:pPr>
        <w:pStyle w:val="Smlouvaheading2"/>
        <w:rPr>
          <w:rFonts w:ascii="Calibri" w:hAnsi="Calibri" w:cs="Calibri"/>
          <w:sz w:val="20"/>
          <w:szCs w:val="18"/>
        </w:rPr>
      </w:pPr>
      <w:proofErr w:type="spellStart"/>
      <w:r w:rsidRPr="009D5B7E">
        <w:rPr>
          <w:rFonts w:ascii="Calibri" w:hAnsi="Calibri" w:cs="Calibri"/>
          <w:sz w:val="20"/>
          <w:szCs w:val="18"/>
        </w:rPr>
        <w:t>Adresy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telefonní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čísla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faxová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čísla</w:t>
      </w:r>
      <w:proofErr w:type="spellEnd"/>
      <w:r w:rsidRPr="009D5B7E">
        <w:rPr>
          <w:rFonts w:ascii="Calibri" w:hAnsi="Calibri" w:cs="Calibri"/>
          <w:sz w:val="20"/>
          <w:szCs w:val="18"/>
        </w:rPr>
        <w:t xml:space="preserve"> a e-</w:t>
      </w:r>
      <w:proofErr w:type="spellStart"/>
      <w:r w:rsidRPr="009D5B7E">
        <w:rPr>
          <w:rFonts w:ascii="Calibri" w:hAnsi="Calibri" w:cs="Calibri"/>
          <w:sz w:val="20"/>
          <w:szCs w:val="18"/>
        </w:rPr>
        <w:t>maily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následující</w:t>
      </w:r>
      <w:proofErr w:type="spellEnd"/>
      <w:r w:rsidRPr="009D5B7E">
        <w:rPr>
          <w:rFonts w:ascii="Calibri" w:hAnsi="Calibri" w:cs="Calibri"/>
          <w:sz w:val="20"/>
          <w:szCs w:val="18"/>
        </w:rPr>
        <w:t>:</w:t>
      </w:r>
    </w:p>
    <w:p w14:paraId="03BB7F8C" w14:textId="1A4ACC41" w:rsidR="003E5BF9" w:rsidRPr="003E5BF9" w:rsidRDefault="003E5BF9" w:rsidP="003E5BF9">
      <w:pPr>
        <w:pStyle w:val="smlouvabodytext"/>
        <w:spacing w:after="0"/>
        <w:ind w:left="425"/>
        <w:rPr>
          <w:rFonts w:ascii="Calibri" w:hAnsi="Calibri" w:cs="Calibri"/>
          <w:sz w:val="20"/>
        </w:rPr>
      </w:pPr>
      <w:r w:rsidRPr="003E5BF9">
        <w:rPr>
          <w:rFonts w:ascii="Calibri" w:hAnsi="Calibri" w:cs="Calibri"/>
          <w:sz w:val="20"/>
        </w:rPr>
        <w:lastRenderedPageBreak/>
        <w:t xml:space="preserve">Deloitte: </w:t>
      </w:r>
    </w:p>
    <w:p w14:paraId="4B18BFBA" w14:textId="42D38FCC" w:rsidR="003E5BF9" w:rsidRPr="003E5BF9" w:rsidRDefault="003E5BF9" w:rsidP="003E5BF9">
      <w:pPr>
        <w:pStyle w:val="smlouvabodytext"/>
        <w:spacing w:after="0"/>
        <w:ind w:left="425"/>
        <w:rPr>
          <w:rFonts w:ascii="Calibri" w:hAnsi="Calibri" w:cs="Calibri"/>
          <w:sz w:val="20"/>
        </w:rPr>
      </w:pPr>
      <w:r w:rsidRPr="003E5BF9">
        <w:rPr>
          <w:rFonts w:ascii="Calibri" w:hAnsi="Calibri" w:cs="Calibri"/>
          <w:sz w:val="20"/>
        </w:rPr>
        <w:t xml:space="preserve">Tel.: </w:t>
      </w:r>
    </w:p>
    <w:p w14:paraId="7CEAAAAB" w14:textId="12D591C2" w:rsidR="00B7025F" w:rsidRDefault="003E5BF9" w:rsidP="003E5BF9">
      <w:pPr>
        <w:pStyle w:val="smlouvabodytext"/>
        <w:spacing w:after="0"/>
        <w:ind w:left="425"/>
        <w:rPr>
          <w:rFonts w:ascii="Calibri" w:hAnsi="Calibri" w:cs="Calibri"/>
          <w:sz w:val="20"/>
        </w:rPr>
      </w:pPr>
      <w:r w:rsidRPr="003E5BF9">
        <w:rPr>
          <w:rFonts w:ascii="Calibri" w:hAnsi="Calibri" w:cs="Calibri"/>
          <w:sz w:val="20"/>
        </w:rPr>
        <w:t xml:space="preserve">e-mail: </w:t>
      </w:r>
    </w:p>
    <w:p w14:paraId="734A5F11" w14:textId="77777777" w:rsidR="003E5BF9" w:rsidRPr="009D5B7E" w:rsidRDefault="003E5BF9" w:rsidP="003E5BF9">
      <w:pPr>
        <w:pStyle w:val="smlouvabodytext"/>
        <w:spacing w:after="0"/>
        <w:ind w:left="425"/>
        <w:rPr>
          <w:rFonts w:ascii="Calibri" w:hAnsi="Calibri" w:cs="Calibri"/>
          <w:sz w:val="20"/>
        </w:rPr>
      </w:pPr>
    </w:p>
    <w:p w14:paraId="790EC1A9" w14:textId="548E0D35" w:rsidR="00B7025F" w:rsidRPr="009D5B7E" w:rsidRDefault="00B7025F" w:rsidP="00A0593F">
      <w:pPr>
        <w:pStyle w:val="smlouvabodytext"/>
        <w:spacing w:after="0"/>
        <w:ind w:left="425"/>
        <w:rPr>
          <w:rFonts w:ascii="Calibri" w:hAnsi="Calibri" w:cs="Calibri"/>
          <w:sz w:val="20"/>
        </w:rPr>
      </w:pPr>
      <w:bookmarkStart w:id="61" w:name="ZN64"/>
      <w:bookmarkEnd w:id="61"/>
      <w:r w:rsidRPr="009D5B7E">
        <w:rPr>
          <w:rFonts w:ascii="Calibri" w:hAnsi="Calibri" w:cs="Calibri"/>
          <w:sz w:val="20"/>
        </w:rPr>
        <w:t xml:space="preserve">Klient: </w:t>
      </w:r>
      <w:r w:rsidR="00456DF9" w:rsidRPr="00FF0073">
        <w:rPr>
          <w:rFonts w:ascii="Calibri" w:hAnsi="Calibri" w:cs="Calibri"/>
          <w:sz w:val="20"/>
        </w:rPr>
        <w:t>RNDr. Ing. Ivo Mac</w:t>
      </w:r>
      <w:r w:rsidR="00456DF9">
        <w:rPr>
          <w:rFonts w:ascii="Calibri" w:hAnsi="Calibri" w:cs="Calibri"/>
          <w:sz w:val="20"/>
        </w:rPr>
        <w:t>ek, a</w:t>
      </w:r>
      <w:r w:rsidRPr="009D5B7E">
        <w:rPr>
          <w:rFonts w:ascii="Calibri" w:hAnsi="Calibri" w:cs="Calibri"/>
          <w:sz w:val="20"/>
        </w:rPr>
        <w:t xml:space="preserve">dresa uvedené na titulní straně Smlouvy </w:t>
      </w:r>
    </w:p>
    <w:p w14:paraId="462872D8" w14:textId="66242E7D" w:rsidR="00B7025F" w:rsidRPr="009D5B7E" w:rsidRDefault="00B7025F" w:rsidP="00A0593F">
      <w:pPr>
        <w:pStyle w:val="smlouvabodytext"/>
        <w:spacing w:after="0"/>
        <w:ind w:left="425"/>
        <w:rPr>
          <w:rFonts w:ascii="Calibri" w:hAnsi="Calibri" w:cs="Calibri"/>
          <w:sz w:val="20"/>
        </w:rPr>
      </w:pPr>
      <w:r w:rsidRPr="009D5B7E">
        <w:rPr>
          <w:rFonts w:ascii="Calibri" w:hAnsi="Calibri" w:cs="Calibri"/>
          <w:sz w:val="20"/>
        </w:rPr>
        <w:t xml:space="preserve">Tel.: </w:t>
      </w:r>
      <w:bookmarkStart w:id="62" w:name="Tel"/>
      <w:bookmarkEnd w:id="62"/>
    </w:p>
    <w:p w14:paraId="32203298" w14:textId="306610DA" w:rsidR="00B7025F" w:rsidRPr="009D5B7E" w:rsidRDefault="00B7025F" w:rsidP="00A0593F">
      <w:pPr>
        <w:pStyle w:val="smlouvabodytext"/>
        <w:spacing w:after="0"/>
        <w:ind w:left="425"/>
        <w:rPr>
          <w:rFonts w:ascii="Calibri" w:hAnsi="Calibri" w:cs="Calibri"/>
          <w:sz w:val="20"/>
        </w:rPr>
      </w:pPr>
      <w:r w:rsidRPr="009D5B7E">
        <w:rPr>
          <w:rFonts w:ascii="Calibri" w:hAnsi="Calibri" w:cs="Calibri"/>
          <w:sz w:val="20"/>
        </w:rPr>
        <w:t xml:space="preserve">e-mail: </w:t>
      </w:r>
    </w:p>
    <w:p w14:paraId="1841C691" w14:textId="77777777" w:rsidR="00B7025F" w:rsidRPr="009D5B7E" w:rsidRDefault="00B7025F" w:rsidP="003E572E">
      <w:pPr>
        <w:pStyle w:val="Smlouvaheading1"/>
        <w:rPr>
          <w:rFonts w:ascii="Calibri" w:hAnsi="Calibri" w:cs="Calibri"/>
          <w:sz w:val="20"/>
          <w:szCs w:val="18"/>
        </w:rPr>
      </w:pPr>
      <w:proofErr w:type="spellStart"/>
      <w:r w:rsidRPr="009D5B7E">
        <w:rPr>
          <w:rFonts w:ascii="Calibri" w:hAnsi="Calibri" w:cs="Calibri"/>
          <w:sz w:val="20"/>
          <w:szCs w:val="18"/>
        </w:rPr>
        <w:t>Všeobecné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
    <w:p w14:paraId="2E6B57E2" w14:textId="77777777" w:rsidR="00B7025F" w:rsidRDefault="00B7025F" w:rsidP="00B204BA">
      <w:pPr>
        <w:pStyle w:val="Smlouvaheading2"/>
        <w:rPr>
          <w:rFonts w:ascii="Calibri" w:hAnsi="Calibri" w:cs="Calibri"/>
          <w:sz w:val="20"/>
          <w:szCs w:val="18"/>
        </w:rPr>
      </w:pP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tvořící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Přílohu</w:t>
      </w:r>
      <w:proofErr w:type="spellEnd"/>
      <w:r w:rsidRPr="009D5B7E">
        <w:rPr>
          <w:rFonts w:ascii="Calibri" w:hAnsi="Calibri" w:cs="Calibri"/>
          <w:sz w:val="20"/>
          <w:szCs w:val="18"/>
        </w:rPr>
        <w:t xml:space="preserve"> č. 3 </w:t>
      </w:r>
      <w:proofErr w:type="spellStart"/>
      <w:r w:rsidRPr="009D5B7E">
        <w:rPr>
          <w:rFonts w:ascii="Calibri" w:hAnsi="Calibri" w:cs="Calibri"/>
          <w:sz w:val="20"/>
          <w:szCs w:val="18"/>
        </w:rPr>
        <w:t>představují</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ustanovením</w:t>
      </w:r>
      <w:proofErr w:type="spellEnd"/>
      <w:r w:rsidRPr="009D5B7E">
        <w:rPr>
          <w:rFonts w:ascii="Calibri" w:hAnsi="Calibri" w:cs="Calibri"/>
          <w:sz w:val="20"/>
          <w:szCs w:val="18"/>
        </w:rPr>
        <w:t xml:space="preserve"> § 1751 </w:t>
      </w:r>
      <w:proofErr w:type="spellStart"/>
      <w:r w:rsidRPr="009D5B7E">
        <w:rPr>
          <w:rFonts w:ascii="Calibri" w:hAnsi="Calibri" w:cs="Calibri"/>
          <w:sz w:val="20"/>
          <w:szCs w:val="18"/>
        </w:rPr>
        <w:t>odst</w:t>
      </w:r>
      <w:proofErr w:type="spellEnd"/>
      <w:r w:rsidRPr="009D5B7E">
        <w:rPr>
          <w:rFonts w:ascii="Calibri" w:hAnsi="Calibri" w:cs="Calibri"/>
          <w:sz w:val="20"/>
          <w:szCs w:val="18"/>
        </w:rPr>
        <w:t xml:space="preserve">. 1 </w:t>
      </w:r>
      <w:proofErr w:type="spellStart"/>
      <w:r w:rsidRPr="009D5B7E">
        <w:rPr>
          <w:rFonts w:ascii="Calibri" w:hAnsi="Calibri" w:cs="Calibri"/>
          <w:sz w:val="20"/>
          <w:szCs w:val="18"/>
        </w:rPr>
        <w:t>občanského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zákoníku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nedílnou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tohoto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w:t>
      </w:r>
    </w:p>
    <w:p w14:paraId="18C55A51" w14:textId="0F336671" w:rsidR="00CE2DE3" w:rsidRPr="009D5B7E" w:rsidRDefault="0090724F" w:rsidP="00B204BA">
      <w:pPr>
        <w:pStyle w:val="Smlouvaheading2"/>
        <w:rPr>
          <w:rFonts w:ascii="Calibri" w:hAnsi="Calibri" w:cs="Calibri"/>
          <w:sz w:val="20"/>
          <w:szCs w:val="18"/>
        </w:rPr>
      </w:pPr>
      <w:proofErr w:type="spellStart"/>
      <w:r>
        <w:rPr>
          <w:rFonts w:ascii="Calibri" w:hAnsi="Calibri" w:cs="Calibri"/>
          <w:sz w:val="20"/>
          <w:szCs w:val="18"/>
        </w:rPr>
        <w:t>Omezení</w:t>
      </w:r>
      <w:proofErr w:type="spellEnd"/>
      <w:r>
        <w:rPr>
          <w:rFonts w:ascii="Calibri" w:hAnsi="Calibri" w:cs="Calibri"/>
          <w:sz w:val="20"/>
          <w:szCs w:val="18"/>
        </w:rPr>
        <w:t xml:space="preserve"> </w:t>
      </w:r>
      <w:proofErr w:type="spellStart"/>
      <w:r>
        <w:rPr>
          <w:rFonts w:ascii="Calibri" w:hAnsi="Calibri" w:cs="Calibri"/>
          <w:sz w:val="20"/>
          <w:szCs w:val="18"/>
        </w:rPr>
        <w:t>použití</w:t>
      </w:r>
      <w:proofErr w:type="spellEnd"/>
      <w:r>
        <w:rPr>
          <w:rFonts w:ascii="Calibri" w:hAnsi="Calibri" w:cs="Calibri"/>
          <w:sz w:val="20"/>
          <w:szCs w:val="18"/>
        </w:rPr>
        <w:t xml:space="preserve"> </w:t>
      </w:r>
      <w:proofErr w:type="spellStart"/>
      <w:r>
        <w:rPr>
          <w:rFonts w:ascii="Calibri" w:hAnsi="Calibri" w:cs="Calibri"/>
          <w:sz w:val="20"/>
          <w:szCs w:val="18"/>
        </w:rPr>
        <w:t>Výstupů</w:t>
      </w:r>
      <w:proofErr w:type="spellEnd"/>
      <w:r>
        <w:rPr>
          <w:rFonts w:ascii="Calibri" w:hAnsi="Calibri" w:cs="Calibri"/>
          <w:sz w:val="20"/>
          <w:szCs w:val="18"/>
        </w:rPr>
        <w:t xml:space="preserve"> </w:t>
      </w:r>
      <w:proofErr w:type="spellStart"/>
      <w:r>
        <w:rPr>
          <w:rFonts w:ascii="Calibri" w:hAnsi="Calibri" w:cs="Calibri"/>
          <w:sz w:val="20"/>
          <w:szCs w:val="18"/>
        </w:rPr>
        <w:t>podle</w:t>
      </w:r>
      <w:proofErr w:type="spellEnd"/>
      <w:r>
        <w:rPr>
          <w:rFonts w:ascii="Calibri" w:hAnsi="Calibri" w:cs="Calibri"/>
          <w:sz w:val="20"/>
          <w:szCs w:val="18"/>
        </w:rPr>
        <w:t xml:space="preserve"> </w:t>
      </w:r>
      <w:proofErr w:type="spellStart"/>
      <w:r>
        <w:rPr>
          <w:rFonts w:ascii="Calibri" w:hAnsi="Calibri" w:cs="Calibri"/>
          <w:sz w:val="20"/>
          <w:szCs w:val="18"/>
        </w:rPr>
        <w:t>čl</w:t>
      </w:r>
      <w:proofErr w:type="spellEnd"/>
      <w:r>
        <w:rPr>
          <w:rFonts w:ascii="Calibri" w:hAnsi="Calibri" w:cs="Calibri"/>
          <w:sz w:val="20"/>
          <w:szCs w:val="18"/>
        </w:rPr>
        <w:t xml:space="preserve">. 10 </w:t>
      </w:r>
      <w:proofErr w:type="spellStart"/>
      <w:r>
        <w:rPr>
          <w:rFonts w:ascii="Calibri" w:hAnsi="Calibri" w:cs="Calibri"/>
          <w:sz w:val="20"/>
          <w:szCs w:val="18"/>
        </w:rPr>
        <w:t>písm</w:t>
      </w:r>
      <w:proofErr w:type="spellEnd"/>
      <w:r>
        <w:rPr>
          <w:rFonts w:ascii="Calibri" w:hAnsi="Calibri" w:cs="Calibri"/>
          <w:sz w:val="20"/>
          <w:szCs w:val="18"/>
        </w:rPr>
        <w:t xml:space="preserve">. d) </w:t>
      </w:r>
      <w:proofErr w:type="spellStart"/>
      <w:r>
        <w:rPr>
          <w:rFonts w:ascii="Calibri" w:hAnsi="Calibri" w:cs="Calibri"/>
          <w:sz w:val="20"/>
          <w:szCs w:val="18"/>
        </w:rPr>
        <w:t>Obchodních</w:t>
      </w:r>
      <w:proofErr w:type="spellEnd"/>
      <w:r>
        <w:rPr>
          <w:rFonts w:ascii="Calibri" w:hAnsi="Calibri" w:cs="Calibri"/>
          <w:sz w:val="20"/>
          <w:szCs w:val="18"/>
        </w:rPr>
        <w:t xml:space="preserve"> </w:t>
      </w:r>
      <w:proofErr w:type="spellStart"/>
      <w:r>
        <w:rPr>
          <w:rFonts w:ascii="Calibri" w:hAnsi="Calibri" w:cs="Calibri"/>
          <w:sz w:val="20"/>
          <w:szCs w:val="18"/>
        </w:rPr>
        <w:t>podmínek</w:t>
      </w:r>
      <w:proofErr w:type="spellEnd"/>
      <w:r>
        <w:rPr>
          <w:rFonts w:ascii="Calibri" w:hAnsi="Calibri" w:cs="Calibri"/>
          <w:sz w:val="20"/>
          <w:szCs w:val="18"/>
        </w:rPr>
        <w:t xml:space="preserve"> se </w:t>
      </w:r>
      <w:proofErr w:type="spellStart"/>
      <w:r>
        <w:rPr>
          <w:rFonts w:ascii="Calibri" w:hAnsi="Calibri" w:cs="Calibri"/>
          <w:sz w:val="20"/>
          <w:szCs w:val="18"/>
        </w:rPr>
        <w:t>nevztahuje</w:t>
      </w:r>
      <w:proofErr w:type="spellEnd"/>
      <w:r>
        <w:rPr>
          <w:rFonts w:ascii="Calibri" w:hAnsi="Calibri" w:cs="Calibri"/>
          <w:sz w:val="20"/>
          <w:szCs w:val="18"/>
        </w:rPr>
        <w:t xml:space="preserve"> </w:t>
      </w:r>
      <w:proofErr w:type="spellStart"/>
      <w:r>
        <w:rPr>
          <w:rFonts w:ascii="Calibri" w:hAnsi="Calibri" w:cs="Calibri"/>
          <w:sz w:val="20"/>
          <w:szCs w:val="18"/>
        </w:rPr>
        <w:t>na</w:t>
      </w:r>
      <w:proofErr w:type="spellEnd"/>
      <w:r>
        <w:rPr>
          <w:rFonts w:ascii="Calibri" w:hAnsi="Calibri" w:cs="Calibri"/>
          <w:sz w:val="20"/>
          <w:szCs w:val="18"/>
        </w:rPr>
        <w:t xml:space="preserve"> </w:t>
      </w:r>
      <w:proofErr w:type="spellStart"/>
      <w:r>
        <w:rPr>
          <w:rFonts w:ascii="Calibri" w:hAnsi="Calibri" w:cs="Calibri"/>
          <w:sz w:val="20"/>
          <w:szCs w:val="18"/>
        </w:rPr>
        <w:t>případ</w:t>
      </w:r>
      <w:proofErr w:type="spellEnd"/>
      <w:r w:rsidR="003457AA">
        <w:rPr>
          <w:rFonts w:ascii="Calibri" w:hAnsi="Calibri" w:cs="Calibri"/>
          <w:sz w:val="20"/>
          <w:szCs w:val="18"/>
        </w:rPr>
        <w:t xml:space="preserve">, </w:t>
      </w:r>
      <w:proofErr w:type="spellStart"/>
      <w:r w:rsidR="003457AA">
        <w:rPr>
          <w:rFonts w:ascii="Calibri" w:hAnsi="Calibri" w:cs="Calibri"/>
          <w:sz w:val="20"/>
          <w:szCs w:val="18"/>
        </w:rPr>
        <w:t>kdy</w:t>
      </w:r>
      <w:proofErr w:type="spellEnd"/>
      <w:r w:rsidR="003457AA">
        <w:rPr>
          <w:rFonts w:ascii="Calibri" w:hAnsi="Calibri" w:cs="Calibri"/>
          <w:sz w:val="20"/>
          <w:szCs w:val="18"/>
        </w:rPr>
        <w:t xml:space="preserve"> </w:t>
      </w:r>
      <w:proofErr w:type="spellStart"/>
      <w:r w:rsidR="003457AA">
        <w:rPr>
          <w:rFonts w:ascii="Calibri" w:hAnsi="Calibri" w:cs="Calibri"/>
          <w:sz w:val="20"/>
          <w:szCs w:val="18"/>
        </w:rPr>
        <w:t>Klient</w:t>
      </w:r>
      <w:proofErr w:type="spellEnd"/>
      <w:r w:rsidR="003457AA">
        <w:rPr>
          <w:rFonts w:ascii="Calibri" w:hAnsi="Calibri" w:cs="Calibri"/>
          <w:sz w:val="20"/>
          <w:szCs w:val="18"/>
        </w:rPr>
        <w:t xml:space="preserve"> </w:t>
      </w:r>
      <w:proofErr w:type="spellStart"/>
      <w:r w:rsidR="003457AA">
        <w:rPr>
          <w:rFonts w:ascii="Calibri" w:hAnsi="Calibri" w:cs="Calibri"/>
          <w:sz w:val="20"/>
          <w:szCs w:val="18"/>
        </w:rPr>
        <w:t>seznámí</w:t>
      </w:r>
      <w:proofErr w:type="spellEnd"/>
      <w:r w:rsidR="003457AA">
        <w:rPr>
          <w:rFonts w:ascii="Calibri" w:hAnsi="Calibri" w:cs="Calibri"/>
          <w:sz w:val="20"/>
          <w:szCs w:val="18"/>
        </w:rPr>
        <w:t xml:space="preserve"> s</w:t>
      </w:r>
      <w:r w:rsidR="00EC3DAE">
        <w:rPr>
          <w:rFonts w:ascii="Calibri" w:hAnsi="Calibri" w:cs="Calibri"/>
          <w:sz w:val="20"/>
          <w:szCs w:val="18"/>
        </w:rPr>
        <w:t xml:space="preserve"> </w:t>
      </w:r>
      <w:proofErr w:type="spellStart"/>
      <w:r w:rsidR="00EC3DAE">
        <w:rPr>
          <w:rFonts w:ascii="Calibri" w:hAnsi="Calibri" w:cs="Calibri"/>
          <w:sz w:val="20"/>
          <w:szCs w:val="18"/>
        </w:rPr>
        <w:t>Výstupy</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věcně</w:t>
      </w:r>
      <w:proofErr w:type="spellEnd"/>
      <w:r w:rsidR="00EC3DAE">
        <w:rPr>
          <w:rFonts w:ascii="Calibri" w:hAnsi="Calibri" w:cs="Calibri"/>
          <w:sz w:val="20"/>
          <w:szCs w:val="18"/>
        </w:rPr>
        <w:t xml:space="preserve"> </w:t>
      </w:r>
      <w:proofErr w:type="spellStart"/>
      <w:r w:rsidR="005020D2">
        <w:rPr>
          <w:rFonts w:ascii="Calibri" w:hAnsi="Calibri" w:cs="Calibri"/>
          <w:sz w:val="20"/>
          <w:szCs w:val="18"/>
        </w:rPr>
        <w:t>příslušné</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zaměstnance</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Magistrátu</w:t>
      </w:r>
      <w:proofErr w:type="spellEnd"/>
      <w:r w:rsidR="003457AA">
        <w:rPr>
          <w:rFonts w:ascii="Calibri" w:hAnsi="Calibri" w:cs="Calibri"/>
          <w:sz w:val="20"/>
          <w:szCs w:val="18"/>
        </w:rPr>
        <w:t xml:space="preserve"> </w:t>
      </w:r>
      <w:proofErr w:type="spellStart"/>
      <w:r w:rsidR="005020D2">
        <w:rPr>
          <w:rFonts w:ascii="Calibri" w:hAnsi="Calibri" w:cs="Calibri"/>
          <w:sz w:val="20"/>
          <w:szCs w:val="18"/>
        </w:rPr>
        <w:t>hlavní</w:t>
      </w:r>
      <w:r w:rsidR="00B23B4B">
        <w:rPr>
          <w:rFonts w:ascii="Calibri" w:hAnsi="Calibri" w:cs="Calibri"/>
          <w:sz w:val="20"/>
          <w:szCs w:val="18"/>
        </w:rPr>
        <w:t>h</w:t>
      </w:r>
      <w:r w:rsidR="005020D2">
        <w:rPr>
          <w:rFonts w:ascii="Calibri" w:hAnsi="Calibri" w:cs="Calibri"/>
          <w:sz w:val="20"/>
          <w:szCs w:val="18"/>
        </w:rPr>
        <w:t>o</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města</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Prahy</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nebo</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členy</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Zastupitelstva</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hlavního</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města</w:t>
      </w:r>
      <w:proofErr w:type="spellEnd"/>
      <w:r w:rsidR="005020D2">
        <w:rPr>
          <w:rFonts w:ascii="Calibri" w:hAnsi="Calibri" w:cs="Calibri"/>
          <w:sz w:val="20"/>
          <w:szCs w:val="18"/>
        </w:rPr>
        <w:t xml:space="preserve"> </w:t>
      </w:r>
      <w:proofErr w:type="spellStart"/>
      <w:r w:rsidR="005020D2">
        <w:rPr>
          <w:rFonts w:ascii="Calibri" w:hAnsi="Calibri" w:cs="Calibri"/>
          <w:sz w:val="20"/>
          <w:szCs w:val="18"/>
        </w:rPr>
        <w:t>Prahy</w:t>
      </w:r>
      <w:proofErr w:type="spellEnd"/>
      <w:r w:rsidR="005020D2">
        <w:rPr>
          <w:rFonts w:ascii="Calibri" w:hAnsi="Calibri" w:cs="Calibri"/>
          <w:sz w:val="20"/>
          <w:szCs w:val="18"/>
        </w:rPr>
        <w:t>.</w:t>
      </w:r>
    </w:p>
    <w:p w14:paraId="2020ABD4" w14:textId="77777777" w:rsidR="00B7025F" w:rsidRPr="009D5B7E" w:rsidRDefault="00B7025F" w:rsidP="003E572E">
      <w:pPr>
        <w:pStyle w:val="Smlouvaheading1"/>
        <w:rPr>
          <w:rFonts w:ascii="Calibri" w:hAnsi="Calibri" w:cs="Calibri"/>
          <w:sz w:val="20"/>
          <w:szCs w:val="18"/>
        </w:rPr>
      </w:pPr>
      <w:proofErr w:type="spellStart"/>
      <w:r w:rsidRPr="009D5B7E">
        <w:rPr>
          <w:rFonts w:ascii="Calibri" w:hAnsi="Calibri" w:cs="Calibri"/>
          <w:sz w:val="20"/>
          <w:szCs w:val="18"/>
        </w:rPr>
        <w:t>Závěrečná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ujednání</w:t>
      </w:r>
      <w:proofErr w:type="spellEnd"/>
      <w:r w:rsidRPr="009D5B7E">
        <w:rPr>
          <w:rFonts w:ascii="Calibri" w:hAnsi="Calibri" w:cs="Calibri"/>
          <w:sz w:val="20"/>
          <w:szCs w:val="18"/>
        </w:rPr>
        <w:t xml:space="preserve"> </w:t>
      </w:r>
    </w:p>
    <w:p w14:paraId="206C9AB7" w14:textId="77777777" w:rsidR="00B7025F" w:rsidRPr="009D5B7E" w:rsidRDefault="00B7025F" w:rsidP="00B204BA">
      <w:pPr>
        <w:pStyle w:val="Smlouvaheading2"/>
        <w:rPr>
          <w:rFonts w:ascii="Calibri" w:hAnsi="Calibri" w:cs="Calibri"/>
          <w:sz w:val="20"/>
          <w:szCs w:val="18"/>
        </w:rPr>
      </w:pPr>
      <w:proofErr w:type="spellStart"/>
      <w:r w:rsidRPr="009D5B7E">
        <w:rPr>
          <w:rFonts w:ascii="Calibri" w:hAnsi="Calibri" w:cs="Calibri"/>
          <w:sz w:val="20"/>
          <w:szCs w:val="18"/>
        </w:rPr>
        <w:t>Obě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seznámily</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obsahem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vázány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ujednáními</w:t>
      </w:r>
      <w:proofErr w:type="spellEnd"/>
      <w:r w:rsidRPr="009D5B7E">
        <w:rPr>
          <w:rFonts w:ascii="Calibri" w:hAnsi="Calibri" w:cs="Calibri"/>
          <w:sz w:val="20"/>
          <w:szCs w:val="18"/>
        </w:rPr>
        <w:t xml:space="preserve">. </w:t>
      </w:r>
    </w:p>
    <w:p w14:paraId="017828E3" w14:textId="29130C50" w:rsidR="00B7025F" w:rsidRPr="009D5B7E" w:rsidRDefault="00B7025F" w:rsidP="00B204BA">
      <w:pPr>
        <w:pStyle w:val="Smlouvaheading2"/>
        <w:rPr>
          <w:rFonts w:ascii="Calibri" w:hAnsi="Calibri" w:cs="Calibri"/>
          <w:sz w:val="20"/>
          <w:szCs w:val="18"/>
        </w:rPr>
      </w:pPr>
      <w:proofErr w:type="spellStart"/>
      <w:r w:rsidRPr="009D5B7E">
        <w:rPr>
          <w:rFonts w:ascii="Calibri" w:hAnsi="Calibri" w:cs="Calibri"/>
          <w:sz w:val="20"/>
          <w:szCs w:val="18"/>
        </w:rPr>
        <w:t>Veškeré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dodatky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musejí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provedeny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dodatku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považovat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nový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nový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dodatku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použití</w:t>
      </w:r>
      <w:proofErr w:type="spellEnd"/>
      <w:r w:rsidRPr="009D5B7E">
        <w:rPr>
          <w:rFonts w:ascii="Calibri" w:hAnsi="Calibri" w:cs="Calibri"/>
          <w:sz w:val="20"/>
          <w:szCs w:val="18"/>
        </w:rPr>
        <w:t xml:space="preserve"> § 1740 </w:t>
      </w:r>
      <w:proofErr w:type="spellStart"/>
      <w:r w:rsidRPr="009D5B7E">
        <w:rPr>
          <w:rFonts w:ascii="Calibri" w:hAnsi="Calibri" w:cs="Calibri"/>
          <w:sz w:val="20"/>
          <w:szCs w:val="18"/>
        </w:rPr>
        <w:t>odst</w:t>
      </w:r>
      <w:proofErr w:type="spellEnd"/>
      <w:r w:rsidRPr="009D5B7E">
        <w:rPr>
          <w:rFonts w:ascii="Calibri" w:hAnsi="Calibri" w:cs="Calibri"/>
          <w:sz w:val="20"/>
          <w:szCs w:val="18"/>
        </w:rPr>
        <w:t xml:space="preserve">. 3, </w:t>
      </w:r>
      <w:proofErr w:type="spellStart"/>
      <w:r w:rsidRPr="009D5B7E">
        <w:rPr>
          <w:rFonts w:ascii="Calibri" w:hAnsi="Calibri" w:cs="Calibri"/>
          <w:sz w:val="20"/>
          <w:szCs w:val="18"/>
        </w:rPr>
        <w:t>občanského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zákoníku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vylučují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bere</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potaz</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článkem</w:t>
      </w:r>
      <w:proofErr w:type="spellEnd"/>
      <w:r w:rsidRPr="009D5B7E">
        <w:rPr>
          <w:rFonts w:ascii="Calibri" w:hAnsi="Calibri" w:cs="Calibri"/>
          <w:sz w:val="20"/>
          <w:szCs w:val="18"/>
        </w:rPr>
        <w:t xml:space="preserve"> 6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omezujícím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škodu</w:t>
      </w:r>
      <w:proofErr w:type="spellEnd"/>
      <w:r w:rsidRPr="009D5B7E">
        <w:rPr>
          <w:rFonts w:ascii="Calibri" w:hAnsi="Calibri" w:cs="Calibri"/>
          <w:sz w:val="20"/>
          <w:szCs w:val="18"/>
        </w:rPr>
        <w:t>.</w:t>
      </w:r>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Strany</w:t>
      </w:r>
      <w:proofErr w:type="spellEnd"/>
      <w:r w:rsidR="0008662A" w:rsidRPr="009D5B7E">
        <w:rPr>
          <w:rFonts w:ascii="Calibri" w:hAnsi="Calibri" w:cs="Calibri"/>
          <w:sz w:val="20"/>
          <w:szCs w:val="18"/>
        </w:rPr>
        <w:t xml:space="preserve"> se </w:t>
      </w:r>
      <w:proofErr w:type="spellStart"/>
      <w:r w:rsidR="0008662A" w:rsidRPr="009D5B7E">
        <w:rPr>
          <w:rFonts w:ascii="Calibri" w:hAnsi="Calibri" w:cs="Calibri"/>
          <w:sz w:val="20"/>
          <w:szCs w:val="18"/>
        </w:rPr>
        <w:t>dohodly</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že</w:t>
      </w:r>
      <w:proofErr w:type="spellEnd"/>
      <w:r w:rsidR="0008662A" w:rsidRPr="009D5B7E">
        <w:rPr>
          <w:rFonts w:ascii="Calibri" w:hAnsi="Calibri" w:cs="Calibri"/>
          <w:sz w:val="20"/>
          <w:szCs w:val="18"/>
        </w:rPr>
        <w:t xml:space="preserve"> se </w:t>
      </w:r>
      <w:proofErr w:type="spellStart"/>
      <w:r w:rsidR="0008662A" w:rsidRPr="009D5B7E">
        <w:rPr>
          <w:rFonts w:ascii="Calibri" w:hAnsi="Calibri" w:cs="Calibri"/>
          <w:sz w:val="20"/>
          <w:szCs w:val="18"/>
        </w:rPr>
        <w:t>obchodní</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zvyklosti</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ve</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smyslu</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ustanovení</w:t>
      </w:r>
      <w:proofErr w:type="spellEnd"/>
      <w:r w:rsidR="0008662A" w:rsidRPr="009D5B7E">
        <w:rPr>
          <w:rFonts w:ascii="Calibri" w:hAnsi="Calibri" w:cs="Calibri"/>
          <w:sz w:val="20"/>
          <w:szCs w:val="18"/>
        </w:rPr>
        <w:t xml:space="preserve"> § 558 </w:t>
      </w:r>
      <w:proofErr w:type="spellStart"/>
      <w:r w:rsidR="0008662A" w:rsidRPr="009D5B7E">
        <w:rPr>
          <w:rFonts w:ascii="Calibri" w:hAnsi="Calibri" w:cs="Calibri"/>
          <w:sz w:val="20"/>
          <w:szCs w:val="18"/>
        </w:rPr>
        <w:t>odst</w:t>
      </w:r>
      <w:proofErr w:type="spellEnd"/>
      <w:r w:rsidR="0008662A" w:rsidRPr="009D5B7E">
        <w:rPr>
          <w:rFonts w:ascii="Calibri" w:hAnsi="Calibri" w:cs="Calibri"/>
          <w:sz w:val="20"/>
          <w:szCs w:val="18"/>
        </w:rPr>
        <w:t xml:space="preserve">. 2 </w:t>
      </w:r>
      <w:proofErr w:type="spellStart"/>
      <w:r w:rsidR="0008662A" w:rsidRPr="009D5B7E">
        <w:rPr>
          <w:rFonts w:ascii="Calibri" w:hAnsi="Calibri" w:cs="Calibri"/>
          <w:sz w:val="20"/>
          <w:szCs w:val="18"/>
        </w:rPr>
        <w:t>občanského</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zákoníku</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při</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výkladu</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této</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Smlouvy</w:t>
      </w:r>
      <w:proofErr w:type="spellEnd"/>
      <w:r w:rsidR="0008662A" w:rsidRPr="009D5B7E">
        <w:rPr>
          <w:rFonts w:ascii="Calibri" w:hAnsi="Calibri" w:cs="Calibri"/>
          <w:sz w:val="20"/>
          <w:szCs w:val="18"/>
        </w:rPr>
        <w:t xml:space="preserve"> </w:t>
      </w:r>
      <w:proofErr w:type="spellStart"/>
      <w:r w:rsidR="0008662A" w:rsidRPr="009D5B7E">
        <w:rPr>
          <w:rFonts w:ascii="Calibri" w:hAnsi="Calibri" w:cs="Calibri"/>
          <w:sz w:val="20"/>
          <w:szCs w:val="18"/>
        </w:rPr>
        <w:t>nepoužijí</w:t>
      </w:r>
      <w:proofErr w:type="spellEnd"/>
      <w:r w:rsidR="0008662A" w:rsidRPr="009D5B7E">
        <w:rPr>
          <w:rFonts w:ascii="Calibri" w:hAnsi="Calibri" w:cs="Calibri"/>
          <w:sz w:val="20"/>
          <w:szCs w:val="18"/>
        </w:rPr>
        <w:t>.</w:t>
      </w:r>
    </w:p>
    <w:p w14:paraId="79C54E19" w14:textId="77777777" w:rsidR="00B7025F" w:rsidRPr="009D5B7E" w:rsidRDefault="00B7025F" w:rsidP="00B204BA">
      <w:pPr>
        <w:pStyle w:val="Smlouvaheading2"/>
        <w:rPr>
          <w:rFonts w:ascii="Calibri" w:hAnsi="Calibri" w:cs="Calibri"/>
          <w:sz w:val="20"/>
          <w:szCs w:val="18"/>
        </w:rPr>
      </w:pPr>
      <w:r w:rsidRPr="009D5B7E">
        <w:rPr>
          <w:rFonts w:ascii="Calibri" w:hAnsi="Calibri" w:cs="Calibri"/>
          <w:sz w:val="20"/>
          <w:szCs w:val="18"/>
        </w:rPr>
        <w:t xml:space="preserve">Tato </w:t>
      </w:r>
      <w:proofErr w:type="spellStart"/>
      <w:r w:rsidRPr="009D5B7E">
        <w:rPr>
          <w:rFonts w:ascii="Calibri" w:hAnsi="Calibri" w:cs="Calibri"/>
          <w:sz w:val="20"/>
          <w:szCs w:val="18"/>
        </w:rPr>
        <w:t>Smlouva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vyhotovena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dvou</w:t>
      </w:r>
      <w:proofErr w:type="spellEnd"/>
      <w:r w:rsidRPr="009D5B7E">
        <w:rPr>
          <w:rFonts w:ascii="Calibri" w:hAnsi="Calibri" w:cs="Calibri"/>
          <w:sz w:val="20"/>
          <w:szCs w:val="18"/>
        </w:rPr>
        <w:t xml:space="preserve"> (2) </w:t>
      </w:r>
      <w:proofErr w:type="spellStart"/>
      <w:r w:rsidRPr="009D5B7E">
        <w:rPr>
          <w:rFonts w:ascii="Calibri" w:hAnsi="Calibri" w:cs="Calibri"/>
          <w:sz w:val="20"/>
          <w:szCs w:val="18"/>
        </w:rPr>
        <w:t>stejnopisech</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platností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originálu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Každá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obdrží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jeden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stejnopis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tvoří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nedílnou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215219C9" w14:textId="77777777" w:rsidR="00B7025F" w:rsidRPr="009D5B7E" w:rsidRDefault="00B7025F" w:rsidP="00B204BA">
      <w:pPr>
        <w:pStyle w:val="Smlouvaheading2"/>
        <w:rPr>
          <w:rFonts w:ascii="Calibri" w:hAnsi="Calibri" w:cs="Calibri"/>
          <w:sz w:val="20"/>
          <w:szCs w:val="18"/>
        </w:rPr>
      </w:pP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prohlašují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text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vzájemně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projednaly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věci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dosáhly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úplné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shody</w:t>
      </w:r>
      <w:proofErr w:type="spellEnd"/>
      <w:r w:rsidRPr="009D5B7E">
        <w:rPr>
          <w:rFonts w:ascii="Calibri" w:hAnsi="Calibri" w:cs="Calibri"/>
          <w:sz w:val="20"/>
          <w:szCs w:val="18"/>
        </w:rPr>
        <w:t xml:space="preserve">. Na </w:t>
      </w:r>
      <w:proofErr w:type="spellStart"/>
      <w:r w:rsidRPr="009D5B7E">
        <w:rPr>
          <w:rFonts w:ascii="Calibri" w:hAnsi="Calibri" w:cs="Calibri"/>
          <w:sz w:val="20"/>
          <w:szCs w:val="18"/>
        </w:rPr>
        <w:t>důkaz</w:t>
      </w:r>
      <w:proofErr w:type="spellEnd"/>
      <w:r w:rsidRPr="009D5B7E">
        <w:rPr>
          <w:rFonts w:ascii="Calibri" w:hAnsi="Calibri" w:cs="Calibri"/>
          <w:sz w:val="20"/>
          <w:szCs w:val="18"/>
        </w:rPr>
        <w:t xml:space="preserve"> toho,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text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zcela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odpovídá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nebyl</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podepsán</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tísni</w:t>
      </w:r>
      <w:proofErr w:type="spellEnd"/>
      <w:r w:rsidRPr="009D5B7E">
        <w:rPr>
          <w:rFonts w:ascii="Calibri" w:hAnsi="Calibri" w:cs="Calibri"/>
          <w:sz w:val="20"/>
          <w:szCs w:val="18"/>
        </w:rPr>
        <w:t xml:space="preserve"> ani za </w:t>
      </w:r>
      <w:proofErr w:type="spellStart"/>
      <w:r w:rsidRPr="009D5B7E">
        <w:rPr>
          <w:rFonts w:ascii="Calibri" w:hAnsi="Calibri" w:cs="Calibri"/>
          <w:sz w:val="20"/>
          <w:szCs w:val="18"/>
        </w:rPr>
        <w:t>nápadně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nevýhodných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připojují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podpisy</w:t>
      </w:r>
      <w:proofErr w:type="spellEnd"/>
      <w:r w:rsidRPr="009D5B7E">
        <w:rPr>
          <w:rFonts w:ascii="Calibri" w:hAnsi="Calibri" w:cs="Calibri"/>
          <w:sz w:val="20"/>
          <w:szCs w:val="18"/>
        </w:rPr>
        <w:t xml:space="preserve">. </w:t>
      </w:r>
    </w:p>
    <w:p w14:paraId="65B3E70B" w14:textId="77777777" w:rsidR="00B7025F" w:rsidRPr="009D5B7E" w:rsidRDefault="00B7025F" w:rsidP="000445D6">
      <w:pPr>
        <w:rPr>
          <w:rFonts w:ascii="Calibri" w:hAnsi="Calibri" w:cs="Calibri"/>
          <w:sz w:val="20"/>
          <w:szCs w:val="18"/>
        </w:rPr>
      </w:pPr>
    </w:p>
    <w:p w14:paraId="41B38596" w14:textId="6581D91D" w:rsidR="00B7025F" w:rsidRPr="009D5B7E" w:rsidRDefault="00B7025F" w:rsidP="000445D6">
      <w:pPr>
        <w:tabs>
          <w:tab w:val="left" w:pos="4536"/>
        </w:tabs>
        <w:rPr>
          <w:rFonts w:ascii="Calibri" w:hAnsi="Calibri" w:cs="Calibri"/>
          <w:sz w:val="20"/>
          <w:szCs w:val="18"/>
        </w:rPr>
      </w:pPr>
      <w:r w:rsidRPr="009D5B7E">
        <w:rPr>
          <w:rFonts w:ascii="Calibri" w:hAnsi="Calibri" w:cs="Calibri"/>
          <w:sz w:val="20"/>
          <w:szCs w:val="18"/>
        </w:rPr>
        <w:t xml:space="preserve">V </w:t>
      </w:r>
      <w:proofErr w:type="spellStart"/>
      <w:r w:rsidR="006A5E7E">
        <w:rPr>
          <w:rFonts w:ascii="Calibri" w:hAnsi="Calibri" w:cs="Calibri"/>
          <w:sz w:val="20"/>
          <w:szCs w:val="18"/>
        </w:rPr>
        <w:t>Praze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dne</w:t>
      </w:r>
      <w:proofErr w:type="spellEnd"/>
      <w:r w:rsidRPr="00D05129">
        <w:rPr>
          <w:rFonts w:ascii="Calibri" w:hAnsi="Calibri" w:cs="Calibri"/>
          <w:sz w:val="20"/>
          <w:szCs w:val="18"/>
        </w:rPr>
        <w:t xml:space="preserve">: </w:t>
      </w:r>
      <w:r w:rsidRPr="00D05129">
        <w:rPr>
          <w:rFonts w:ascii="Calibri" w:hAnsi="Calibri" w:cs="Calibri"/>
          <w:sz w:val="20"/>
          <w:szCs w:val="18"/>
        </w:rPr>
        <w:fldChar w:fldCharType="begin"/>
      </w:r>
      <w:r w:rsidRPr="00D05129">
        <w:rPr>
          <w:rFonts w:ascii="Calibri" w:hAnsi="Calibri" w:cs="Calibri"/>
          <w:sz w:val="20"/>
          <w:szCs w:val="18"/>
        </w:rPr>
        <w:instrText xml:space="preserve"> DATE \@ "d.M.yyyy" </w:instrText>
      </w:r>
      <w:r w:rsidRPr="00D05129">
        <w:rPr>
          <w:rFonts w:ascii="Calibri" w:hAnsi="Calibri" w:cs="Calibri"/>
          <w:sz w:val="20"/>
          <w:szCs w:val="18"/>
        </w:rPr>
        <w:fldChar w:fldCharType="separate"/>
      </w:r>
      <w:r w:rsidR="00A3469C">
        <w:rPr>
          <w:rFonts w:ascii="Calibri" w:hAnsi="Calibri" w:cs="Calibri"/>
          <w:noProof/>
          <w:sz w:val="20"/>
          <w:szCs w:val="18"/>
        </w:rPr>
        <w:t>23</w:t>
      </w:r>
      <w:r w:rsidR="00A3469C">
        <w:rPr>
          <w:rFonts w:ascii="Calibri" w:hAnsi="Calibri" w:cs="Calibri"/>
          <w:noProof/>
          <w:sz w:val="20"/>
          <w:szCs w:val="18"/>
        </w:rPr>
        <w:t>.3.2023</w:t>
      </w:r>
      <w:r w:rsidRPr="00D05129">
        <w:rPr>
          <w:rFonts w:ascii="Calibri" w:hAnsi="Calibri" w:cs="Calibri"/>
          <w:sz w:val="20"/>
          <w:szCs w:val="18"/>
        </w:rPr>
        <w:fldChar w:fldCharType="end"/>
      </w:r>
      <w:r w:rsidRPr="009D5B7E">
        <w:rPr>
          <w:rFonts w:ascii="Calibri" w:hAnsi="Calibri" w:cs="Calibri"/>
          <w:sz w:val="20"/>
          <w:szCs w:val="18"/>
        </w:rPr>
        <w:tab/>
        <w:t xml:space="preserve">V </w:t>
      </w:r>
      <w:proofErr w:type="spellStart"/>
      <w:r w:rsidR="006A5E7E">
        <w:rPr>
          <w:rFonts w:ascii="Calibri" w:hAnsi="Calibri" w:cs="Calibri"/>
          <w:sz w:val="20"/>
          <w:szCs w:val="18"/>
        </w:rPr>
        <w:t>Praze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dne</w:t>
      </w:r>
      <w:proofErr w:type="spellEnd"/>
      <w:r w:rsidRPr="00D05129">
        <w:rPr>
          <w:rFonts w:ascii="Calibri" w:hAnsi="Calibri" w:cs="Calibri"/>
          <w:sz w:val="20"/>
          <w:szCs w:val="18"/>
        </w:rPr>
        <w:t xml:space="preserve">: </w:t>
      </w:r>
      <w:r w:rsidRPr="00D05129">
        <w:rPr>
          <w:rFonts w:ascii="Calibri" w:hAnsi="Calibri" w:cs="Calibri"/>
          <w:sz w:val="20"/>
          <w:szCs w:val="18"/>
        </w:rPr>
        <w:fldChar w:fldCharType="begin"/>
      </w:r>
      <w:r w:rsidRPr="00D05129">
        <w:rPr>
          <w:rFonts w:ascii="Calibri" w:hAnsi="Calibri" w:cs="Calibri"/>
          <w:sz w:val="20"/>
          <w:szCs w:val="18"/>
        </w:rPr>
        <w:instrText xml:space="preserve"> DATE \@ "d.M.yyyy" </w:instrText>
      </w:r>
      <w:r w:rsidRPr="00D05129">
        <w:rPr>
          <w:rFonts w:ascii="Calibri" w:hAnsi="Calibri" w:cs="Calibri"/>
          <w:sz w:val="20"/>
          <w:szCs w:val="18"/>
        </w:rPr>
        <w:fldChar w:fldCharType="separate"/>
      </w:r>
      <w:r w:rsidR="00A3469C">
        <w:rPr>
          <w:rFonts w:ascii="Calibri" w:hAnsi="Calibri" w:cs="Calibri"/>
          <w:noProof/>
          <w:sz w:val="20"/>
          <w:szCs w:val="18"/>
        </w:rPr>
        <w:t>2</w:t>
      </w:r>
      <w:r w:rsidR="00A3469C">
        <w:rPr>
          <w:rFonts w:ascii="Calibri" w:hAnsi="Calibri" w:cs="Calibri"/>
          <w:noProof/>
          <w:sz w:val="20"/>
          <w:szCs w:val="18"/>
        </w:rPr>
        <w:t>2</w:t>
      </w:r>
      <w:r w:rsidR="00A3469C">
        <w:rPr>
          <w:rFonts w:ascii="Calibri" w:hAnsi="Calibri" w:cs="Calibri"/>
          <w:noProof/>
          <w:sz w:val="20"/>
          <w:szCs w:val="18"/>
        </w:rPr>
        <w:t>.3.2023</w:t>
      </w:r>
      <w:r w:rsidRPr="00D05129">
        <w:rPr>
          <w:rFonts w:ascii="Calibri" w:hAnsi="Calibri" w:cs="Calibri"/>
          <w:sz w:val="20"/>
          <w:szCs w:val="18"/>
        </w:rPr>
        <w:fldChar w:fldCharType="end"/>
      </w:r>
      <w:r w:rsidRPr="009D5B7E">
        <w:rPr>
          <w:rFonts w:ascii="Calibri" w:hAnsi="Calibri" w:cs="Calibri"/>
          <w:sz w:val="20"/>
          <w:szCs w:val="18"/>
        </w:rPr>
        <w:t xml:space="preserve"> </w:t>
      </w:r>
    </w:p>
    <w:p w14:paraId="1F18973F" w14:textId="77777777" w:rsidR="00B7025F" w:rsidRPr="009D5B7E" w:rsidRDefault="00B7025F" w:rsidP="000445D6">
      <w:pPr>
        <w:rPr>
          <w:rFonts w:ascii="Calibri" w:hAnsi="Calibri" w:cs="Calibri"/>
          <w:sz w:val="20"/>
          <w:szCs w:val="18"/>
        </w:rPr>
      </w:pPr>
    </w:p>
    <w:p w14:paraId="0D6F17DE" w14:textId="77777777" w:rsidR="00B7025F" w:rsidRPr="009D5B7E" w:rsidRDefault="00B7025F" w:rsidP="000445D6">
      <w:pPr>
        <w:rPr>
          <w:rFonts w:ascii="Calibri" w:hAnsi="Calibri" w:cs="Calibri"/>
          <w:sz w:val="20"/>
          <w:szCs w:val="18"/>
        </w:rPr>
      </w:pPr>
    </w:p>
    <w:p w14:paraId="79F35A2A" w14:textId="70F4583E" w:rsidR="00B7025F" w:rsidRPr="009D5B7E" w:rsidRDefault="00B7025F" w:rsidP="000445D6">
      <w:pPr>
        <w:tabs>
          <w:tab w:val="left" w:pos="4536"/>
        </w:tabs>
        <w:rPr>
          <w:rFonts w:ascii="Calibri" w:hAnsi="Calibri" w:cs="Calibri"/>
          <w:sz w:val="20"/>
          <w:szCs w:val="18"/>
        </w:rPr>
      </w:pPr>
      <w:r w:rsidRPr="009D5B7E">
        <w:rPr>
          <w:rFonts w:ascii="Calibri" w:hAnsi="Calibri" w:cs="Calibri"/>
          <w:b/>
          <w:sz w:val="20"/>
          <w:szCs w:val="18"/>
        </w:rPr>
        <w:t xml:space="preserve">Deloitte Advisory </w:t>
      </w:r>
      <w:proofErr w:type="spellStart"/>
      <w:r w:rsidRPr="009D5B7E">
        <w:rPr>
          <w:rFonts w:ascii="Calibri" w:hAnsi="Calibri" w:cs="Calibri"/>
          <w:b/>
          <w:sz w:val="20"/>
          <w:szCs w:val="18"/>
        </w:rPr>
        <w:t>s.r.o.</w:t>
      </w:r>
      <w:proofErr w:type="spellEnd"/>
      <w:r w:rsidRPr="009D5B7E">
        <w:rPr>
          <w:rFonts w:ascii="Calibri" w:hAnsi="Calibri" w:cs="Calibri"/>
          <w:sz w:val="20"/>
          <w:szCs w:val="18"/>
        </w:rPr>
        <w:tab/>
      </w:r>
      <w:proofErr w:type="spellStart"/>
      <w:r w:rsidR="006A5E7E" w:rsidRPr="006A5E7E">
        <w:rPr>
          <w:rFonts w:ascii="Calibri" w:hAnsi="Calibri" w:cs="Calibri"/>
          <w:b/>
          <w:bCs/>
          <w:sz w:val="20"/>
          <w:szCs w:val="18"/>
        </w:rPr>
        <w:t>Muzeum</w:t>
      </w:r>
      <w:proofErr w:type="spellEnd"/>
      <w:r w:rsidR="006A5E7E" w:rsidRPr="006A5E7E">
        <w:rPr>
          <w:rFonts w:ascii="Calibri" w:hAnsi="Calibri" w:cs="Calibri"/>
          <w:b/>
          <w:bCs/>
          <w:sz w:val="20"/>
          <w:szCs w:val="18"/>
        </w:rPr>
        <w:t xml:space="preserve"> </w:t>
      </w:r>
      <w:proofErr w:type="spellStart"/>
      <w:r w:rsidR="006A5E7E" w:rsidRPr="006A5E7E">
        <w:rPr>
          <w:rFonts w:ascii="Calibri" w:hAnsi="Calibri" w:cs="Calibri"/>
          <w:b/>
          <w:bCs/>
          <w:sz w:val="20"/>
          <w:szCs w:val="18"/>
        </w:rPr>
        <w:t>hlavního</w:t>
      </w:r>
      <w:proofErr w:type="spellEnd"/>
      <w:r w:rsidR="006A5E7E" w:rsidRPr="006A5E7E">
        <w:rPr>
          <w:rFonts w:ascii="Calibri" w:hAnsi="Calibri" w:cs="Calibri"/>
          <w:b/>
          <w:bCs/>
          <w:sz w:val="20"/>
          <w:szCs w:val="18"/>
        </w:rPr>
        <w:t xml:space="preserve"> </w:t>
      </w:r>
      <w:proofErr w:type="spellStart"/>
      <w:r w:rsidR="006A5E7E" w:rsidRPr="006A5E7E">
        <w:rPr>
          <w:rFonts w:ascii="Calibri" w:hAnsi="Calibri" w:cs="Calibri"/>
          <w:b/>
          <w:bCs/>
          <w:sz w:val="20"/>
          <w:szCs w:val="18"/>
        </w:rPr>
        <w:t>města</w:t>
      </w:r>
      <w:proofErr w:type="spellEnd"/>
      <w:r w:rsidR="006A5E7E" w:rsidRPr="006A5E7E">
        <w:rPr>
          <w:rFonts w:ascii="Calibri" w:hAnsi="Calibri" w:cs="Calibri"/>
          <w:b/>
          <w:bCs/>
          <w:sz w:val="20"/>
          <w:szCs w:val="18"/>
        </w:rPr>
        <w:t xml:space="preserve"> </w:t>
      </w:r>
      <w:proofErr w:type="spellStart"/>
      <w:r w:rsidR="006A5E7E" w:rsidRPr="006A5E7E">
        <w:rPr>
          <w:rFonts w:ascii="Calibri" w:hAnsi="Calibri" w:cs="Calibri"/>
          <w:b/>
          <w:bCs/>
          <w:sz w:val="20"/>
          <w:szCs w:val="18"/>
        </w:rPr>
        <w:t>Prahy</w:t>
      </w:r>
      <w:proofErr w:type="spellEnd"/>
      <w:r w:rsidR="006A5E7E" w:rsidRPr="006A5E7E">
        <w:rPr>
          <w:rFonts w:ascii="Calibri" w:hAnsi="Calibri" w:cs="Calibri"/>
          <w:b/>
          <w:bCs/>
          <w:sz w:val="20"/>
          <w:szCs w:val="18"/>
        </w:rPr>
        <w:t xml:space="preserve">, </w:t>
      </w:r>
      <w:proofErr w:type="spellStart"/>
      <w:r w:rsidR="006A5E7E" w:rsidRPr="006A5E7E">
        <w:rPr>
          <w:rFonts w:ascii="Calibri" w:hAnsi="Calibri" w:cs="Calibri"/>
          <w:b/>
          <w:bCs/>
          <w:sz w:val="20"/>
          <w:szCs w:val="18"/>
        </w:rPr>
        <w:t>přísp</w:t>
      </w:r>
      <w:proofErr w:type="spellEnd"/>
      <w:r w:rsidR="005A7C4D">
        <w:rPr>
          <w:rFonts w:ascii="Calibri" w:hAnsi="Calibri" w:cs="Calibri"/>
          <w:b/>
          <w:bCs/>
          <w:sz w:val="20"/>
          <w:szCs w:val="18"/>
        </w:rPr>
        <w:t>.</w:t>
      </w:r>
      <w:r w:rsidR="006A5E7E" w:rsidRPr="006A5E7E">
        <w:rPr>
          <w:rFonts w:ascii="Calibri" w:hAnsi="Calibri" w:cs="Calibri"/>
          <w:b/>
          <w:bCs/>
          <w:sz w:val="20"/>
          <w:szCs w:val="18"/>
        </w:rPr>
        <w:t xml:space="preserve"> </w:t>
      </w:r>
      <w:proofErr w:type="spellStart"/>
      <w:r w:rsidR="006A5E7E" w:rsidRPr="006A5E7E">
        <w:rPr>
          <w:rFonts w:ascii="Calibri" w:hAnsi="Calibri" w:cs="Calibri"/>
          <w:b/>
          <w:bCs/>
          <w:sz w:val="20"/>
          <w:szCs w:val="18"/>
        </w:rPr>
        <w:t>organizace</w:t>
      </w:r>
      <w:proofErr w:type="spellEnd"/>
    </w:p>
    <w:p w14:paraId="07D6F825" w14:textId="77777777" w:rsidR="00B7025F" w:rsidRPr="009D5B7E" w:rsidRDefault="00B7025F" w:rsidP="000445D6">
      <w:pPr>
        <w:rPr>
          <w:rFonts w:ascii="Calibri" w:hAnsi="Calibri" w:cs="Calibri"/>
          <w:sz w:val="20"/>
          <w:szCs w:val="18"/>
        </w:rPr>
      </w:pPr>
    </w:p>
    <w:p w14:paraId="02217778" w14:textId="77777777" w:rsidR="00831295" w:rsidRDefault="00831295" w:rsidP="00831295">
      <w:pPr>
        <w:tabs>
          <w:tab w:val="left" w:pos="4536"/>
        </w:tabs>
        <w:spacing w:after="0"/>
        <w:rPr>
          <w:rFonts w:ascii="Calibri" w:hAnsi="Calibri" w:cs="Calibri"/>
          <w:sz w:val="20"/>
          <w:szCs w:val="18"/>
        </w:rPr>
      </w:pPr>
    </w:p>
    <w:p w14:paraId="2668E4B8" w14:textId="77777777" w:rsidR="00831295" w:rsidRDefault="00831295" w:rsidP="00831295">
      <w:pPr>
        <w:tabs>
          <w:tab w:val="left" w:pos="4536"/>
        </w:tabs>
        <w:spacing w:after="0"/>
        <w:rPr>
          <w:rFonts w:ascii="Calibri" w:hAnsi="Calibri" w:cs="Calibri"/>
          <w:sz w:val="20"/>
          <w:szCs w:val="18"/>
        </w:rPr>
      </w:pPr>
    </w:p>
    <w:p w14:paraId="5CFA52B8" w14:textId="2D65339F" w:rsidR="00B7025F" w:rsidRPr="005A7C4D" w:rsidRDefault="005A7C4D" w:rsidP="00831295">
      <w:pPr>
        <w:tabs>
          <w:tab w:val="left" w:pos="4536"/>
        </w:tabs>
        <w:spacing w:after="0"/>
        <w:rPr>
          <w:rFonts w:ascii="Calibri" w:hAnsi="Calibri" w:cs="Calibri"/>
          <w:sz w:val="20"/>
          <w:szCs w:val="18"/>
        </w:rPr>
      </w:pPr>
      <w:r w:rsidRPr="005A7C4D">
        <w:rPr>
          <w:rFonts w:ascii="Calibri" w:hAnsi="Calibri" w:cs="Calibri"/>
          <w:sz w:val="20"/>
          <w:szCs w:val="18"/>
        </w:rPr>
        <w:t>Petr Pruner</w:t>
      </w:r>
      <w:r w:rsidR="00B7025F" w:rsidRPr="005A7C4D">
        <w:rPr>
          <w:rFonts w:ascii="Calibri" w:hAnsi="Calibri" w:cs="Calibri"/>
          <w:sz w:val="20"/>
          <w:szCs w:val="18"/>
        </w:rPr>
        <w:tab/>
      </w:r>
      <w:r w:rsidRPr="005A7C4D">
        <w:rPr>
          <w:rFonts w:ascii="Calibri" w:hAnsi="Calibri" w:cs="Calibri"/>
          <w:sz w:val="20"/>
        </w:rPr>
        <w:t>RNDr. Ing</w:t>
      </w:r>
      <w:r w:rsidR="00D05129">
        <w:rPr>
          <w:rFonts w:ascii="Calibri" w:hAnsi="Calibri" w:cs="Calibri"/>
          <w:sz w:val="20"/>
        </w:rPr>
        <w:t>.</w:t>
      </w:r>
      <w:r w:rsidRPr="005A7C4D">
        <w:rPr>
          <w:rFonts w:ascii="Calibri" w:hAnsi="Calibri" w:cs="Calibri"/>
          <w:sz w:val="20"/>
        </w:rPr>
        <w:t xml:space="preserve"> Ivo Macek</w:t>
      </w:r>
    </w:p>
    <w:p w14:paraId="0A444E4A" w14:textId="503468F3" w:rsidR="00B7025F" w:rsidRPr="009D5B7E" w:rsidRDefault="00B7025F" w:rsidP="000445D6">
      <w:pPr>
        <w:tabs>
          <w:tab w:val="left" w:pos="4536"/>
        </w:tabs>
        <w:rPr>
          <w:rFonts w:ascii="Calibri" w:hAnsi="Calibri" w:cs="Calibri"/>
          <w:sz w:val="20"/>
          <w:szCs w:val="18"/>
        </w:rPr>
      </w:pPr>
      <w:r w:rsidRPr="005A7C4D">
        <w:rPr>
          <w:rFonts w:ascii="Calibri" w:hAnsi="Calibri" w:cs="Calibri"/>
          <w:sz w:val="20"/>
          <w:szCs w:val="18"/>
        </w:rPr>
        <w:t>Partner</w:t>
      </w:r>
      <w:r w:rsidRPr="005A7C4D">
        <w:rPr>
          <w:rFonts w:ascii="Calibri" w:hAnsi="Calibri" w:cs="Calibri"/>
          <w:sz w:val="20"/>
          <w:szCs w:val="18"/>
        </w:rPr>
        <w:tab/>
      </w:r>
      <w:proofErr w:type="spellStart"/>
      <w:r w:rsidR="00841104">
        <w:rPr>
          <w:rFonts w:ascii="Calibri" w:hAnsi="Calibri" w:cs="Calibri"/>
          <w:sz w:val="20"/>
          <w:szCs w:val="18"/>
        </w:rPr>
        <w:t>ředitel</w:t>
      </w:r>
      <w:proofErr w:type="spellEnd"/>
      <w:r w:rsidR="00841104">
        <w:rPr>
          <w:rFonts w:ascii="Calibri" w:hAnsi="Calibri" w:cs="Calibri"/>
          <w:sz w:val="20"/>
          <w:szCs w:val="18"/>
        </w:rPr>
        <w:t xml:space="preserve">, </w:t>
      </w:r>
      <w:proofErr w:type="spellStart"/>
      <w:r w:rsidR="00841104">
        <w:rPr>
          <w:rFonts w:ascii="Calibri" w:hAnsi="Calibri" w:cs="Calibri"/>
          <w:sz w:val="20"/>
          <w:szCs w:val="18"/>
        </w:rPr>
        <w:t>statutární</w:t>
      </w:r>
      <w:proofErr w:type="spellEnd"/>
      <w:r w:rsidR="00841104">
        <w:rPr>
          <w:rFonts w:ascii="Calibri" w:hAnsi="Calibri" w:cs="Calibri"/>
          <w:sz w:val="20"/>
          <w:szCs w:val="18"/>
        </w:rPr>
        <w:t xml:space="preserve"> </w:t>
      </w:r>
      <w:proofErr w:type="spellStart"/>
      <w:r w:rsidR="00841104">
        <w:rPr>
          <w:rFonts w:ascii="Calibri" w:hAnsi="Calibri" w:cs="Calibri"/>
          <w:sz w:val="20"/>
          <w:szCs w:val="18"/>
        </w:rPr>
        <w:t>zástupce</w:t>
      </w:r>
      <w:proofErr w:type="spellEnd"/>
    </w:p>
    <w:p w14:paraId="3044D336" w14:textId="77777777" w:rsidR="00F41AD7" w:rsidRPr="009D5B7E" w:rsidRDefault="00F41AD7">
      <w:pPr>
        <w:spacing w:after="0" w:line="240" w:lineRule="auto"/>
        <w:rPr>
          <w:rFonts w:ascii="Calibri" w:hAnsi="Calibri" w:cs="Calibri"/>
          <w:b/>
          <w:sz w:val="20"/>
          <w:szCs w:val="18"/>
        </w:rPr>
      </w:pPr>
    </w:p>
    <w:p w14:paraId="5B678041" w14:textId="77777777" w:rsidR="00F41AD7" w:rsidRPr="009D5B7E" w:rsidRDefault="00F41AD7">
      <w:pPr>
        <w:spacing w:after="0" w:line="240" w:lineRule="auto"/>
        <w:rPr>
          <w:rFonts w:ascii="Calibri" w:hAnsi="Calibri" w:cs="Calibri"/>
          <w:b/>
          <w:sz w:val="20"/>
          <w:szCs w:val="18"/>
        </w:rPr>
        <w:sectPr w:rsidR="00F41AD7" w:rsidRPr="009D5B7E" w:rsidSect="00F41AD7">
          <w:headerReference w:type="default" r:id="rId21"/>
          <w:pgSz w:w="11906" w:h="16838" w:code="9"/>
          <w:pgMar w:top="1417" w:right="1417" w:bottom="1417" w:left="1417" w:header="680" w:footer="567" w:gutter="0"/>
          <w:cols w:space="284"/>
          <w:docGrid w:linePitch="360"/>
        </w:sectPr>
      </w:pPr>
    </w:p>
    <w:p w14:paraId="295EB4E4" w14:textId="57CDB7CD" w:rsidR="00B7025F" w:rsidRPr="009D5B7E" w:rsidRDefault="00B7025F" w:rsidP="00F45C79">
      <w:pPr>
        <w:pStyle w:val="Zkladntext"/>
        <w:jc w:val="center"/>
        <w:rPr>
          <w:rFonts w:ascii="Calibri" w:hAnsi="Calibri" w:cs="Calibri"/>
          <w:b/>
          <w:sz w:val="20"/>
        </w:rPr>
      </w:pPr>
      <w:proofErr w:type="spellStart"/>
      <w:r w:rsidRPr="009D5B7E">
        <w:rPr>
          <w:rFonts w:ascii="Calibri" w:hAnsi="Calibri" w:cs="Calibri"/>
          <w:b/>
          <w:sz w:val="20"/>
        </w:rPr>
        <w:lastRenderedPageBreak/>
        <w:t>Příloha</w:t>
      </w:r>
      <w:proofErr w:type="spellEnd"/>
      <w:r w:rsidRPr="009D5B7E">
        <w:rPr>
          <w:rFonts w:ascii="Calibri" w:hAnsi="Calibri" w:cs="Calibri"/>
          <w:b/>
          <w:sz w:val="20"/>
        </w:rPr>
        <w:t xml:space="preserve"> č. 1</w:t>
      </w:r>
      <w:r w:rsidR="000A5FAE" w:rsidRPr="009D5B7E">
        <w:rPr>
          <w:rFonts w:ascii="Calibri" w:hAnsi="Calibri" w:cs="Calibri"/>
          <w:b/>
          <w:sz w:val="20"/>
        </w:rPr>
        <w:br/>
      </w:r>
      <w:proofErr w:type="spellStart"/>
      <w:r w:rsidRPr="009D5B7E">
        <w:rPr>
          <w:rFonts w:ascii="Calibri" w:hAnsi="Calibri" w:cs="Calibri"/>
          <w:b/>
          <w:sz w:val="20"/>
        </w:rPr>
        <w:t>Rozsah</w:t>
      </w:r>
      <w:proofErr w:type="spellEnd"/>
      <w:r w:rsidRPr="009D5B7E">
        <w:rPr>
          <w:rFonts w:ascii="Calibri" w:hAnsi="Calibri" w:cs="Calibri"/>
          <w:b/>
          <w:sz w:val="20"/>
        </w:rPr>
        <w:t xml:space="preserve"> </w:t>
      </w:r>
      <w:proofErr w:type="spellStart"/>
      <w:r w:rsidRPr="009D5B7E">
        <w:rPr>
          <w:rFonts w:ascii="Calibri" w:hAnsi="Calibri" w:cs="Calibri"/>
          <w:b/>
          <w:sz w:val="20"/>
        </w:rPr>
        <w:t>Služeb</w:t>
      </w:r>
      <w:proofErr w:type="spellEnd"/>
    </w:p>
    <w:p w14:paraId="28D76A5E" w14:textId="40C133B4" w:rsidR="00B7025F" w:rsidRDefault="00B7025F" w:rsidP="000A5FAE">
      <w:pPr>
        <w:pStyle w:val="Zkladntext"/>
        <w:rPr>
          <w:rFonts w:ascii="Calibri" w:hAnsi="Calibri" w:cs="Calibri"/>
          <w:iCs/>
          <w:sz w:val="20"/>
          <w:lang w:val="en-US"/>
        </w:rPr>
      </w:pPr>
      <w:proofErr w:type="spellStart"/>
      <w:r w:rsidRPr="009D5B7E">
        <w:rPr>
          <w:rFonts w:ascii="Calibri" w:hAnsi="Calibri" w:cs="Calibri"/>
          <w:sz w:val="20"/>
        </w:rPr>
        <w:t>Služby</w:t>
      </w:r>
      <w:proofErr w:type="spellEnd"/>
      <w:r w:rsidRPr="009D5B7E">
        <w:rPr>
          <w:rFonts w:ascii="Calibri" w:hAnsi="Calibri" w:cs="Calibri"/>
          <w:sz w:val="20"/>
        </w:rPr>
        <w:t xml:space="preserve"> </w:t>
      </w:r>
      <w:proofErr w:type="spellStart"/>
      <w:r w:rsidRPr="009D5B7E">
        <w:rPr>
          <w:rFonts w:ascii="Calibri" w:hAnsi="Calibri" w:cs="Calibri"/>
          <w:sz w:val="20"/>
        </w:rPr>
        <w:t>budou</w:t>
      </w:r>
      <w:proofErr w:type="spellEnd"/>
      <w:r w:rsidRPr="009D5B7E">
        <w:rPr>
          <w:rFonts w:ascii="Calibri" w:hAnsi="Calibri" w:cs="Calibri"/>
          <w:sz w:val="20"/>
        </w:rPr>
        <w:t xml:space="preserve"> </w:t>
      </w:r>
      <w:proofErr w:type="spellStart"/>
      <w:r w:rsidRPr="009D5B7E">
        <w:rPr>
          <w:rFonts w:ascii="Calibri" w:hAnsi="Calibri" w:cs="Calibri"/>
          <w:sz w:val="20"/>
        </w:rPr>
        <w:t>zahrnovat</w:t>
      </w:r>
      <w:proofErr w:type="spellEnd"/>
      <w:r w:rsidR="006E1911">
        <w:rPr>
          <w:rFonts w:ascii="Calibri" w:hAnsi="Calibri" w:cs="Calibri"/>
          <w:sz w:val="20"/>
        </w:rPr>
        <w:t xml:space="preserve"> </w:t>
      </w:r>
      <w:proofErr w:type="spellStart"/>
      <w:r w:rsidR="006E1911" w:rsidRPr="006E1911">
        <w:rPr>
          <w:rFonts w:ascii="Calibri" w:hAnsi="Calibri" w:cs="Calibri"/>
          <w:iCs/>
          <w:sz w:val="20"/>
          <w:lang w:val="en-US"/>
        </w:rPr>
        <w:t>poradenské</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služby</w:t>
      </w:r>
      <w:proofErr w:type="spellEnd"/>
      <w:r w:rsidR="006E1911" w:rsidRPr="006E1911">
        <w:rPr>
          <w:rFonts w:ascii="Calibri" w:hAnsi="Calibri" w:cs="Calibri"/>
          <w:iCs/>
          <w:sz w:val="20"/>
          <w:lang w:val="en-US"/>
        </w:rPr>
        <w:t xml:space="preserve"> v </w:t>
      </w:r>
      <w:proofErr w:type="spellStart"/>
      <w:r w:rsidR="006E1911" w:rsidRPr="006E1911">
        <w:rPr>
          <w:rFonts w:ascii="Calibri" w:hAnsi="Calibri" w:cs="Calibri"/>
          <w:iCs/>
          <w:sz w:val="20"/>
          <w:lang w:val="en-US"/>
        </w:rPr>
        <w:t>oblasti</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revize</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řízení</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procesů</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identifikace</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souvisejících</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rizik</w:t>
      </w:r>
      <w:proofErr w:type="spellEnd"/>
      <w:r w:rsidR="006E1911" w:rsidRPr="006E1911">
        <w:rPr>
          <w:rFonts w:ascii="Calibri" w:hAnsi="Calibri" w:cs="Calibri"/>
          <w:iCs/>
          <w:sz w:val="20"/>
          <w:lang w:val="en-US"/>
        </w:rPr>
        <w:t xml:space="preserve"> a </w:t>
      </w:r>
      <w:proofErr w:type="spellStart"/>
      <w:r w:rsidR="006E1911" w:rsidRPr="006E1911">
        <w:rPr>
          <w:rFonts w:ascii="Calibri" w:hAnsi="Calibri" w:cs="Calibri"/>
          <w:iCs/>
          <w:sz w:val="20"/>
          <w:lang w:val="en-US"/>
        </w:rPr>
        <w:t>kontrolních</w:t>
      </w:r>
      <w:proofErr w:type="spellEnd"/>
      <w:r w:rsidR="006E1911">
        <w:rPr>
          <w:rFonts w:ascii="Calibri" w:hAnsi="Calibri" w:cs="Calibri"/>
          <w:iCs/>
          <w:sz w:val="20"/>
          <w:lang w:val="en-US"/>
        </w:rPr>
        <w:t xml:space="preserve"> </w:t>
      </w:r>
      <w:proofErr w:type="spellStart"/>
      <w:r w:rsidR="006E1911">
        <w:rPr>
          <w:rFonts w:ascii="Calibri" w:hAnsi="Calibri" w:cs="Calibri"/>
          <w:iCs/>
          <w:sz w:val="20"/>
          <w:lang w:val="en-US"/>
        </w:rPr>
        <w:t>mechanismů</w:t>
      </w:r>
      <w:proofErr w:type="spellEnd"/>
      <w:r w:rsidR="006E1911">
        <w:rPr>
          <w:rFonts w:ascii="Calibri" w:hAnsi="Calibri" w:cs="Calibri"/>
          <w:iCs/>
          <w:sz w:val="20"/>
          <w:lang w:val="en-US"/>
        </w:rPr>
        <w:t xml:space="preserve"> </w:t>
      </w:r>
      <w:r w:rsidR="006E1911" w:rsidRPr="006E1911">
        <w:rPr>
          <w:rFonts w:ascii="Calibri" w:hAnsi="Calibri" w:cs="Calibri"/>
          <w:iCs/>
          <w:sz w:val="20"/>
          <w:lang w:val="en-US"/>
        </w:rPr>
        <w:t xml:space="preserve">a </w:t>
      </w:r>
      <w:proofErr w:type="spellStart"/>
      <w:r w:rsidR="006E1911" w:rsidRPr="006E1911">
        <w:rPr>
          <w:rFonts w:ascii="Calibri" w:hAnsi="Calibri" w:cs="Calibri"/>
          <w:iCs/>
          <w:sz w:val="20"/>
          <w:lang w:val="en-US"/>
        </w:rPr>
        <w:t>následného</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doporučení</w:t>
      </w:r>
      <w:proofErr w:type="spellEnd"/>
      <w:r w:rsidR="006E1911" w:rsidRPr="006E1911">
        <w:rPr>
          <w:rFonts w:ascii="Calibri" w:hAnsi="Calibri" w:cs="Calibri"/>
          <w:iCs/>
          <w:sz w:val="20"/>
          <w:lang w:val="en-US"/>
        </w:rPr>
        <w:t xml:space="preserve"> k </w:t>
      </w:r>
      <w:proofErr w:type="spellStart"/>
      <w:r w:rsidR="006E1911" w:rsidRPr="006E1911">
        <w:rPr>
          <w:rFonts w:ascii="Calibri" w:hAnsi="Calibri" w:cs="Calibri"/>
          <w:iCs/>
          <w:sz w:val="20"/>
          <w:lang w:val="en-US"/>
        </w:rPr>
        <w:t>jejich</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zefektivnění</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případně</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návrhu</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hlubších</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analýz</w:t>
      </w:r>
      <w:proofErr w:type="spellEnd"/>
      <w:r w:rsidR="006E1911" w:rsidRPr="006E1911">
        <w:rPr>
          <w:rFonts w:ascii="Calibri" w:hAnsi="Calibri" w:cs="Calibri"/>
          <w:iCs/>
          <w:sz w:val="20"/>
          <w:lang w:val="en-US"/>
        </w:rPr>
        <w:t xml:space="preserve"> k </w:t>
      </w:r>
      <w:proofErr w:type="spellStart"/>
      <w:r w:rsidR="006E1911" w:rsidRPr="006E1911">
        <w:rPr>
          <w:rFonts w:ascii="Calibri" w:hAnsi="Calibri" w:cs="Calibri"/>
          <w:iCs/>
          <w:sz w:val="20"/>
          <w:lang w:val="en-US"/>
        </w:rPr>
        <w:t>minimalizaci</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souvisejících</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rizik</w:t>
      </w:r>
      <w:proofErr w:type="spellEnd"/>
      <w:r w:rsidR="006E1911" w:rsidRPr="006E1911">
        <w:rPr>
          <w:rFonts w:ascii="Calibri" w:hAnsi="Calibri" w:cs="Calibri"/>
          <w:iCs/>
          <w:sz w:val="20"/>
          <w:lang w:val="en-US"/>
        </w:rPr>
        <w:t xml:space="preserve"> v </w:t>
      </w:r>
      <w:proofErr w:type="spellStart"/>
      <w:r w:rsidR="006E1911" w:rsidRPr="006E1911">
        <w:rPr>
          <w:rFonts w:ascii="Calibri" w:hAnsi="Calibri" w:cs="Calibri"/>
          <w:iCs/>
          <w:sz w:val="20"/>
          <w:lang w:val="en-US"/>
        </w:rPr>
        <w:t>souladu</w:t>
      </w:r>
      <w:proofErr w:type="spellEnd"/>
      <w:r w:rsidR="006E1911" w:rsidRPr="006E1911">
        <w:rPr>
          <w:rFonts w:ascii="Calibri" w:hAnsi="Calibri" w:cs="Calibri"/>
          <w:iCs/>
          <w:sz w:val="20"/>
          <w:lang w:val="en-US"/>
        </w:rPr>
        <w:t xml:space="preserve"> se </w:t>
      </w:r>
      <w:proofErr w:type="spellStart"/>
      <w:r w:rsidR="006E1911" w:rsidRPr="006E1911">
        <w:rPr>
          <w:rFonts w:ascii="Calibri" w:hAnsi="Calibri" w:cs="Calibri"/>
          <w:iCs/>
          <w:sz w:val="20"/>
          <w:lang w:val="en-US"/>
        </w:rPr>
        <w:t>zájmy</w:t>
      </w:r>
      <w:proofErr w:type="spellEnd"/>
      <w:r w:rsidR="006E1911" w:rsidRPr="006E1911">
        <w:rPr>
          <w:rFonts w:ascii="Calibri" w:hAnsi="Calibri" w:cs="Calibri"/>
          <w:iCs/>
          <w:sz w:val="20"/>
          <w:lang w:val="en-US"/>
        </w:rPr>
        <w:t xml:space="preserve"> </w:t>
      </w:r>
      <w:proofErr w:type="spellStart"/>
      <w:r w:rsidR="006E1911" w:rsidRPr="006E1911">
        <w:rPr>
          <w:rFonts w:ascii="Calibri" w:hAnsi="Calibri" w:cs="Calibri"/>
          <w:iCs/>
          <w:sz w:val="20"/>
          <w:lang w:val="en-US"/>
        </w:rPr>
        <w:t>zřizovatele</w:t>
      </w:r>
      <w:proofErr w:type="spellEnd"/>
      <w:r w:rsidR="00F86AFE">
        <w:rPr>
          <w:rFonts w:ascii="Calibri" w:hAnsi="Calibri" w:cs="Calibri"/>
          <w:iCs/>
          <w:sz w:val="20"/>
          <w:lang w:val="en-US"/>
        </w:rPr>
        <w:t xml:space="preserve">. </w:t>
      </w:r>
    </w:p>
    <w:p w14:paraId="570DB82B" w14:textId="70709971" w:rsidR="00593C4B" w:rsidRDefault="009371F0" w:rsidP="0037653B">
      <w:pPr>
        <w:pStyle w:val="Zkladntext"/>
        <w:jc w:val="left"/>
        <w:rPr>
          <w:rFonts w:ascii="Calibri" w:hAnsi="Calibri" w:cs="Calibri"/>
          <w:iCs/>
          <w:sz w:val="20"/>
        </w:rPr>
      </w:pPr>
      <w:proofErr w:type="spellStart"/>
      <w:r>
        <w:rPr>
          <w:rFonts w:ascii="Calibri" w:hAnsi="Calibri" w:cs="Calibri"/>
          <w:iCs/>
          <w:sz w:val="20"/>
        </w:rPr>
        <w:t>Revize</w:t>
      </w:r>
      <w:proofErr w:type="spellEnd"/>
      <w:r>
        <w:rPr>
          <w:rFonts w:ascii="Calibri" w:hAnsi="Calibri" w:cs="Calibri"/>
          <w:iCs/>
          <w:sz w:val="20"/>
        </w:rPr>
        <w:t xml:space="preserve"> </w:t>
      </w:r>
      <w:proofErr w:type="spellStart"/>
      <w:r>
        <w:rPr>
          <w:rFonts w:ascii="Calibri" w:hAnsi="Calibri" w:cs="Calibri"/>
          <w:iCs/>
          <w:sz w:val="20"/>
        </w:rPr>
        <w:t>bude</w:t>
      </w:r>
      <w:proofErr w:type="spellEnd"/>
      <w:r>
        <w:rPr>
          <w:rFonts w:ascii="Calibri" w:hAnsi="Calibri" w:cs="Calibri"/>
          <w:iCs/>
          <w:sz w:val="20"/>
        </w:rPr>
        <w:t xml:space="preserve"> </w:t>
      </w:r>
      <w:proofErr w:type="spellStart"/>
      <w:r>
        <w:rPr>
          <w:rFonts w:ascii="Calibri" w:hAnsi="Calibri" w:cs="Calibri"/>
          <w:iCs/>
          <w:sz w:val="20"/>
        </w:rPr>
        <w:t>zaměřena</w:t>
      </w:r>
      <w:proofErr w:type="spellEnd"/>
      <w:r>
        <w:rPr>
          <w:rFonts w:ascii="Calibri" w:hAnsi="Calibri" w:cs="Calibri"/>
          <w:iCs/>
          <w:sz w:val="20"/>
        </w:rPr>
        <w:t xml:space="preserve"> </w:t>
      </w:r>
      <w:proofErr w:type="spellStart"/>
      <w:r>
        <w:rPr>
          <w:rFonts w:ascii="Calibri" w:hAnsi="Calibri" w:cs="Calibri"/>
          <w:iCs/>
          <w:sz w:val="20"/>
        </w:rPr>
        <w:t>zejména</w:t>
      </w:r>
      <w:proofErr w:type="spellEnd"/>
      <w:r>
        <w:rPr>
          <w:rFonts w:ascii="Calibri" w:hAnsi="Calibri" w:cs="Calibri"/>
          <w:iCs/>
          <w:sz w:val="20"/>
        </w:rPr>
        <w:t xml:space="preserve"> </w:t>
      </w:r>
      <w:proofErr w:type="spellStart"/>
      <w:r>
        <w:rPr>
          <w:rFonts w:ascii="Calibri" w:hAnsi="Calibri" w:cs="Calibri"/>
          <w:iCs/>
          <w:sz w:val="20"/>
        </w:rPr>
        <w:t>na</w:t>
      </w:r>
      <w:proofErr w:type="spellEnd"/>
      <w:r>
        <w:rPr>
          <w:rFonts w:ascii="Calibri" w:hAnsi="Calibri" w:cs="Calibri"/>
          <w:iCs/>
          <w:sz w:val="20"/>
        </w:rPr>
        <w:t xml:space="preserve"> </w:t>
      </w:r>
      <w:proofErr w:type="spellStart"/>
      <w:r>
        <w:rPr>
          <w:rFonts w:ascii="Calibri" w:hAnsi="Calibri" w:cs="Calibri"/>
          <w:iCs/>
          <w:sz w:val="20"/>
        </w:rPr>
        <w:t>z</w:t>
      </w:r>
      <w:r w:rsidR="00F86AFE" w:rsidRPr="00F86AFE">
        <w:rPr>
          <w:rFonts w:ascii="Calibri" w:hAnsi="Calibri" w:cs="Calibri"/>
          <w:iCs/>
          <w:sz w:val="20"/>
        </w:rPr>
        <w:t>mapování</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procesů</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souvisejících</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rizik</w:t>
      </w:r>
      <w:proofErr w:type="spellEnd"/>
      <w:r w:rsidR="0037653B">
        <w:rPr>
          <w:rFonts w:ascii="Calibri" w:hAnsi="Calibri" w:cs="Calibri"/>
          <w:iCs/>
          <w:sz w:val="20"/>
        </w:rPr>
        <w:t xml:space="preserve"> a</w:t>
      </w:r>
      <w:r w:rsidR="00F86AFE" w:rsidRPr="00F86AFE">
        <w:rPr>
          <w:rFonts w:ascii="Calibri" w:hAnsi="Calibri" w:cs="Calibri"/>
          <w:iCs/>
          <w:sz w:val="20"/>
        </w:rPr>
        <w:t xml:space="preserve"> </w:t>
      </w:r>
      <w:proofErr w:type="spellStart"/>
      <w:r w:rsidR="00F86AFE" w:rsidRPr="00F86AFE">
        <w:rPr>
          <w:rFonts w:ascii="Calibri" w:hAnsi="Calibri" w:cs="Calibri"/>
          <w:iCs/>
          <w:sz w:val="20"/>
        </w:rPr>
        <w:t>kontrolních</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mechanismů</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formou</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analytických</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postupů</w:t>
      </w:r>
      <w:proofErr w:type="spellEnd"/>
      <w:r w:rsidR="00F86AFE" w:rsidRPr="00F86AFE">
        <w:rPr>
          <w:rFonts w:ascii="Calibri" w:hAnsi="Calibri" w:cs="Calibri"/>
          <w:iCs/>
          <w:sz w:val="20"/>
        </w:rPr>
        <w:t xml:space="preserve"> a </w:t>
      </w:r>
      <w:proofErr w:type="spellStart"/>
      <w:r w:rsidR="00F86AFE" w:rsidRPr="00F86AFE">
        <w:rPr>
          <w:rFonts w:ascii="Calibri" w:hAnsi="Calibri" w:cs="Calibri"/>
          <w:iCs/>
          <w:sz w:val="20"/>
        </w:rPr>
        <w:t>diskusí</w:t>
      </w:r>
      <w:proofErr w:type="spellEnd"/>
      <w:r w:rsidR="00F86AFE" w:rsidRPr="00F86AFE">
        <w:rPr>
          <w:rFonts w:ascii="Calibri" w:hAnsi="Calibri" w:cs="Calibri"/>
          <w:iCs/>
          <w:sz w:val="20"/>
        </w:rPr>
        <w:t xml:space="preserve"> s </w:t>
      </w:r>
      <w:proofErr w:type="spellStart"/>
      <w:r w:rsidR="00F86AFE" w:rsidRPr="00F86AFE">
        <w:rPr>
          <w:rFonts w:ascii="Calibri" w:hAnsi="Calibri" w:cs="Calibri"/>
          <w:iCs/>
          <w:sz w:val="20"/>
        </w:rPr>
        <w:t>vedením</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zejména</w:t>
      </w:r>
      <w:proofErr w:type="spellEnd"/>
      <w:r w:rsidR="00F86AFE" w:rsidRPr="00F86AFE">
        <w:rPr>
          <w:rFonts w:ascii="Calibri" w:hAnsi="Calibri" w:cs="Calibri"/>
          <w:iCs/>
          <w:sz w:val="20"/>
        </w:rPr>
        <w:t xml:space="preserve"> v </w:t>
      </w:r>
      <w:proofErr w:type="spellStart"/>
      <w:r w:rsidR="00F86AFE" w:rsidRPr="00F86AFE">
        <w:rPr>
          <w:rFonts w:ascii="Calibri" w:hAnsi="Calibri" w:cs="Calibri"/>
          <w:iCs/>
          <w:sz w:val="20"/>
        </w:rPr>
        <w:t>následujících</w:t>
      </w:r>
      <w:proofErr w:type="spellEnd"/>
      <w:r w:rsidR="00F86AFE" w:rsidRPr="00F86AFE">
        <w:rPr>
          <w:rFonts w:ascii="Calibri" w:hAnsi="Calibri" w:cs="Calibri"/>
          <w:iCs/>
          <w:sz w:val="20"/>
        </w:rPr>
        <w:t xml:space="preserve"> </w:t>
      </w:r>
      <w:proofErr w:type="spellStart"/>
      <w:r w:rsidR="00F86AFE" w:rsidRPr="00F86AFE">
        <w:rPr>
          <w:rFonts w:ascii="Calibri" w:hAnsi="Calibri" w:cs="Calibri"/>
          <w:iCs/>
          <w:sz w:val="20"/>
        </w:rPr>
        <w:t>oblastech</w:t>
      </w:r>
      <w:proofErr w:type="spellEnd"/>
      <w:r w:rsidR="00F86AFE" w:rsidRPr="00F86AFE">
        <w:rPr>
          <w:rFonts w:ascii="Calibri" w:hAnsi="Calibri" w:cs="Calibri"/>
          <w:iCs/>
          <w:sz w:val="20"/>
        </w:rPr>
        <w:t xml:space="preserve">: </w:t>
      </w:r>
    </w:p>
    <w:p w14:paraId="3D179C2B" w14:textId="67021C8A" w:rsidR="00F86AFE" w:rsidRPr="00F86AFE" w:rsidRDefault="00F86AFE" w:rsidP="00593C4B">
      <w:pPr>
        <w:pStyle w:val="Zkladntext"/>
        <w:numPr>
          <w:ilvl w:val="0"/>
          <w:numId w:val="30"/>
        </w:numPr>
        <w:spacing w:after="0"/>
        <w:rPr>
          <w:rFonts w:ascii="Calibri" w:hAnsi="Calibri" w:cs="Calibri"/>
          <w:iCs/>
          <w:sz w:val="20"/>
        </w:rPr>
      </w:pPr>
      <w:proofErr w:type="spellStart"/>
      <w:r w:rsidRPr="00F86AFE">
        <w:rPr>
          <w:rFonts w:ascii="Calibri" w:hAnsi="Calibri" w:cs="Calibri"/>
          <w:iCs/>
          <w:sz w:val="20"/>
        </w:rPr>
        <w:t>Vedení</w:t>
      </w:r>
      <w:proofErr w:type="spellEnd"/>
      <w:r w:rsidRPr="00F86AFE">
        <w:rPr>
          <w:rFonts w:ascii="Calibri" w:hAnsi="Calibri" w:cs="Calibri"/>
          <w:iCs/>
          <w:sz w:val="20"/>
        </w:rPr>
        <w:t xml:space="preserve"> </w:t>
      </w:r>
      <w:proofErr w:type="spellStart"/>
      <w:r w:rsidRPr="00F86AFE">
        <w:rPr>
          <w:rFonts w:ascii="Calibri" w:hAnsi="Calibri" w:cs="Calibri"/>
          <w:iCs/>
          <w:sz w:val="20"/>
        </w:rPr>
        <w:t>finanční</w:t>
      </w:r>
      <w:proofErr w:type="spellEnd"/>
      <w:r w:rsidRPr="00F86AFE">
        <w:rPr>
          <w:rFonts w:ascii="Calibri" w:hAnsi="Calibri" w:cs="Calibri"/>
          <w:iCs/>
          <w:sz w:val="20"/>
        </w:rPr>
        <w:t xml:space="preserve"> </w:t>
      </w:r>
      <w:proofErr w:type="spellStart"/>
      <w:r w:rsidRPr="00F86AFE">
        <w:rPr>
          <w:rFonts w:ascii="Calibri" w:hAnsi="Calibri" w:cs="Calibri"/>
          <w:iCs/>
          <w:sz w:val="20"/>
        </w:rPr>
        <w:t>agendy</w:t>
      </w:r>
      <w:proofErr w:type="spellEnd"/>
      <w:r w:rsidRPr="00F86AFE">
        <w:rPr>
          <w:rFonts w:ascii="Calibri" w:hAnsi="Calibri" w:cs="Calibri"/>
          <w:iCs/>
          <w:sz w:val="20"/>
        </w:rPr>
        <w:t xml:space="preserve">, </w:t>
      </w:r>
      <w:proofErr w:type="spellStart"/>
      <w:r w:rsidRPr="00F86AFE">
        <w:rPr>
          <w:rFonts w:ascii="Calibri" w:hAnsi="Calibri" w:cs="Calibri"/>
          <w:iCs/>
          <w:sz w:val="20"/>
        </w:rPr>
        <w:t>účetnictví</w:t>
      </w:r>
      <w:proofErr w:type="spellEnd"/>
      <w:r w:rsidRPr="00F86AFE">
        <w:rPr>
          <w:rFonts w:ascii="Calibri" w:hAnsi="Calibri" w:cs="Calibri"/>
          <w:iCs/>
          <w:sz w:val="20"/>
        </w:rPr>
        <w:t xml:space="preserve"> a </w:t>
      </w:r>
      <w:proofErr w:type="spellStart"/>
      <w:r w:rsidRPr="00F86AFE">
        <w:rPr>
          <w:rFonts w:ascii="Calibri" w:hAnsi="Calibri" w:cs="Calibri"/>
          <w:iCs/>
          <w:sz w:val="20"/>
        </w:rPr>
        <w:t>hospodaření</w:t>
      </w:r>
      <w:proofErr w:type="spellEnd"/>
      <w:r w:rsidRPr="00F86AFE">
        <w:rPr>
          <w:rFonts w:ascii="Calibri" w:hAnsi="Calibri" w:cs="Calibri"/>
          <w:iCs/>
          <w:sz w:val="20"/>
        </w:rPr>
        <w:t xml:space="preserve"> s </w:t>
      </w:r>
      <w:proofErr w:type="spellStart"/>
      <w:r w:rsidRPr="00F86AFE">
        <w:rPr>
          <w:rFonts w:ascii="Calibri" w:hAnsi="Calibri" w:cs="Calibri"/>
          <w:iCs/>
          <w:sz w:val="20"/>
        </w:rPr>
        <w:t>přidělenými</w:t>
      </w:r>
      <w:proofErr w:type="spellEnd"/>
      <w:r w:rsidRPr="00F86AFE">
        <w:rPr>
          <w:rFonts w:ascii="Calibri" w:hAnsi="Calibri" w:cs="Calibri"/>
          <w:iCs/>
          <w:sz w:val="20"/>
        </w:rPr>
        <w:t xml:space="preserve"> </w:t>
      </w:r>
      <w:proofErr w:type="spellStart"/>
      <w:r w:rsidRPr="00F86AFE">
        <w:rPr>
          <w:rFonts w:ascii="Calibri" w:hAnsi="Calibri" w:cs="Calibri"/>
          <w:iCs/>
          <w:sz w:val="20"/>
        </w:rPr>
        <w:t>finančními</w:t>
      </w:r>
      <w:proofErr w:type="spellEnd"/>
      <w:r w:rsidRPr="00F86AFE">
        <w:rPr>
          <w:rFonts w:ascii="Calibri" w:hAnsi="Calibri" w:cs="Calibri"/>
          <w:iCs/>
          <w:sz w:val="20"/>
        </w:rPr>
        <w:t xml:space="preserve"> </w:t>
      </w:r>
      <w:proofErr w:type="spellStart"/>
      <w:r w:rsidRPr="00F86AFE">
        <w:rPr>
          <w:rFonts w:ascii="Calibri" w:hAnsi="Calibri" w:cs="Calibri"/>
          <w:iCs/>
          <w:sz w:val="20"/>
        </w:rPr>
        <w:t>prostředky</w:t>
      </w:r>
      <w:proofErr w:type="spellEnd"/>
      <w:r w:rsidRPr="00F86AFE">
        <w:rPr>
          <w:rFonts w:ascii="Calibri" w:hAnsi="Calibri" w:cs="Calibri"/>
          <w:iCs/>
          <w:sz w:val="20"/>
        </w:rPr>
        <w:t>;</w:t>
      </w:r>
    </w:p>
    <w:p w14:paraId="4DCEFEA7" w14:textId="77777777" w:rsidR="00F86AFE" w:rsidRPr="00F86AFE" w:rsidRDefault="00F86AFE" w:rsidP="00593C4B">
      <w:pPr>
        <w:pStyle w:val="Zkladntext"/>
        <w:numPr>
          <w:ilvl w:val="0"/>
          <w:numId w:val="30"/>
        </w:numPr>
        <w:spacing w:after="0"/>
        <w:rPr>
          <w:rFonts w:ascii="Calibri" w:hAnsi="Calibri" w:cs="Calibri"/>
          <w:iCs/>
          <w:sz w:val="20"/>
        </w:rPr>
      </w:pPr>
      <w:proofErr w:type="spellStart"/>
      <w:r w:rsidRPr="00F86AFE">
        <w:rPr>
          <w:rFonts w:ascii="Calibri" w:hAnsi="Calibri" w:cs="Calibri"/>
          <w:iCs/>
          <w:sz w:val="20"/>
        </w:rPr>
        <w:t>Řízení</w:t>
      </w:r>
      <w:proofErr w:type="spellEnd"/>
      <w:r w:rsidRPr="00F86AFE">
        <w:rPr>
          <w:rFonts w:ascii="Calibri" w:hAnsi="Calibri" w:cs="Calibri"/>
          <w:iCs/>
          <w:sz w:val="20"/>
        </w:rPr>
        <w:t xml:space="preserve"> IT </w:t>
      </w:r>
      <w:proofErr w:type="spellStart"/>
      <w:r w:rsidRPr="00F86AFE">
        <w:rPr>
          <w:rFonts w:ascii="Calibri" w:hAnsi="Calibri" w:cs="Calibri"/>
          <w:iCs/>
          <w:sz w:val="20"/>
        </w:rPr>
        <w:t>procesů</w:t>
      </w:r>
      <w:proofErr w:type="spellEnd"/>
      <w:r w:rsidRPr="00F86AFE">
        <w:rPr>
          <w:rFonts w:ascii="Calibri" w:hAnsi="Calibri" w:cs="Calibri"/>
          <w:iCs/>
          <w:sz w:val="20"/>
        </w:rPr>
        <w:t xml:space="preserve"> a </w:t>
      </w:r>
      <w:proofErr w:type="spellStart"/>
      <w:r w:rsidRPr="00F86AFE">
        <w:rPr>
          <w:rFonts w:ascii="Calibri" w:hAnsi="Calibri" w:cs="Calibri"/>
          <w:iCs/>
          <w:sz w:val="20"/>
        </w:rPr>
        <w:t>souvisejících</w:t>
      </w:r>
      <w:proofErr w:type="spellEnd"/>
      <w:r w:rsidRPr="00F86AFE">
        <w:rPr>
          <w:rFonts w:ascii="Calibri" w:hAnsi="Calibri" w:cs="Calibri"/>
          <w:iCs/>
          <w:sz w:val="20"/>
        </w:rPr>
        <w:t xml:space="preserve"> </w:t>
      </w:r>
      <w:proofErr w:type="spellStart"/>
      <w:r w:rsidRPr="00F86AFE">
        <w:rPr>
          <w:rFonts w:ascii="Calibri" w:hAnsi="Calibri" w:cs="Calibri"/>
          <w:iCs/>
          <w:sz w:val="20"/>
        </w:rPr>
        <w:t>rizik</w:t>
      </w:r>
      <w:proofErr w:type="spellEnd"/>
      <w:r w:rsidRPr="00F86AFE">
        <w:rPr>
          <w:rFonts w:ascii="Calibri" w:hAnsi="Calibri" w:cs="Calibri"/>
          <w:iCs/>
          <w:sz w:val="20"/>
        </w:rPr>
        <w:t>;</w:t>
      </w:r>
    </w:p>
    <w:p w14:paraId="190C2F20" w14:textId="77777777" w:rsidR="00F86AFE" w:rsidRPr="00F86AFE" w:rsidRDefault="00F86AFE" w:rsidP="00593C4B">
      <w:pPr>
        <w:pStyle w:val="Zkladntext"/>
        <w:numPr>
          <w:ilvl w:val="0"/>
          <w:numId w:val="30"/>
        </w:numPr>
        <w:spacing w:after="0"/>
        <w:rPr>
          <w:rFonts w:ascii="Calibri" w:hAnsi="Calibri" w:cs="Calibri"/>
          <w:iCs/>
          <w:sz w:val="20"/>
        </w:rPr>
      </w:pPr>
      <w:proofErr w:type="spellStart"/>
      <w:r w:rsidRPr="00F86AFE">
        <w:rPr>
          <w:rFonts w:ascii="Calibri" w:hAnsi="Calibri" w:cs="Calibri"/>
          <w:iCs/>
          <w:sz w:val="20"/>
        </w:rPr>
        <w:t>Vedení</w:t>
      </w:r>
      <w:proofErr w:type="spellEnd"/>
      <w:r w:rsidRPr="00F86AFE">
        <w:rPr>
          <w:rFonts w:ascii="Calibri" w:hAnsi="Calibri" w:cs="Calibri"/>
          <w:iCs/>
          <w:sz w:val="20"/>
        </w:rPr>
        <w:t xml:space="preserve"> </w:t>
      </w:r>
      <w:proofErr w:type="spellStart"/>
      <w:r w:rsidRPr="00F86AFE">
        <w:rPr>
          <w:rFonts w:ascii="Calibri" w:hAnsi="Calibri" w:cs="Calibri"/>
          <w:iCs/>
          <w:sz w:val="20"/>
        </w:rPr>
        <w:t>právní</w:t>
      </w:r>
      <w:proofErr w:type="spellEnd"/>
      <w:r w:rsidRPr="00F86AFE">
        <w:rPr>
          <w:rFonts w:ascii="Calibri" w:hAnsi="Calibri" w:cs="Calibri"/>
          <w:iCs/>
          <w:sz w:val="20"/>
        </w:rPr>
        <w:t xml:space="preserve"> </w:t>
      </w:r>
      <w:proofErr w:type="spellStart"/>
      <w:r w:rsidRPr="00F86AFE">
        <w:rPr>
          <w:rFonts w:ascii="Calibri" w:hAnsi="Calibri" w:cs="Calibri"/>
          <w:iCs/>
          <w:sz w:val="20"/>
        </w:rPr>
        <w:t>agendy</w:t>
      </w:r>
      <w:proofErr w:type="spellEnd"/>
      <w:r w:rsidRPr="00F86AFE">
        <w:rPr>
          <w:rFonts w:ascii="Calibri" w:hAnsi="Calibri" w:cs="Calibri"/>
          <w:iCs/>
          <w:sz w:val="20"/>
        </w:rPr>
        <w:t xml:space="preserve">, </w:t>
      </w:r>
      <w:proofErr w:type="spellStart"/>
      <w:r w:rsidRPr="00F86AFE">
        <w:rPr>
          <w:rFonts w:ascii="Calibri" w:hAnsi="Calibri" w:cs="Calibri"/>
          <w:iCs/>
          <w:sz w:val="20"/>
        </w:rPr>
        <w:t>tj</w:t>
      </w:r>
      <w:proofErr w:type="spellEnd"/>
      <w:r w:rsidRPr="00F86AFE">
        <w:rPr>
          <w:rFonts w:ascii="Calibri" w:hAnsi="Calibri" w:cs="Calibri"/>
          <w:iCs/>
          <w:sz w:val="20"/>
        </w:rPr>
        <w:t xml:space="preserve">. </w:t>
      </w:r>
      <w:proofErr w:type="spellStart"/>
      <w:r w:rsidRPr="00F86AFE">
        <w:rPr>
          <w:rFonts w:ascii="Calibri" w:hAnsi="Calibri" w:cs="Calibri"/>
          <w:iCs/>
          <w:sz w:val="20"/>
        </w:rPr>
        <w:t>smluvní</w:t>
      </w:r>
      <w:proofErr w:type="spellEnd"/>
      <w:r w:rsidRPr="00F86AFE">
        <w:rPr>
          <w:rFonts w:ascii="Calibri" w:hAnsi="Calibri" w:cs="Calibri"/>
          <w:iCs/>
          <w:sz w:val="20"/>
        </w:rPr>
        <w:t xml:space="preserve"> a </w:t>
      </w:r>
      <w:proofErr w:type="spellStart"/>
      <w:r w:rsidRPr="00F86AFE">
        <w:rPr>
          <w:rFonts w:ascii="Calibri" w:hAnsi="Calibri" w:cs="Calibri"/>
          <w:iCs/>
          <w:sz w:val="20"/>
        </w:rPr>
        <w:t>spisová</w:t>
      </w:r>
      <w:proofErr w:type="spellEnd"/>
      <w:r w:rsidRPr="00F86AFE">
        <w:rPr>
          <w:rFonts w:ascii="Calibri" w:hAnsi="Calibri" w:cs="Calibri"/>
          <w:iCs/>
          <w:sz w:val="20"/>
        </w:rPr>
        <w:t xml:space="preserve"> </w:t>
      </w:r>
      <w:proofErr w:type="spellStart"/>
      <w:r w:rsidRPr="00F86AFE">
        <w:rPr>
          <w:rFonts w:ascii="Calibri" w:hAnsi="Calibri" w:cs="Calibri"/>
          <w:iCs/>
          <w:sz w:val="20"/>
        </w:rPr>
        <w:t>služba</w:t>
      </w:r>
      <w:proofErr w:type="spellEnd"/>
      <w:r w:rsidRPr="00F86AFE">
        <w:rPr>
          <w:rFonts w:ascii="Calibri" w:hAnsi="Calibri" w:cs="Calibri"/>
          <w:iCs/>
          <w:sz w:val="20"/>
        </w:rPr>
        <w:t xml:space="preserve">, </w:t>
      </w:r>
      <w:proofErr w:type="spellStart"/>
      <w:r w:rsidRPr="00F86AFE">
        <w:rPr>
          <w:rFonts w:ascii="Calibri" w:hAnsi="Calibri" w:cs="Calibri"/>
          <w:iCs/>
          <w:sz w:val="20"/>
        </w:rPr>
        <w:t>vedení</w:t>
      </w:r>
      <w:proofErr w:type="spellEnd"/>
      <w:r w:rsidRPr="00F86AFE">
        <w:rPr>
          <w:rFonts w:ascii="Calibri" w:hAnsi="Calibri" w:cs="Calibri"/>
          <w:iCs/>
          <w:sz w:val="20"/>
        </w:rPr>
        <w:t xml:space="preserve"> </w:t>
      </w:r>
      <w:proofErr w:type="spellStart"/>
      <w:r w:rsidRPr="00F86AFE">
        <w:rPr>
          <w:rFonts w:ascii="Calibri" w:hAnsi="Calibri" w:cs="Calibri"/>
          <w:iCs/>
          <w:sz w:val="20"/>
        </w:rPr>
        <w:t>sporů</w:t>
      </w:r>
      <w:proofErr w:type="spellEnd"/>
      <w:r w:rsidRPr="00F86AFE">
        <w:rPr>
          <w:rFonts w:ascii="Calibri" w:hAnsi="Calibri" w:cs="Calibri"/>
          <w:iCs/>
          <w:sz w:val="20"/>
        </w:rPr>
        <w:t xml:space="preserve"> a </w:t>
      </w:r>
      <w:proofErr w:type="spellStart"/>
      <w:r w:rsidRPr="00F86AFE">
        <w:rPr>
          <w:rFonts w:ascii="Calibri" w:hAnsi="Calibri" w:cs="Calibri"/>
          <w:iCs/>
          <w:sz w:val="20"/>
        </w:rPr>
        <w:t>souvisejících</w:t>
      </w:r>
      <w:proofErr w:type="spellEnd"/>
      <w:r w:rsidRPr="00F86AFE">
        <w:rPr>
          <w:rFonts w:ascii="Calibri" w:hAnsi="Calibri" w:cs="Calibri"/>
          <w:iCs/>
          <w:sz w:val="20"/>
        </w:rPr>
        <w:t xml:space="preserve"> </w:t>
      </w:r>
      <w:proofErr w:type="spellStart"/>
      <w:r w:rsidRPr="00F86AFE">
        <w:rPr>
          <w:rFonts w:ascii="Calibri" w:hAnsi="Calibri" w:cs="Calibri"/>
          <w:iCs/>
          <w:sz w:val="20"/>
        </w:rPr>
        <w:t>rizik</w:t>
      </w:r>
      <w:proofErr w:type="spellEnd"/>
      <w:r w:rsidRPr="00F86AFE">
        <w:rPr>
          <w:rFonts w:ascii="Calibri" w:hAnsi="Calibri" w:cs="Calibri"/>
          <w:iCs/>
          <w:sz w:val="20"/>
        </w:rPr>
        <w:t xml:space="preserve">. </w:t>
      </w:r>
    </w:p>
    <w:p w14:paraId="101CB4E2" w14:textId="77777777" w:rsidR="00593C4B" w:rsidRDefault="00593C4B" w:rsidP="000A5FAE">
      <w:pPr>
        <w:pStyle w:val="Zkladntext"/>
        <w:rPr>
          <w:rFonts w:ascii="Calibri" w:hAnsi="Calibri" w:cs="Calibri"/>
          <w:sz w:val="20"/>
        </w:rPr>
      </w:pPr>
    </w:p>
    <w:p w14:paraId="1FE8D5FA" w14:textId="36D47FBA" w:rsidR="00B7025F" w:rsidRPr="009D5B7E" w:rsidRDefault="00B7025F" w:rsidP="00593C4B">
      <w:pPr>
        <w:pStyle w:val="Zkladntext"/>
        <w:rPr>
          <w:rFonts w:ascii="Calibri" w:hAnsi="Calibri" w:cs="Calibri"/>
          <w:sz w:val="20"/>
        </w:rPr>
      </w:pPr>
      <w:r w:rsidRPr="009D5B7E">
        <w:rPr>
          <w:rFonts w:ascii="Calibri" w:hAnsi="Calibri" w:cs="Calibri"/>
          <w:sz w:val="20"/>
        </w:rPr>
        <w:t xml:space="preserve">Po </w:t>
      </w:r>
      <w:proofErr w:type="spellStart"/>
      <w:r w:rsidRPr="009D5B7E">
        <w:rPr>
          <w:rFonts w:ascii="Calibri" w:hAnsi="Calibri" w:cs="Calibri"/>
          <w:sz w:val="20"/>
        </w:rPr>
        <w:t>úspěšném</w:t>
      </w:r>
      <w:proofErr w:type="spellEnd"/>
      <w:r w:rsidRPr="009D5B7E">
        <w:rPr>
          <w:rFonts w:ascii="Calibri" w:hAnsi="Calibri" w:cs="Calibri"/>
          <w:sz w:val="20"/>
        </w:rPr>
        <w:t xml:space="preserve"> </w:t>
      </w:r>
      <w:proofErr w:type="spellStart"/>
      <w:r w:rsidRPr="009D5B7E">
        <w:rPr>
          <w:rFonts w:ascii="Calibri" w:hAnsi="Calibri" w:cs="Calibri"/>
          <w:sz w:val="20"/>
        </w:rPr>
        <w:t>poskytnutí</w:t>
      </w:r>
      <w:proofErr w:type="spellEnd"/>
      <w:r w:rsidRPr="009D5B7E">
        <w:rPr>
          <w:rFonts w:ascii="Calibri" w:hAnsi="Calibri" w:cs="Calibri"/>
          <w:sz w:val="20"/>
        </w:rPr>
        <w:t xml:space="preserve"> </w:t>
      </w:r>
      <w:proofErr w:type="spellStart"/>
      <w:r w:rsidRPr="009D5B7E">
        <w:rPr>
          <w:rFonts w:ascii="Calibri" w:hAnsi="Calibri" w:cs="Calibri"/>
          <w:sz w:val="20"/>
        </w:rPr>
        <w:t>Služeb</w:t>
      </w:r>
      <w:proofErr w:type="spellEnd"/>
      <w:r w:rsidRPr="009D5B7E">
        <w:rPr>
          <w:rFonts w:ascii="Calibri" w:hAnsi="Calibri" w:cs="Calibri"/>
          <w:sz w:val="20"/>
        </w:rPr>
        <w:t xml:space="preserve"> </w:t>
      </w:r>
      <w:proofErr w:type="spellStart"/>
      <w:r w:rsidRPr="009D5B7E">
        <w:rPr>
          <w:rFonts w:ascii="Calibri" w:hAnsi="Calibri" w:cs="Calibri"/>
          <w:sz w:val="20"/>
        </w:rPr>
        <w:t>společnost</w:t>
      </w:r>
      <w:proofErr w:type="spellEnd"/>
      <w:r w:rsidRPr="009D5B7E">
        <w:rPr>
          <w:rFonts w:ascii="Calibri" w:hAnsi="Calibri" w:cs="Calibri"/>
          <w:sz w:val="20"/>
        </w:rPr>
        <w:t xml:space="preserve"> Deloitte </w:t>
      </w:r>
      <w:proofErr w:type="spellStart"/>
      <w:r w:rsidRPr="009D5B7E">
        <w:rPr>
          <w:rFonts w:ascii="Calibri" w:hAnsi="Calibri" w:cs="Calibri"/>
          <w:sz w:val="20"/>
        </w:rPr>
        <w:t>poskytne</w:t>
      </w:r>
      <w:proofErr w:type="spellEnd"/>
      <w:r w:rsidRPr="009D5B7E">
        <w:rPr>
          <w:rFonts w:ascii="Calibri" w:hAnsi="Calibri" w:cs="Calibri"/>
          <w:sz w:val="20"/>
        </w:rPr>
        <w:t xml:space="preserve"> </w:t>
      </w:r>
      <w:proofErr w:type="spellStart"/>
      <w:r w:rsidRPr="009D5B7E">
        <w:rPr>
          <w:rFonts w:ascii="Calibri" w:hAnsi="Calibri" w:cs="Calibri"/>
          <w:sz w:val="20"/>
        </w:rPr>
        <w:t>Klientovi</w:t>
      </w:r>
      <w:proofErr w:type="spellEnd"/>
      <w:r w:rsidRPr="009D5B7E">
        <w:rPr>
          <w:rFonts w:ascii="Calibri" w:hAnsi="Calibri" w:cs="Calibri"/>
          <w:sz w:val="20"/>
        </w:rPr>
        <w:t xml:space="preserve">: </w:t>
      </w:r>
      <w:proofErr w:type="spellStart"/>
      <w:r w:rsidR="00E6072F">
        <w:rPr>
          <w:rFonts w:ascii="Calibri" w:hAnsi="Calibri" w:cs="Calibri"/>
          <w:sz w:val="20"/>
        </w:rPr>
        <w:t>Prezentaci</w:t>
      </w:r>
      <w:proofErr w:type="spellEnd"/>
      <w:r w:rsidR="00D46F6C">
        <w:rPr>
          <w:rFonts w:ascii="Calibri" w:hAnsi="Calibri" w:cs="Calibri"/>
          <w:sz w:val="20"/>
        </w:rPr>
        <w:t xml:space="preserve"> </w:t>
      </w:r>
      <w:proofErr w:type="spellStart"/>
      <w:r w:rsidR="00593C4B" w:rsidRPr="00593C4B">
        <w:rPr>
          <w:rFonts w:ascii="Calibri" w:hAnsi="Calibri" w:cs="Calibri"/>
          <w:iCs/>
          <w:sz w:val="20"/>
        </w:rPr>
        <w:t>přehled</w:t>
      </w:r>
      <w:r w:rsidR="00E6072F">
        <w:rPr>
          <w:rFonts w:ascii="Calibri" w:hAnsi="Calibri" w:cs="Calibri"/>
          <w:iCs/>
          <w:sz w:val="20"/>
        </w:rPr>
        <w:t>u</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procesů</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identifikovaných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rizik</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obranných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mechanismů</w:t>
      </w:r>
      <w:proofErr w:type="spellEnd"/>
      <w:r w:rsidR="00593C4B" w:rsidRPr="00593C4B">
        <w:rPr>
          <w:rFonts w:ascii="Calibri" w:hAnsi="Calibri" w:cs="Calibri"/>
          <w:iCs/>
          <w:sz w:val="20"/>
        </w:rPr>
        <w:t xml:space="preserve"> a </w:t>
      </w:r>
      <w:proofErr w:type="spellStart"/>
      <w:r w:rsidR="00593C4B" w:rsidRPr="00593C4B">
        <w:rPr>
          <w:rFonts w:ascii="Calibri" w:hAnsi="Calibri" w:cs="Calibri"/>
          <w:iCs/>
          <w:sz w:val="20"/>
        </w:rPr>
        <w:t>interních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kontrol</w:t>
      </w:r>
      <w:proofErr w:type="spellEnd"/>
      <w:r w:rsidR="00593C4B" w:rsidRPr="00593C4B">
        <w:rPr>
          <w:rFonts w:ascii="Calibri" w:hAnsi="Calibri" w:cs="Calibri"/>
          <w:iCs/>
          <w:sz w:val="20"/>
        </w:rPr>
        <w:t xml:space="preserve"> a </w:t>
      </w:r>
      <w:proofErr w:type="spellStart"/>
      <w:r w:rsidR="00593C4B" w:rsidRPr="00593C4B">
        <w:rPr>
          <w:rFonts w:ascii="Calibri" w:hAnsi="Calibri" w:cs="Calibri"/>
          <w:iCs/>
          <w:sz w:val="20"/>
        </w:rPr>
        <w:t>návrh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plánu</w:t>
      </w:r>
      <w:proofErr w:type="spellEnd"/>
      <w:r w:rsidR="00593C4B" w:rsidRPr="00593C4B">
        <w:rPr>
          <w:rFonts w:ascii="Calibri" w:hAnsi="Calibri" w:cs="Calibri"/>
          <w:iCs/>
          <w:sz w:val="20"/>
        </w:rPr>
        <w:t xml:space="preserve"> pro </w:t>
      </w:r>
      <w:proofErr w:type="spellStart"/>
      <w:r w:rsidR="00593C4B" w:rsidRPr="00593C4B">
        <w:rPr>
          <w:rFonts w:ascii="Calibri" w:hAnsi="Calibri" w:cs="Calibri"/>
          <w:iCs/>
          <w:sz w:val="20"/>
        </w:rPr>
        <w:t>další</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detailní</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nezávislé</w:t>
      </w:r>
      <w:proofErr w:type="spellEnd"/>
      <w:r w:rsidR="00593C4B" w:rsidRPr="00593C4B">
        <w:rPr>
          <w:rFonts w:ascii="Calibri" w:hAnsi="Calibri" w:cs="Calibri"/>
          <w:iCs/>
          <w:sz w:val="20"/>
        </w:rPr>
        <w:t xml:space="preserve"> a </w:t>
      </w:r>
      <w:proofErr w:type="spellStart"/>
      <w:r w:rsidR="00593C4B" w:rsidRPr="00593C4B">
        <w:rPr>
          <w:rFonts w:ascii="Calibri" w:hAnsi="Calibri" w:cs="Calibri"/>
          <w:iCs/>
          <w:sz w:val="20"/>
        </w:rPr>
        <w:t>objektivní</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testování</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jednotlivých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oblastí</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dle</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jejich</w:t>
      </w:r>
      <w:proofErr w:type="spellEnd"/>
      <w:r w:rsidR="00593C4B" w:rsidRPr="00593C4B">
        <w:rPr>
          <w:rFonts w:ascii="Calibri" w:hAnsi="Calibri" w:cs="Calibri"/>
          <w:iCs/>
          <w:sz w:val="20"/>
        </w:rPr>
        <w:t xml:space="preserve"> </w:t>
      </w:r>
      <w:proofErr w:type="spellStart"/>
      <w:r w:rsidR="00593C4B" w:rsidRPr="00593C4B">
        <w:rPr>
          <w:rFonts w:ascii="Calibri" w:hAnsi="Calibri" w:cs="Calibri"/>
          <w:iCs/>
          <w:sz w:val="20"/>
        </w:rPr>
        <w:t>významnosti</w:t>
      </w:r>
      <w:proofErr w:type="spellEnd"/>
      <w:r w:rsidR="00A01EE2">
        <w:rPr>
          <w:rFonts w:ascii="Calibri" w:hAnsi="Calibri" w:cs="Calibri"/>
          <w:iCs/>
          <w:sz w:val="20"/>
        </w:rPr>
        <w:t xml:space="preserve">, </w:t>
      </w:r>
      <w:proofErr w:type="spellStart"/>
      <w:r w:rsidR="00A01EE2">
        <w:rPr>
          <w:rFonts w:ascii="Calibri" w:hAnsi="Calibri" w:cs="Calibri"/>
          <w:iCs/>
          <w:sz w:val="20"/>
        </w:rPr>
        <w:t>která</w:t>
      </w:r>
      <w:proofErr w:type="spellEnd"/>
      <w:r w:rsidR="00A01EE2">
        <w:rPr>
          <w:rFonts w:ascii="Calibri" w:hAnsi="Calibri" w:cs="Calibri"/>
          <w:iCs/>
          <w:sz w:val="20"/>
        </w:rPr>
        <w:t xml:space="preserve"> </w:t>
      </w:r>
      <w:proofErr w:type="spellStart"/>
      <w:r w:rsidR="00A01EE2">
        <w:rPr>
          <w:rFonts w:ascii="Calibri" w:hAnsi="Calibri" w:cs="Calibri"/>
          <w:iCs/>
          <w:sz w:val="20"/>
        </w:rPr>
        <w:t>bude</w:t>
      </w:r>
      <w:proofErr w:type="spellEnd"/>
      <w:r w:rsidR="00A01EE2">
        <w:rPr>
          <w:rFonts w:ascii="Calibri" w:hAnsi="Calibri" w:cs="Calibri"/>
          <w:iCs/>
          <w:sz w:val="20"/>
        </w:rPr>
        <w:t xml:space="preserve"> </w:t>
      </w:r>
      <w:proofErr w:type="spellStart"/>
      <w:r w:rsidR="00A01EE2">
        <w:rPr>
          <w:rFonts w:ascii="Calibri" w:hAnsi="Calibri" w:cs="Calibri"/>
          <w:iCs/>
          <w:sz w:val="20"/>
        </w:rPr>
        <w:t>sloužit</w:t>
      </w:r>
      <w:proofErr w:type="spellEnd"/>
      <w:r w:rsidR="00A01EE2">
        <w:rPr>
          <w:rFonts w:ascii="Calibri" w:hAnsi="Calibri" w:cs="Calibri"/>
          <w:iCs/>
          <w:sz w:val="20"/>
        </w:rPr>
        <w:t xml:space="preserve"> </w:t>
      </w:r>
      <w:proofErr w:type="spellStart"/>
      <w:r w:rsidR="00A01EE2">
        <w:rPr>
          <w:rFonts w:ascii="Calibri" w:hAnsi="Calibri" w:cs="Calibri"/>
          <w:iCs/>
          <w:sz w:val="20"/>
        </w:rPr>
        <w:t>jako</w:t>
      </w:r>
      <w:proofErr w:type="spellEnd"/>
      <w:r w:rsidR="00A01EE2">
        <w:rPr>
          <w:rFonts w:ascii="Calibri" w:hAnsi="Calibri" w:cs="Calibri"/>
          <w:iCs/>
          <w:sz w:val="20"/>
        </w:rPr>
        <w:t xml:space="preserve"> </w:t>
      </w:r>
      <w:proofErr w:type="spellStart"/>
      <w:r w:rsidR="00A01EE2">
        <w:rPr>
          <w:rFonts w:ascii="Calibri" w:hAnsi="Calibri" w:cs="Calibri"/>
          <w:iCs/>
          <w:sz w:val="20"/>
        </w:rPr>
        <w:t>vstup</w:t>
      </w:r>
      <w:proofErr w:type="spellEnd"/>
      <w:r w:rsidR="00A01EE2">
        <w:rPr>
          <w:rFonts w:ascii="Calibri" w:hAnsi="Calibri" w:cs="Calibri"/>
          <w:iCs/>
          <w:sz w:val="20"/>
        </w:rPr>
        <w:t xml:space="preserve"> pro </w:t>
      </w:r>
      <w:proofErr w:type="spellStart"/>
      <w:r w:rsidR="00A01EE2" w:rsidRPr="00A01EE2">
        <w:rPr>
          <w:rFonts w:ascii="Calibri" w:hAnsi="Calibri" w:cs="Calibri"/>
          <w:iCs/>
          <w:sz w:val="20"/>
          <w:lang w:val="en-US"/>
        </w:rPr>
        <w:t>další</w:t>
      </w:r>
      <w:proofErr w:type="spellEnd"/>
      <w:r w:rsidR="00A01EE2" w:rsidRPr="00A01EE2">
        <w:rPr>
          <w:rFonts w:ascii="Calibri" w:hAnsi="Calibri" w:cs="Calibri"/>
          <w:iCs/>
          <w:sz w:val="20"/>
          <w:lang w:val="en-US"/>
        </w:rPr>
        <w:t xml:space="preserve"> </w:t>
      </w:r>
      <w:proofErr w:type="spellStart"/>
      <w:r w:rsidR="00A01EE2" w:rsidRPr="00A01EE2">
        <w:rPr>
          <w:rFonts w:ascii="Calibri" w:hAnsi="Calibri" w:cs="Calibri"/>
          <w:iCs/>
          <w:sz w:val="20"/>
          <w:lang w:val="en-US"/>
        </w:rPr>
        <w:t>detailní</w:t>
      </w:r>
      <w:proofErr w:type="spellEnd"/>
      <w:r w:rsidR="00A01EE2" w:rsidRPr="00A01EE2">
        <w:rPr>
          <w:rFonts w:ascii="Calibri" w:hAnsi="Calibri" w:cs="Calibri"/>
          <w:iCs/>
          <w:sz w:val="20"/>
          <w:lang w:val="en-US"/>
        </w:rPr>
        <w:t xml:space="preserve"> </w:t>
      </w:r>
      <w:proofErr w:type="spellStart"/>
      <w:r w:rsidR="00A01EE2" w:rsidRPr="00A01EE2">
        <w:rPr>
          <w:rFonts w:ascii="Calibri" w:hAnsi="Calibri" w:cs="Calibri"/>
          <w:iCs/>
          <w:sz w:val="20"/>
          <w:lang w:val="en-US"/>
        </w:rPr>
        <w:t>analýzu</w:t>
      </w:r>
      <w:proofErr w:type="spellEnd"/>
      <w:r w:rsidR="00A01EE2">
        <w:rPr>
          <w:rFonts w:ascii="Calibri" w:hAnsi="Calibri" w:cs="Calibri"/>
          <w:iCs/>
          <w:sz w:val="20"/>
          <w:lang w:val="en-US"/>
        </w:rPr>
        <w:t xml:space="preserve"> </w:t>
      </w:r>
      <w:r w:rsidR="00A01EE2" w:rsidRPr="00A01EE2">
        <w:rPr>
          <w:rFonts w:ascii="Calibri" w:hAnsi="Calibri" w:cs="Calibri"/>
          <w:iCs/>
          <w:sz w:val="20"/>
          <w:lang w:val="en-US"/>
        </w:rPr>
        <w:t>v</w:t>
      </w:r>
      <w:r w:rsidR="005619B0">
        <w:rPr>
          <w:rFonts w:ascii="Calibri" w:hAnsi="Calibri" w:cs="Calibri"/>
          <w:iCs/>
          <w:sz w:val="20"/>
          <w:lang w:val="en-US"/>
        </w:rPr>
        <w:t xml:space="preserve"> </w:t>
      </w:r>
      <w:proofErr w:type="spellStart"/>
      <w:r w:rsidR="00A01EE2" w:rsidRPr="00A01EE2">
        <w:rPr>
          <w:rFonts w:ascii="Calibri" w:hAnsi="Calibri" w:cs="Calibri"/>
          <w:iCs/>
          <w:sz w:val="20"/>
          <w:lang w:val="en-US"/>
        </w:rPr>
        <w:t>navržených</w:t>
      </w:r>
      <w:proofErr w:type="spellEnd"/>
      <w:r w:rsidR="005619B0">
        <w:rPr>
          <w:rFonts w:ascii="Calibri" w:hAnsi="Calibri" w:cs="Calibri"/>
          <w:iCs/>
          <w:sz w:val="20"/>
          <w:lang w:val="en-US"/>
        </w:rPr>
        <w:t xml:space="preserve"> </w:t>
      </w:r>
      <w:proofErr w:type="spellStart"/>
      <w:r w:rsidR="00A01EE2" w:rsidRPr="00A01EE2">
        <w:rPr>
          <w:rFonts w:ascii="Calibri" w:hAnsi="Calibri" w:cs="Calibri"/>
          <w:iCs/>
          <w:sz w:val="20"/>
          <w:lang w:val="en-US"/>
        </w:rPr>
        <w:t>oblastech</w:t>
      </w:r>
      <w:proofErr w:type="spellEnd"/>
      <w:r w:rsidR="005619B0">
        <w:rPr>
          <w:rFonts w:ascii="Calibri" w:hAnsi="Calibri" w:cs="Calibri"/>
          <w:iCs/>
          <w:sz w:val="20"/>
          <w:lang w:val="en-US"/>
        </w:rPr>
        <w:t xml:space="preserve">. </w:t>
      </w:r>
      <w:r w:rsidRPr="009D5B7E">
        <w:rPr>
          <w:rFonts w:ascii="Calibri" w:hAnsi="Calibri" w:cs="Calibri"/>
          <w:sz w:val="20"/>
        </w:rPr>
        <w:t>(</w:t>
      </w:r>
      <w:proofErr w:type="spellStart"/>
      <w:r w:rsidRPr="009D5B7E">
        <w:rPr>
          <w:rFonts w:ascii="Calibri" w:hAnsi="Calibri" w:cs="Calibri"/>
          <w:sz w:val="20"/>
        </w:rPr>
        <w:t>dále</w:t>
      </w:r>
      <w:proofErr w:type="spellEnd"/>
      <w:r w:rsidRPr="009D5B7E">
        <w:rPr>
          <w:rFonts w:ascii="Calibri" w:hAnsi="Calibri" w:cs="Calibri"/>
          <w:sz w:val="20"/>
        </w:rPr>
        <w:t xml:space="preserve"> </w:t>
      </w:r>
      <w:proofErr w:type="spellStart"/>
      <w:r w:rsidRPr="009D5B7E">
        <w:rPr>
          <w:rFonts w:ascii="Calibri" w:hAnsi="Calibri" w:cs="Calibri"/>
          <w:sz w:val="20"/>
        </w:rPr>
        <w:t>jen</w:t>
      </w:r>
      <w:proofErr w:type="spellEnd"/>
      <w:r w:rsidRPr="009D5B7E">
        <w:rPr>
          <w:rFonts w:ascii="Calibri" w:hAnsi="Calibri" w:cs="Calibri"/>
          <w:sz w:val="20"/>
        </w:rPr>
        <w:t xml:space="preserve"> “</w:t>
      </w:r>
      <w:proofErr w:type="spellStart"/>
      <w:r w:rsidRPr="009D5B7E">
        <w:rPr>
          <w:rFonts w:ascii="Calibri" w:hAnsi="Calibri" w:cs="Calibri"/>
          <w:sz w:val="20"/>
        </w:rPr>
        <w:t>Výstup</w:t>
      </w:r>
      <w:proofErr w:type="spellEnd"/>
      <w:r w:rsidRPr="009D5B7E">
        <w:rPr>
          <w:rFonts w:ascii="Calibri" w:hAnsi="Calibri" w:cs="Calibri"/>
          <w:sz w:val="20"/>
        </w:rPr>
        <w:t>”)</w:t>
      </w:r>
    </w:p>
    <w:p w14:paraId="509D063E" w14:textId="4A946756" w:rsidR="00B7025F" w:rsidRPr="009D5B7E" w:rsidRDefault="00B7025F" w:rsidP="000A5FAE">
      <w:pPr>
        <w:pStyle w:val="Zkladntext"/>
        <w:rPr>
          <w:rFonts w:ascii="Calibri" w:hAnsi="Calibri" w:cs="Calibri"/>
          <w:i/>
          <w:sz w:val="20"/>
          <w:highlight w:val="lightGray"/>
        </w:rPr>
      </w:pPr>
      <w:proofErr w:type="spellStart"/>
      <w:r w:rsidRPr="009D5B7E">
        <w:rPr>
          <w:rFonts w:ascii="Calibri" w:hAnsi="Calibri" w:cs="Calibri"/>
          <w:sz w:val="20"/>
        </w:rPr>
        <w:t>Výstupy</w:t>
      </w:r>
      <w:proofErr w:type="spellEnd"/>
      <w:r w:rsidRPr="009D5B7E">
        <w:rPr>
          <w:rFonts w:ascii="Calibri" w:hAnsi="Calibri" w:cs="Calibri"/>
          <w:sz w:val="20"/>
        </w:rPr>
        <w:t xml:space="preserve"> </w:t>
      </w:r>
      <w:proofErr w:type="spellStart"/>
      <w:r w:rsidRPr="009D5B7E">
        <w:rPr>
          <w:rFonts w:ascii="Calibri" w:hAnsi="Calibri" w:cs="Calibri"/>
          <w:sz w:val="20"/>
        </w:rPr>
        <w:t>společnosti</w:t>
      </w:r>
      <w:proofErr w:type="spellEnd"/>
      <w:r w:rsidRPr="009D5B7E">
        <w:rPr>
          <w:rFonts w:ascii="Calibri" w:hAnsi="Calibri" w:cs="Calibri"/>
          <w:sz w:val="20"/>
        </w:rPr>
        <w:t xml:space="preserve"> Deloitte </w:t>
      </w:r>
      <w:proofErr w:type="spellStart"/>
      <w:r w:rsidRPr="009D5B7E">
        <w:rPr>
          <w:rFonts w:ascii="Calibri" w:hAnsi="Calibri" w:cs="Calibri"/>
          <w:sz w:val="20"/>
        </w:rPr>
        <w:t>budou</w:t>
      </w:r>
      <w:proofErr w:type="spellEnd"/>
      <w:r w:rsidRPr="009D5B7E">
        <w:rPr>
          <w:rFonts w:ascii="Calibri" w:hAnsi="Calibri" w:cs="Calibri"/>
          <w:sz w:val="20"/>
        </w:rPr>
        <w:t xml:space="preserve"> </w:t>
      </w:r>
      <w:proofErr w:type="spellStart"/>
      <w:r w:rsidRPr="009D5B7E">
        <w:rPr>
          <w:rFonts w:ascii="Calibri" w:hAnsi="Calibri" w:cs="Calibri"/>
          <w:sz w:val="20"/>
        </w:rPr>
        <w:t>odevzdány</w:t>
      </w:r>
      <w:proofErr w:type="spellEnd"/>
      <w:r w:rsidRPr="009D5B7E">
        <w:rPr>
          <w:rFonts w:ascii="Calibri" w:hAnsi="Calibri" w:cs="Calibri"/>
          <w:sz w:val="20"/>
        </w:rPr>
        <w:t xml:space="preserve"> </w:t>
      </w:r>
      <w:proofErr w:type="spellStart"/>
      <w:r w:rsidR="00660840">
        <w:rPr>
          <w:rFonts w:ascii="Calibri" w:hAnsi="Calibri" w:cs="Calibri"/>
          <w:sz w:val="20"/>
        </w:rPr>
        <w:t>Klientovi</w:t>
      </w:r>
      <w:proofErr w:type="spellEnd"/>
      <w:r w:rsidRPr="009D5B7E">
        <w:rPr>
          <w:rFonts w:ascii="Calibri" w:hAnsi="Calibri" w:cs="Calibri"/>
          <w:sz w:val="20"/>
        </w:rPr>
        <w:t xml:space="preserve"> </w:t>
      </w:r>
      <w:proofErr w:type="spellStart"/>
      <w:r w:rsidRPr="009D5B7E">
        <w:rPr>
          <w:rFonts w:ascii="Calibri" w:hAnsi="Calibri" w:cs="Calibri"/>
          <w:sz w:val="20"/>
        </w:rPr>
        <w:t>ve</w:t>
      </w:r>
      <w:proofErr w:type="spellEnd"/>
      <w:r w:rsidRPr="009D5B7E">
        <w:rPr>
          <w:rFonts w:ascii="Calibri" w:hAnsi="Calibri" w:cs="Calibri"/>
          <w:sz w:val="20"/>
        </w:rPr>
        <w:t xml:space="preserve"> </w:t>
      </w:r>
      <w:proofErr w:type="spellStart"/>
      <w:r w:rsidRPr="009D5B7E">
        <w:rPr>
          <w:rFonts w:ascii="Calibri" w:hAnsi="Calibri" w:cs="Calibri"/>
          <w:sz w:val="20"/>
        </w:rPr>
        <w:t>třech</w:t>
      </w:r>
      <w:proofErr w:type="spellEnd"/>
      <w:r w:rsidRPr="009D5B7E">
        <w:rPr>
          <w:rFonts w:ascii="Calibri" w:hAnsi="Calibri" w:cs="Calibri"/>
          <w:sz w:val="20"/>
        </w:rPr>
        <w:t xml:space="preserve"> (3) </w:t>
      </w:r>
      <w:proofErr w:type="spellStart"/>
      <w:r w:rsidRPr="009D5B7E">
        <w:rPr>
          <w:rFonts w:ascii="Calibri" w:hAnsi="Calibri" w:cs="Calibri"/>
          <w:sz w:val="20"/>
        </w:rPr>
        <w:t>písemných</w:t>
      </w:r>
      <w:proofErr w:type="spellEnd"/>
      <w:r w:rsidRPr="009D5B7E">
        <w:rPr>
          <w:rFonts w:ascii="Calibri" w:hAnsi="Calibri" w:cs="Calibri"/>
          <w:sz w:val="20"/>
        </w:rPr>
        <w:t xml:space="preserve"> </w:t>
      </w:r>
      <w:proofErr w:type="spellStart"/>
      <w:r w:rsidRPr="009D5B7E">
        <w:rPr>
          <w:rFonts w:ascii="Calibri" w:hAnsi="Calibri" w:cs="Calibri"/>
          <w:sz w:val="20"/>
        </w:rPr>
        <w:t>vyhotovených</w:t>
      </w:r>
      <w:proofErr w:type="spellEnd"/>
      <w:r w:rsidRPr="009D5B7E">
        <w:rPr>
          <w:rFonts w:ascii="Calibri" w:hAnsi="Calibri" w:cs="Calibri"/>
          <w:sz w:val="20"/>
        </w:rPr>
        <w:t xml:space="preserve"> a v </w:t>
      </w:r>
      <w:proofErr w:type="spellStart"/>
      <w:r w:rsidRPr="009D5B7E">
        <w:rPr>
          <w:rFonts w:ascii="Calibri" w:hAnsi="Calibri" w:cs="Calibri"/>
          <w:sz w:val="20"/>
        </w:rPr>
        <w:t>jedné</w:t>
      </w:r>
      <w:proofErr w:type="spellEnd"/>
      <w:r w:rsidRPr="009D5B7E">
        <w:rPr>
          <w:rFonts w:ascii="Calibri" w:hAnsi="Calibri" w:cs="Calibri"/>
          <w:sz w:val="20"/>
        </w:rPr>
        <w:t xml:space="preserve"> (1) </w:t>
      </w:r>
      <w:proofErr w:type="spellStart"/>
      <w:r w:rsidRPr="009D5B7E">
        <w:rPr>
          <w:rFonts w:ascii="Calibri" w:hAnsi="Calibri" w:cs="Calibri"/>
          <w:sz w:val="20"/>
        </w:rPr>
        <w:t>elektronické</w:t>
      </w:r>
      <w:proofErr w:type="spellEnd"/>
      <w:r w:rsidRPr="009D5B7E">
        <w:rPr>
          <w:rFonts w:ascii="Calibri" w:hAnsi="Calibri" w:cs="Calibri"/>
          <w:sz w:val="20"/>
        </w:rPr>
        <w:t xml:space="preserve"> </w:t>
      </w:r>
      <w:proofErr w:type="spellStart"/>
      <w:r w:rsidRPr="009D5B7E">
        <w:rPr>
          <w:rFonts w:ascii="Calibri" w:hAnsi="Calibri" w:cs="Calibri"/>
          <w:sz w:val="20"/>
        </w:rPr>
        <w:t>verzi</w:t>
      </w:r>
      <w:proofErr w:type="spellEnd"/>
      <w:r w:rsidRPr="009D5B7E">
        <w:rPr>
          <w:rFonts w:ascii="Calibri" w:hAnsi="Calibri" w:cs="Calibri"/>
          <w:sz w:val="20"/>
        </w:rPr>
        <w:t xml:space="preserve"> s </w:t>
      </w:r>
      <w:proofErr w:type="spellStart"/>
      <w:r w:rsidRPr="009D5B7E">
        <w:rPr>
          <w:rFonts w:ascii="Calibri" w:hAnsi="Calibri" w:cs="Calibri"/>
          <w:sz w:val="20"/>
        </w:rPr>
        <w:t>využitím</w:t>
      </w:r>
      <w:proofErr w:type="spellEnd"/>
      <w:r w:rsidRPr="009D5B7E">
        <w:rPr>
          <w:rFonts w:ascii="Calibri" w:hAnsi="Calibri" w:cs="Calibri"/>
          <w:sz w:val="20"/>
        </w:rPr>
        <w:t xml:space="preserve"> </w:t>
      </w:r>
      <w:proofErr w:type="spellStart"/>
      <w:r w:rsidRPr="009D5B7E">
        <w:rPr>
          <w:rFonts w:ascii="Calibri" w:hAnsi="Calibri" w:cs="Calibri"/>
          <w:sz w:val="20"/>
        </w:rPr>
        <w:t>nástrojů</w:t>
      </w:r>
      <w:proofErr w:type="spellEnd"/>
      <w:r w:rsidRPr="009D5B7E">
        <w:rPr>
          <w:rFonts w:ascii="Calibri" w:hAnsi="Calibri" w:cs="Calibri"/>
          <w:sz w:val="20"/>
        </w:rPr>
        <w:t xml:space="preserve"> </w:t>
      </w:r>
      <w:proofErr w:type="spellStart"/>
      <w:r w:rsidRPr="009D5B7E">
        <w:rPr>
          <w:rFonts w:ascii="Calibri" w:hAnsi="Calibri" w:cs="Calibri"/>
          <w:sz w:val="20"/>
        </w:rPr>
        <w:t>aplikací</w:t>
      </w:r>
      <w:proofErr w:type="spellEnd"/>
      <w:r w:rsidRPr="009D5B7E">
        <w:rPr>
          <w:rFonts w:ascii="Calibri" w:hAnsi="Calibri" w:cs="Calibri"/>
          <w:sz w:val="20"/>
        </w:rPr>
        <w:t xml:space="preserve"> MS Office.</w:t>
      </w:r>
      <w:r w:rsidRPr="009D5B7E">
        <w:rPr>
          <w:rFonts w:ascii="Calibri" w:hAnsi="Calibri" w:cs="Calibri"/>
          <w:i/>
          <w:sz w:val="20"/>
          <w:highlight w:val="lightGray"/>
        </w:rPr>
        <w:t xml:space="preserve"> </w:t>
      </w:r>
    </w:p>
    <w:p w14:paraId="0F86C523" w14:textId="02C09013" w:rsidR="00B7025F" w:rsidRDefault="00E17A81" w:rsidP="000A5FAE">
      <w:pPr>
        <w:pStyle w:val="Zkladntext"/>
        <w:rPr>
          <w:rFonts w:ascii="Calibri" w:hAnsi="Calibri" w:cs="Calibri"/>
          <w:i/>
          <w:sz w:val="20"/>
        </w:rPr>
      </w:pPr>
      <w:r w:rsidRPr="00E17A81">
        <w:rPr>
          <w:rFonts w:ascii="Calibri" w:hAnsi="Calibri" w:cs="Calibri"/>
          <w:sz w:val="20"/>
        </w:rPr>
        <w:t xml:space="preserve">Pro </w:t>
      </w:r>
      <w:proofErr w:type="spellStart"/>
      <w:r w:rsidRPr="00E17A81">
        <w:rPr>
          <w:rFonts w:ascii="Calibri" w:hAnsi="Calibri" w:cs="Calibri"/>
          <w:sz w:val="20"/>
        </w:rPr>
        <w:t>úspěšné</w:t>
      </w:r>
      <w:proofErr w:type="spellEnd"/>
      <w:r w:rsidRPr="00E17A81">
        <w:rPr>
          <w:rFonts w:ascii="Calibri" w:hAnsi="Calibri" w:cs="Calibri"/>
          <w:sz w:val="20"/>
        </w:rPr>
        <w:t xml:space="preserve"> </w:t>
      </w:r>
      <w:proofErr w:type="spellStart"/>
      <w:r w:rsidRPr="00E17A81">
        <w:rPr>
          <w:rFonts w:ascii="Calibri" w:hAnsi="Calibri" w:cs="Calibri"/>
          <w:sz w:val="20"/>
        </w:rPr>
        <w:t>poskytnutí</w:t>
      </w:r>
      <w:proofErr w:type="spellEnd"/>
      <w:r w:rsidRPr="00E17A81">
        <w:rPr>
          <w:rFonts w:ascii="Calibri" w:hAnsi="Calibri" w:cs="Calibri"/>
          <w:sz w:val="20"/>
        </w:rPr>
        <w:t xml:space="preserve"> </w:t>
      </w:r>
      <w:proofErr w:type="spellStart"/>
      <w:r w:rsidRPr="00E17A81">
        <w:rPr>
          <w:rFonts w:ascii="Calibri" w:hAnsi="Calibri" w:cs="Calibri"/>
          <w:sz w:val="20"/>
        </w:rPr>
        <w:t>Služeb</w:t>
      </w:r>
      <w:proofErr w:type="spellEnd"/>
      <w:r w:rsidRPr="00E17A81">
        <w:rPr>
          <w:rFonts w:ascii="Calibri" w:hAnsi="Calibri" w:cs="Calibri"/>
          <w:sz w:val="20"/>
        </w:rPr>
        <w:t xml:space="preserve"> je </w:t>
      </w:r>
      <w:proofErr w:type="spellStart"/>
      <w:r w:rsidRPr="00E17A81">
        <w:rPr>
          <w:rFonts w:ascii="Calibri" w:hAnsi="Calibri" w:cs="Calibri"/>
          <w:sz w:val="20"/>
        </w:rPr>
        <w:t>Klient</w:t>
      </w:r>
      <w:proofErr w:type="spellEnd"/>
      <w:r w:rsidRPr="00E17A81">
        <w:rPr>
          <w:rFonts w:ascii="Calibri" w:hAnsi="Calibri" w:cs="Calibri"/>
          <w:sz w:val="20"/>
        </w:rPr>
        <w:t xml:space="preserve"> </w:t>
      </w:r>
      <w:proofErr w:type="spellStart"/>
      <w:r w:rsidRPr="00E17A81">
        <w:rPr>
          <w:rFonts w:ascii="Calibri" w:hAnsi="Calibri" w:cs="Calibri"/>
          <w:sz w:val="20"/>
        </w:rPr>
        <w:t>povinen</w:t>
      </w:r>
      <w:proofErr w:type="spellEnd"/>
      <w:r w:rsidRPr="00E17A81">
        <w:rPr>
          <w:rFonts w:ascii="Calibri" w:hAnsi="Calibri" w:cs="Calibri"/>
          <w:sz w:val="20"/>
        </w:rPr>
        <w:t xml:space="preserve"> </w:t>
      </w:r>
      <w:proofErr w:type="spellStart"/>
      <w:r w:rsidRPr="00E17A81">
        <w:rPr>
          <w:rFonts w:ascii="Calibri" w:hAnsi="Calibri" w:cs="Calibri"/>
          <w:sz w:val="20"/>
        </w:rPr>
        <w:t>zajistit</w:t>
      </w:r>
      <w:proofErr w:type="spellEnd"/>
      <w:r w:rsidRPr="00E17A81">
        <w:rPr>
          <w:rFonts w:ascii="Calibri" w:hAnsi="Calibri" w:cs="Calibri"/>
          <w:sz w:val="20"/>
        </w:rPr>
        <w:t xml:space="preserve"> </w:t>
      </w:r>
      <w:proofErr w:type="spellStart"/>
      <w:r w:rsidRPr="00E17A81">
        <w:rPr>
          <w:rFonts w:ascii="Calibri" w:hAnsi="Calibri" w:cs="Calibri"/>
          <w:sz w:val="20"/>
        </w:rPr>
        <w:t>součinnost</w:t>
      </w:r>
      <w:proofErr w:type="spellEnd"/>
      <w:r w:rsidRPr="00E17A81">
        <w:rPr>
          <w:rFonts w:ascii="Calibri" w:hAnsi="Calibri" w:cs="Calibri"/>
          <w:sz w:val="20"/>
        </w:rPr>
        <w:t xml:space="preserve"> </w:t>
      </w:r>
      <w:proofErr w:type="spellStart"/>
      <w:r w:rsidRPr="00E17A81">
        <w:rPr>
          <w:rFonts w:ascii="Calibri" w:hAnsi="Calibri" w:cs="Calibri"/>
          <w:sz w:val="20"/>
        </w:rPr>
        <w:t>zaměstnanců</w:t>
      </w:r>
      <w:proofErr w:type="spellEnd"/>
      <w:r w:rsidRPr="00E17A81">
        <w:rPr>
          <w:rFonts w:ascii="Calibri" w:hAnsi="Calibri" w:cs="Calibri"/>
          <w:sz w:val="20"/>
        </w:rPr>
        <w:t xml:space="preserve"> </w:t>
      </w:r>
      <w:proofErr w:type="spellStart"/>
      <w:r w:rsidRPr="00E17A81">
        <w:rPr>
          <w:rFonts w:ascii="Calibri" w:hAnsi="Calibri" w:cs="Calibri"/>
          <w:sz w:val="20"/>
        </w:rPr>
        <w:t>organizace</w:t>
      </w:r>
      <w:proofErr w:type="spellEnd"/>
      <w:r w:rsidRPr="00E17A81">
        <w:rPr>
          <w:rFonts w:ascii="Calibri" w:hAnsi="Calibri" w:cs="Calibri"/>
          <w:sz w:val="20"/>
        </w:rPr>
        <w:t xml:space="preserve"> a </w:t>
      </w:r>
      <w:proofErr w:type="spellStart"/>
      <w:r w:rsidRPr="00E17A81">
        <w:rPr>
          <w:rFonts w:ascii="Calibri" w:hAnsi="Calibri" w:cs="Calibri"/>
          <w:sz w:val="20"/>
        </w:rPr>
        <w:t>předložit</w:t>
      </w:r>
      <w:proofErr w:type="spellEnd"/>
      <w:r w:rsidRPr="00E17A81">
        <w:rPr>
          <w:rFonts w:ascii="Calibri" w:hAnsi="Calibri" w:cs="Calibri"/>
          <w:sz w:val="20"/>
        </w:rPr>
        <w:t xml:space="preserve"> </w:t>
      </w:r>
      <w:proofErr w:type="spellStart"/>
      <w:r w:rsidRPr="00E17A81">
        <w:rPr>
          <w:rFonts w:ascii="Calibri" w:hAnsi="Calibri" w:cs="Calibri"/>
          <w:sz w:val="20"/>
        </w:rPr>
        <w:t>společnosti</w:t>
      </w:r>
      <w:proofErr w:type="spellEnd"/>
      <w:r w:rsidRPr="00E17A81">
        <w:rPr>
          <w:rFonts w:ascii="Calibri" w:hAnsi="Calibri" w:cs="Calibri"/>
          <w:sz w:val="20"/>
        </w:rPr>
        <w:t xml:space="preserve"> Deloitte </w:t>
      </w:r>
      <w:proofErr w:type="spellStart"/>
      <w:r w:rsidRPr="00E17A81">
        <w:rPr>
          <w:rFonts w:ascii="Calibri" w:hAnsi="Calibri" w:cs="Calibri"/>
          <w:sz w:val="20"/>
        </w:rPr>
        <w:t>informace</w:t>
      </w:r>
      <w:proofErr w:type="spellEnd"/>
      <w:r w:rsidRPr="00E17A81">
        <w:rPr>
          <w:rFonts w:ascii="Calibri" w:hAnsi="Calibri" w:cs="Calibri"/>
          <w:sz w:val="20"/>
        </w:rPr>
        <w:t xml:space="preserve"> a/</w:t>
      </w:r>
      <w:proofErr w:type="spellStart"/>
      <w:r w:rsidRPr="00E17A81">
        <w:rPr>
          <w:rFonts w:ascii="Calibri" w:hAnsi="Calibri" w:cs="Calibri"/>
          <w:sz w:val="20"/>
        </w:rPr>
        <w:t>nebo</w:t>
      </w:r>
      <w:proofErr w:type="spellEnd"/>
      <w:r w:rsidRPr="00E17A81">
        <w:rPr>
          <w:rFonts w:ascii="Calibri" w:hAnsi="Calibri" w:cs="Calibri"/>
          <w:sz w:val="20"/>
        </w:rPr>
        <w:t xml:space="preserve"> </w:t>
      </w:r>
      <w:proofErr w:type="spellStart"/>
      <w:r w:rsidRPr="00E17A81">
        <w:rPr>
          <w:rFonts w:ascii="Calibri" w:hAnsi="Calibri" w:cs="Calibri"/>
          <w:sz w:val="20"/>
        </w:rPr>
        <w:t>dokumenty</w:t>
      </w:r>
      <w:proofErr w:type="spellEnd"/>
      <w:r w:rsidRPr="00E17A81">
        <w:rPr>
          <w:rFonts w:ascii="Calibri" w:hAnsi="Calibri" w:cs="Calibri"/>
          <w:sz w:val="20"/>
        </w:rPr>
        <w:t xml:space="preserve">, </w:t>
      </w:r>
      <w:proofErr w:type="spellStart"/>
      <w:r w:rsidRPr="00E17A81">
        <w:rPr>
          <w:rFonts w:ascii="Calibri" w:hAnsi="Calibri" w:cs="Calibri"/>
          <w:sz w:val="20"/>
        </w:rPr>
        <w:t>které</w:t>
      </w:r>
      <w:proofErr w:type="spellEnd"/>
      <w:r w:rsidRPr="00E17A81">
        <w:rPr>
          <w:rFonts w:ascii="Calibri" w:hAnsi="Calibri" w:cs="Calibri"/>
          <w:sz w:val="20"/>
        </w:rPr>
        <w:t xml:space="preserve"> </w:t>
      </w:r>
      <w:proofErr w:type="spellStart"/>
      <w:r w:rsidRPr="00E17A81">
        <w:rPr>
          <w:rFonts w:ascii="Calibri" w:hAnsi="Calibri" w:cs="Calibri"/>
          <w:sz w:val="20"/>
        </w:rPr>
        <w:t>budou</w:t>
      </w:r>
      <w:proofErr w:type="spellEnd"/>
      <w:r w:rsidRPr="00E17A81">
        <w:rPr>
          <w:rFonts w:ascii="Calibri" w:hAnsi="Calibri" w:cs="Calibri"/>
          <w:sz w:val="20"/>
        </w:rPr>
        <w:t xml:space="preserve"> ze </w:t>
      </w:r>
      <w:proofErr w:type="spellStart"/>
      <w:r w:rsidRPr="00E17A81">
        <w:rPr>
          <w:rFonts w:ascii="Calibri" w:hAnsi="Calibri" w:cs="Calibri"/>
          <w:sz w:val="20"/>
        </w:rPr>
        <w:t>strany</w:t>
      </w:r>
      <w:proofErr w:type="spellEnd"/>
      <w:r w:rsidRPr="00E17A81">
        <w:rPr>
          <w:rFonts w:ascii="Calibri" w:hAnsi="Calibri" w:cs="Calibri"/>
          <w:sz w:val="20"/>
        </w:rPr>
        <w:t xml:space="preserve"> Deloitte </w:t>
      </w:r>
      <w:proofErr w:type="spellStart"/>
      <w:r w:rsidRPr="00E17A81">
        <w:rPr>
          <w:rFonts w:ascii="Calibri" w:hAnsi="Calibri" w:cs="Calibri"/>
          <w:sz w:val="20"/>
        </w:rPr>
        <w:t>vyžádány</w:t>
      </w:r>
      <w:proofErr w:type="spellEnd"/>
      <w:r w:rsidRPr="00E17A81">
        <w:rPr>
          <w:rFonts w:ascii="Calibri" w:hAnsi="Calibri" w:cs="Calibri"/>
          <w:sz w:val="20"/>
        </w:rPr>
        <w:t>.</w:t>
      </w:r>
      <w:r w:rsidR="009C7B66">
        <w:rPr>
          <w:rFonts w:ascii="Calibri" w:hAnsi="Calibri" w:cs="Calibri"/>
          <w:sz w:val="20"/>
        </w:rPr>
        <w:t xml:space="preserve"> </w:t>
      </w:r>
    </w:p>
    <w:p w14:paraId="06A6FC8F" w14:textId="60C942BF" w:rsidR="00FB0F31" w:rsidRDefault="00FB0F31" w:rsidP="00F45C79">
      <w:pPr>
        <w:pStyle w:val="Zkladntext"/>
        <w:jc w:val="center"/>
        <w:rPr>
          <w:rFonts w:ascii="Calibri" w:hAnsi="Calibri" w:cs="Calibri"/>
          <w:b/>
          <w:sz w:val="20"/>
        </w:rPr>
      </w:pPr>
    </w:p>
    <w:p w14:paraId="2412934C" w14:textId="013D2688" w:rsidR="00D16E1E" w:rsidRDefault="00D16E1E" w:rsidP="00F45C79">
      <w:pPr>
        <w:pStyle w:val="Zkladntext"/>
        <w:jc w:val="center"/>
        <w:rPr>
          <w:rFonts w:ascii="Calibri" w:hAnsi="Calibri" w:cs="Calibri"/>
          <w:b/>
          <w:sz w:val="20"/>
        </w:rPr>
      </w:pPr>
    </w:p>
    <w:p w14:paraId="21FBE176" w14:textId="2CBC547F" w:rsidR="00D16E1E" w:rsidRDefault="00D16E1E" w:rsidP="00F45C79">
      <w:pPr>
        <w:pStyle w:val="Zkladntext"/>
        <w:jc w:val="center"/>
        <w:rPr>
          <w:rFonts w:ascii="Calibri" w:hAnsi="Calibri" w:cs="Calibri"/>
          <w:b/>
          <w:sz w:val="20"/>
        </w:rPr>
      </w:pPr>
    </w:p>
    <w:p w14:paraId="50025B1C" w14:textId="240F76B5" w:rsidR="00D16E1E" w:rsidRDefault="00D16E1E" w:rsidP="00F45C79">
      <w:pPr>
        <w:pStyle w:val="Zkladntext"/>
        <w:jc w:val="center"/>
        <w:rPr>
          <w:rFonts w:ascii="Calibri" w:hAnsi="Calibri" w:cs="Calibri"/>
          <w:b/>
          <w:sz w:val="20"/>
        </w:rPr>
      </w:pPr>
    </w:p>
    <w:p w14:paraId="0049B8BA" w14:textId="673B59D3" w:rsidR="00D16E1E" w:rsidRDefault="00D16E1E" w:rsidP="00F45C79">
      <w:pPr>
        <w:pStyle w:val="Zkladntext"/>
        <w:jc w:val="center"/>
        <w:rPr>
          <w:rFonts w:ascii="Calibri" w:hAnsi="Calibri" w:cs="Calibri"/>
          <w:b/>
          <w:sz w:val="20"/>
        </w:rPr>
      </w:pPr>
    </w:p>
    <w:p w14:paraId="6AF1D55B" w14:textId="75114965" w:rsidR="00D16E1E" w:rsidRDefault="00D16E1E" w:rsidP="00F45C79">
      <w:pPr>
        <w:pStyle w:val="Zkladntext"/>
        <w:jc w:val="center"/>
        <w:rPr>
          <w:rFonts w:ascii="Calibri" w:hAnsi="Calibri" w:cs="Calibri"/>
          <w:b/>
          <w:sz w:val="20"/>
        </w:rPr>
      </w:pPr>
    </w:p>
    <w:p w14:paraId="33399EC1" w14:textId="14C12525" w:rsidR="00D16E1E" w:rsidRDefault="00D16E1E" w:rsidP="00F45C79">
      <w:pPr>
        <w:pStyle w:val="Zkladntext"/>
        <w:jc w:val="center"/>
        <w:rPr>
          <w:rFonts w:ascii="Calibri" w:hAnsi="Calibri" w:cs="Calibri"/>
          <w:b/>
          <w:sz w:val="20"/>
        </w:rPr>
      </w:pPr>
    </w:p>
    <w:p w14:paraId="50BAAC52" w14:textId="21AC2E30" w:rsidR="00D16E1E" w:rsidRDefault="00D16E1E" w:rsidP="00F45C79">
      <w:pPr>
        <w:pStyle w:val="Zkladntext"/>
        <w:jc w:val="center"/>
        <w:rPr>
          <w:rFonts w:ascii="Calibri" w:hAnsi="Calibri" w:cs="Calibri"/>
          <w:b/>
          <w:sz w:val="20"/>
        </w:rPr>
      </w:pPr>
    </w:p>
    <w:p w14:paraId="6574B164" w14:textId="0A207870" w:rsidR="00D16E1E" w:rsidRDefault="00D16E1E" w:rsidP="00F45C79">
      <w:pPr>
        <w:pStyle w:val="Zkladntext"/>
        <w:jc w:val="center"/>
        <w:rPr>
          <w:rFonts w:ascii="Calibri" w:hAnsi="Calibri" w:cs="Calibri"/>
          <w:b/>
          <w:sz w:val="20"/>
        </w:rPr>
      </w:pPr>
    </w:p>
    <w:p w14:paraId="1AB90CF9" w14:textId="28FC7369" w:rsidR="00D16E1E" w:rsidRDefault="00D16E1E" w:rsidP="00F45C79">
      <w:pPr>
        <w:pStyle w:val="Zkladntext"/>
        <w:jc w:val="center"/>
        <w:rPr>
          <w:rFonts w:ascii="Calibri" w:hAnsi="Calibri" w:cs="Calibri"/>
          <w:b/>
          <w:sz w:val="20"/>
        </w:rPr>
      </w:pPr>
    </w:p>
    <w:p w14:paraId="77E4424E" w14:textId="5105A8DD" w:rsidR="00D16E1E" w:rsidRDefault="00D16E1E" w:rsidP="00F45C79">
      <w:pPr>
        <w:pStyle w:val="Zkladntext"/>
        <w:jc w:val="center"/>
        <w:rPr>
          <w:rFonts w:ascii="Calibri" w:hAnsi="Calibri" w:cs="Calibri"/>
          <w:b/>
          <w:sz w:val="20"/>
        </w:rPr>
      </w:pPr>
    </w:p>
    <w:p w14:paraId="612BFD93" w14:textId="221266A6" w:rsidR="00D16E1E" w:rsidRDefault="00D16E1E" w:rsidP="00F45C79">
      <w:pPr>
        <w:pStyle w:val="Zkladntext"/>
        <w:jc w:val="center"/>
        <w:rPr>
          <w:rFonts w:ascii="Calibri" w:hAnsi="Calibri" w:cs="Calibri"/>
          <w:b/>
          <w:sz w:val="20"/>
        </w:rPr>
      </w:pPr>
    </w:p>
    <w:p w14:paraId="36F8B38A" w14:textId="40555DEC" w:rsidR="00D16E1E" w:rsidRDefault="00D16E1E" w:rsidP="00F45C79">
      <w:pPr>
        <w:pStyle w:val="Zkladntext"/>
        <w:jc w:val="center"/>
        <w:rPr>
          <w:rFonts w:ascii="Calibri" w:hAnsi="Calibri" w:cs="Calibri"/>
          <w:b/>
          <w:sz w:val="20"/>
        </w:rPr>
      </w:pPr>
    </w:p>
    <w:p w14:paraId="2600EF6B" w14:textId="77777777" w:rsidR="00D16E1E" w:rsidRDefault="00D16E1E" w:rsidP="00F45C79">
      <w:pPr>
        <w:pStyle w:val="Zkladntext"/>
        <w:jc w:val="center"/>
        <w:rPr>
          <w:rFonts w:ascii="Calibri" w:hAnsi="Calibri" w:cs="Calibri"/>
          <w:b/>
          <w:sz w:val="20"/>
        </w:rPr>
      </w:pPr>
    </w:p>
    <w:p w14:paraId="0A51F9B3" w14:textId="77777777" w:rsidR="00FB0F31" w:rsidRDefault="00FB0F31" w:rsidP="00F45C79">
      <w:pPr>
        <w:pStyle w:val="Zkladntext"/>
        <w:jc w:val="center"/>
        <w:rPr>
          <w:rFonts w:ascii="Calibri" w:hAnsi="Calibri" w:cs="Calibri"/>
          <w:b/>
          <w:sz w:val="20"/>
        </w:rPr>
      </w:pPr>
    </w:p>
    <w:p w14:paraId="55C5C961" w14:textId="77777777" w:rsidR="00FB0F31" w:rsidRDefault="00FB0F31" w:rsidP="00F45C79">
      <w:pPr>
        <w:pStyle w:val="Zkladntext"/>
        <w:jc w:val="center"/>
        <w:rPr>
          <w:rFonts w:ascii="Calibri" w:hAnsi="Calibri" w:cs="Calibri"/>
          <w:b/>
          <w:sz w:val="20"/>
        </w:rPr>
      </w:pPr>
    </w:p>
    <w:p w14:paraId="44ACD252" w14:textId="064D125A" w:rsidR="00B7025F" w:rsidRPr="009D5B7E" w:rsidRDefault="00B7025F" w:rsidP="00F45C79">
      <w:pPr>
        <w:pStyle w:val="Zkladntext"/>
        <w:jc w:val="center"/>
        <w:rPr>
          <w:rFonts w:ascii="Calibri" w:hAnsi="Calibri" w:cs="Calibri"/>
          <w:b/>
          <w:sz w:val="20"/>
        </w:rPr>
      </w:pPr>
      <w:proofErr w:type="spellStart"/>
      <w:r w:rsidRPr="009D5B7E">
        <w:rPr>
          <w:rFonts w:ascii="Calibri" w:hAnsi="Calibri" w:cs="Calibri"/>
          <w:b/>
          <w:sz w:val="20"/>
        </w:rPr>
        <w:lastRenderedPageBreak/>
        <w:t>Příloha</w:t>
      </w:r>
      <w:proofErr w:type="spellEnd"/>
      <w:r w:rsidRPr="009D5B7E">
        <w:rPr>
          <w:rFonts w:ascii="Calibri" w:hAnsi="Calibri" w:cs="Calibri"/>
          <w:b/>
          <w:sz w:val="20"/>
        </w:rPr>
        <w:t xml:space="preserve"> č. 2</w:t>
      </w:r>
      <w:r w:rsidR="000A5FAE" w:rsidRPr="009D5B7E">
        <w:rPr>
          <w:rFonts w:ascii="Calibri" w:hAnsi="Calibri" w:cs="Calibri"/>
          <w:b/>
          <w:sz w:val="20"/>
        </w:rPr>
        <w:br/>
      </w:r>
      <w:r w:rsidRPr="009D5B7E">
        <w:rPr>
          <w:rFonts w:ascii="Calibri" w:hAnsi="Calibri" w:cs="Calibri"/>
          <w:b/>
          <w:sz w:val="20"/>
        </w:rPr>
        <w:t xml:space="preserve">Cena za </w:t>
      </w:r>
      <w:proofErr w:type="spellStart"/>
      <w:r w:rsidRPr="009D5B7E">
        <w:rPr>
          <w:rFonts w:ascii="Calibri" w:hAnsi="Calibri" w:cs="Calibri"/>
          <w:b/>
          <w:sz w:val="20"/>
        </w:rPr>
        <w:t>Služby</w:t>
      </w:r>
      <w:proofErr w:type="spellEnd"/>
      <w:r w:rsidRPr="009D5B7E">
        <w:rPr>
          <w:rFonts w:ascii="Calibri" w:hAnsi="Calibri" w:cs="Calibri"/>
          <w:b/>
          <w:sz w:val="20"/>
        </w:rPr>
        <w:t xml:space="preserve"> a </w:t>
      </w:r>
      <w:proofErr w:type="spellStart"/>
      <w:r w:rsidRPr="009D5B7E">
        <w:rPr>
          <w:rFonts w:ascii="Calibri" w:hAnsi="Calibri" w:cs="Calibri"/>
          <w:b/>
          <w:sz w:val="20"/>
        </w:rPr>
        <w:t>platební</w:t>
      </w:r>
      <w:proofErr w:type="spellEnd"/>
      <w:r w:rsidRPr="009D5B7E">
        <w:rPr>
          <w:rFonts w:ascii="Calibri" w:hAnsi="Calibri" w:cs="Calibri"/>
          <w:b/>
          <w:sz w:val="20"/>
        </w:rPr>
        <w:t xml:space="preserve"> </w:t>
      </w:r>
      <w:proofErr w:type="spellStart"/>
      <w:r w:rsidRPr="009D5B7E">
        <w:rPr>
          <w:rFonts w:ascii="Calibri" w:hAnsi="Calibri" w:cs="Calibri"/>
          <w:b/>
          <w:sz w:val="20"/>
        </w:rPr>
        <w:t>podmínky</w:t>
      </w:r>
      <w:proofErr w:type="spellEnd"/>
    </w:p>
    <w:p w14:paraId="69E07361" w14:textId="0D4EAC78" w:rsidR="00B7025F" w:rsidRPr="009D5B7E" w:rsidRDefault="00B7025F" w:rsidP="00D3243E">
      <w:pPr>
        <w:pStyle w:val="Zkladntext"/>
        <w:rPr>
          <w:sz w:val="20"/>
        </w:rPr>
      </w:pPr>
      <w:r w:rsidRPr="009D5B7E">
        <w:rPr>
          <w:rFonts w:ascii="Calibri" w:hAnsi="Calibri" w:cs="Calibri"/>
          <w:sz w:val="20"/>
        </w:rPr>
        <w:t xml:space="preserve">Cena za </w:t>
      </w:r>
      <w:proofErr w:type="spellStart"/>
      <w:r w:rsidRPr="009D5B7E">
        <w:rPr>
          <w:rFonts w:ascii="Calibri" w:hAnsi="Calibri" w:cs="Calibri"/>
          <w:sz w:val="20"/>
        </w:rPr>
        <w:t>Služby</w:t>
      </w:r>
      <w:proofErr w:type="spellEnd"/>
      <w:r w:rsidRPr="009D5B7E">
        <w:rPr>
          <w:rFonts w:ascii="Calibri" w:hAnsi="Calibri" w:cs="Calibri"/>
          <w:sz w:val="20"/>
        </w:rPr>
        <w:t xml:space="preserve"> je </w:t>
      </w:r>
      <w:proofErr w:type="spellStart"/>
      <w:r w:rsidRPr="009D5B7E">
        <w:rPr>
          <w:rFonts w:ascii="Calibri" w:hAnsi="Calibri" w:cs="Calibri"/>
          <w:sz w:val="20"/>
        </w:rPr>
        <w:t>dohodnuta</w:t>
      </w:r>
      <w:proofErr w:type="spellEnd"/>
      <w:r w:rsidRPr="009D5B7E">
        <w:rPr>
          <w:rFonts w:ascii="Calibri" w:hAnsi="Calibri" w:cs="Calibri"/>
          <w:sz w:val="20"/>
        </w:rPr>
        <w:t xml:space="preserve"> </w:t>
      </w:r>
      <w:proofErr w:type="spellStart"/>
      <w:r w:rsidRPr="009D5B7E">
        <w:rPr>
          <w:rFonts w:ascii="Calibri" w:hAnsi="Calibri" w:cs="Calibri"/>
          <w:sz w:val="20"/>
        </w:rPr>
        <w:t>jako</w:t>
      </w:r>
      <w:proofErr w:type="spellEnd"/>
      <w:r w:rsidRPr="009D5B7E">
        <w:rPr>
          <w:rFonts w:ascii="Calibri" w:hAnsi="Calibri" w:cs="Calibri"/>
          <w:sz w:val="20"/>
        </w:rPr>
        <w:t xml:space="preserve"> </w:t>
      </w:r>
      <w:proofErr w:type="spellStart"/>
      <w:r w:rsidRPr="009D5B7E">
        <w:rPr>
          <w:rFonts w:ascii="Calibri" w:hAnsi="Calibri" w:cs="Calibri"/>
          <w:sz w:val="20"/>
        </w:rPr>
        <w:t>pevná</w:t>
      </w:r>
      <w:proofErr w:type="spellEnd"/>
      <w:r w:rsidRPr="009D5B7E">
        <w:rPr>
          <w:rFonts w:ascii="Calibri" w:hAnsi="Calibri" w:cs="Calibri"/>
          <w:sz w:val="20"/>
        </w:rPr>
        <w:t xml:space="preserve"> </w:t>
      </w:r>
      <w:proofErr w:type="spellStart"/>
      <w:r w:rsidRPr="009D5B7E">
        <w:rPr>
          <w:rFonts w:ascii="Calibri" w:hAnsi="Calibri" w:cs="Calibri"/>
          <w:sz w:val="20"/>
        </w:rPr>
        <w:t>částka</w:t>
      </w:r>
      <w:proofErr w:type="spellEnd"/>
      <w:r w:rsidRPr="009D5B7E">
        <w:rPr>
          <w:rFonts w:ascii="Calibri" w:hAnsi="Calibri" w:cs="Calibri"/>
          <w:sz w:val="20"/>
        </w:rPr>
        <w:t xml:space="preserve"> </w:t>
      </w:r>
      <w:proofErr w:type="spellStart"/>
      <w:r w:rsidRPr="009D5B7E">
        <w:rPr>
          <w:rFonts w:ascii="Calibri" w:hAnsi="Calibri" w:cs="Calibri"/>
          <w:sz w:val="20"/>
        </w:rPr>
        <w:t>ve</w:t>
      </w:r>
      <w:proofErr w:type="spellEnd"/>
      <w:r w:rsidRPr="009D5B7E">
        <w:rPr>
          <w:rFonts w:ascii="Calibri" w:hAnsi="Calibri" w:cs="Calibri"/>
          <w:sz w:val="20"/>
        </w:rPr>
        <w:t xml:space="preserve"> </w:t>
      </w:r>
      <w:proofErr w:type="spellStart"/>
      <w:r w:rsidRPr="009D5B7E">
        <w:rPr>
          <w:rFonts w:ascii="Calibri" w:hAnsi="Calibri" w:cs="Calibri"/>
          <w:sz w:val="20"/>
        </w:rPr>
        <w:t>výši</w:t>
      </w:r>
      <w:proofErr w:type="spellEnd"/>
      <w:r w:rsidRPr="009D5B7E">
        <w:rPr>
          <w:rFonts w:ascii="Calibri" w:hAnsi="Calibri" w:cs="Calibri"/>
          <w:sz w:val="20"/>
        </w:rPr>
        <w:t xml:space="preserve"> </w:t>
      </w:r>
      <w:r w:rsidR="00600F1A" w:rsidRPr="00600F1A">
        <w:rPr>
          <w:rFonts w:ascii="Calibri" w:hAnsi="Calibri" w:cs="Calibri"/>
          <w:b/>
          <w:bCs/>
          <w:sz w:val="20"/>
          <w:lang w:val="cs-CZ"/>
        </w:rPr>
        <w:t>496</w:t>
      </w:r>
      <w:r w:rsidR="00600F1A">
        <w:rPr>
          <w:rFonts w:ascii="Calibri" w:hAnsi="Calibri" w:cs="Calibri"/>
          <w:b/>
          <w:bCs/>
          <w:sz w:val="20"/>
          <w:lang w:val="cs-CZ"/>
        </w:rPr>
        <w:t> </w:t>
      </w:r>
      <w:r w:rsidR="009F6226">
        <w:rPr>
          <w:rFonts w:ascii="Calibri" w:hAnsi="Calibri" w:cs="Calibri"/>
          <w:b/>
          <w:bCs/>
          <w:sz w:val="20"/>
          <w:lang w:val="cs-CZ"/>
        </w:rPr>
        <w:t>000</w:t>
      </w:r>
      <w:r w:rsidR="00600F1A" w:rsidRPr="00600F1A">
        <w:rPr>
          <w:rFonts w:ascii="Calibri" w:hAnsi="Calibri" w:cs="Calibri"/>
          <w:b/>
          <w:bCs/>
          <w:sz w:val="20"/>
          <w:lang w:val="cs-CZ"/>
        </w:rPr>
        <w:t xml:space="preserve"> </w:t>
      </w:r>
      <w:r w:rsidR="00600F1A">
        <w:rPr>
          <w:rFonts w:ascii="Calibri" w:hAnsi="Calibri" w:cs="Calibri"/>
          <w:b/>
          <w:bCs/>
          <w:sz w:val="20"/>
          <w:lang w:val="cs-CZ"/>
        </w:rPr>
        <w:t xml:space="preserve">Kč </w:t>
      </w:r>
      <w:r w:rsidRPr="009D5B7E">
        <w:rPr>
          <w:rFonts w:ascii="Calibri" w:hAnsi="Calibri" w:cs="Calibri"/>
          <w:sz w:val="20"/>
        </w:rPr>
        <w:t xml:space="preserve">bez DPH. </w:t>
      </w:r>
      <w:proofErr w:type="spellStart"/>
      <w:r w:rsidRPr="009D5B7E">
        <w:rPr>
          <w:rFonts w:ascii="Calibri" w:hAnsi="Calibri" w:cs="Calibri"/>
          <w:sz w:val="20"/>
        </w:rPr>
        <w:t>Nastanou</w:t>
      </w:r>
      <w:proofErr w:type="spellEnd"/>
      <w:r w:rsidRPr="009D5B7E">
        <w:rPr>
          <w:rFonts w:ascii="Calibri" w:hAnsi="Calibri" w:cs="Calibri"/>
          <w:sz w:val="20"/>
        </w:rPr>
        <w:t xml:space="preserve">-li </w:t>
      </w:r>
      <w:proofErr w:type="spellStart"/>
      <w:r w:rsidRPr="009D5B7E">
        <w:rPr>
          <w:rFonts w:ascii="Calibri" w:hAnsi="Calibri" w:cs="Calibri"/>
          <w:sz w:val="20"/>
        </w:rPr>
        <w:t>nepředvídatelné</w:t>
      </w:r>
      <w:proofErr w:type="spellEnd"/>
      <w:r w:rsidRPr="009D5B7E">
        <w:rPr>
          <w:rFonts w:ascii="Calibri" w:hAnsi="Calibri" w:cs="Calibri"/>
          <w:sz w:val="20"/>
        </w:rPr>
        <w:t xml:space="preserve"> </w:t>
      </w:r>
      <w:proofErr w:type="spellStart"/>
      <w:r w:rsidRPr="009D5B7E">
        <w:rPr>
          <w:rFonts w:ascii="Calibri" w:hAnsi="Calibri" w:cs="Calibri"/>
          <w:sz w:val="20"/>
        </w:rPr>
        <w:t>okolnosti</w:t>
      </w:r>
      <w:proofErr w:type="spellEnd"/>
      <w:r w:rsidRPr="009D5B7E">
        <w:rPr>
          <w:rFonts w:ascii="Calibri" w:hAnsi="Calibri" w:cs="Calibri"/>
          <w:sz w:val="20"/>
        </w:rPr>
        <w:t xml:space="preserve">, </w:t>
      </w:r>
      <w:proofErr w:type="spellStart"/>
      <w:r w:rsidRPr="009D5B7E">
        <w:rPr>
          <w:rFonts w:ascii="Calibri" w:hAnsi="Calibri" w:cs="Calibri"/>
          <w:sz w:val="20"/>
        </w:rPr>
        <w:t>jejichž</w:t>
      </w:r>
      <w:proofErr w:type="spellEnd"/>
      <w:r w:rsidRPr="009D5B7E">
        <w:rPr>
          <w:rFonts w:ascii="Calibri" w:hAnsi="Calibri" w:cs="Calibri"/>
          <w:sz w:val="20"/>
        </w:rPr>
        <w:t xml:space="preserve"> </w:t>
      </w:r>
      <w:proofErr w:type="spellStart"/>
      <w:r w:rsidRPr="009D5B7E">
        <w:rPr>
          <w:rFonts w:ascii="Calibri" w:hAnsi="Calibri" w:cs="Calibri"/>
          <w:sz w:val="20"/>
        </w:rPr>
        <w:t>důsledkem</w:t>
      </w:r>
      <w:proofErr w:type="spellEnd"/>
      <w:r w:rsidRPr="009D5B7E">
        <w:rPr>
          <w:rFonts w:ascii="Calibri" w:hAnsi="Calibri" w:cs="Calibri"/>
          <w:sz w:val="20"/>
        </w:rPr>
        <w:t xml:space="preserve"> </w:t>
      </w:r>
      <w:proofErr w:type="spellStart"/>
      <w:r w:rsidRPr="009D5B7E">
        <w:rPr>
          <w:rFonts w:ascii="Calibri" w:hAnsi="Calibri" w:cs="Calibri"/>
          <w:sz w:val="20"/>
        </w:rPr>
        <w:t>bude</w:t>
      </w:r>
      <w:proofErr w:type="spellEnd"/>
      <w:r w:rsidRPr="009D5B7E">
        <w:rPr>
          <w:rFonts w:ascii="Calibri" w:hAnsi="Calibri" w:cs="Calibri"/>
          <w:sz w:val="20"/>
        </w:rPr>
        <w:t xml:space="preserve"> </w:t>
      </w:r>
      <w:proofErr w:type="spellStart"/>
      <w:r w:rsidRPr="009D5B7E">
        <w:rPr>
          <w:rFonts w:ascii="Calibri" w:hAnsi="Calibri" w:cs="Calibri"/>
          <w:sz w:val="20"/>
        </w:rPr>
        <w:t>nutné</w:t>
      </w:r>
      <w:proofErr w:type="spellEnd"/>
      <w:r w:rsidRPr="009D5B7E">
        <w:rPr>
          <w:rFonts w:ascii="Calibri" w:hAnsi="Calibri" w:cs="Calibri"/>
          <w:sz w:val="20"/>
        </w:rPr>
        <w:t xml:space="preserve"> </w:t>
      </w:r>
      <w:proofErr w:type="spellStart"/>
      <w:r w:rsidRPr="009D5B7E">
        <w:rPr>
          <w:rFonts w:ascii="Calibri" w:hAnsi="Calibri" w:cs="Calibri"/>
          <w:sz w:val="20"/>
        </w:rPr>
        <w:t>Cenu</w:t>
      </w:r>
      <w:proofErr w:type="spellEnd"/>
      <w:r w:rsidRPr="009D5B7E">
        <w:rPr>
          <w:rFonts w:ascii="Calibri" w:hAnsi="Calibri" w:cs="Calibri"/>
          <w:sz w:val="20"/>
        </w:rPr>
        <w:t xml:space="preserve"> za </w:t>
      </w:r>
      <w:proofErr w:type="spellStart"/>
      <w:r w:rsidRPr="009D5B7E">
        <w:rPr>
          <w:rFonts w:ascii="Calibri" w:hAnsi="Calibri" w:cs="Calibri"/>
          <w:sz w:val="20"/>
        </w:rPr>
        <w:t>Služby</w:t>
      </w:r>
      <w:proofErr w:type="spellEnd"/>
      <w:r w:rsidRPr="009D5B7E">
        <w:rPr>
          <w:rFonts w:ascii="Calibri" w:hAnsi="Calibri" w:cs="Calibri"/>
          <w:sz w:val="20"/>
        </w:rPr>
        <w:t xml:space="preserve"> </w:t>
      </w:r>
      <w:proofErr w:type="spellStart"/>
      <w:r w:rsidRPr="009D5B7E">
        <w:rPr>
          <w:rFonts w:ascii="Calibri" w:hAnsi="Calibri" w:cs="Calibri"/>
          <w:sz w:val="20"/>
        </w:rPr>
        <w:t>navýšit</w:t>
      </w:r>
      <w:proofErr w:type="spellEnd"/>
      <w:r w:rsidRPr="009D5B7E">
        <w:rPr>
          <w:rFonts w:ascii="Calibri" w:hAnsi="Calibri" w:cs="Calibri"/>
          <w:sz w:val="20"/>
        </w:rPr>
        <w:t xml:space="preserve">, </w:t>
      </w:r>
      <w:proofErr w:type="spellStart"/>
      <w:r w:rsidRPr="009D5B7E">
        <w:rPr>
          <w:rFonts w:ascii="Calibri" w:hAnsi="Calibri" w:cs="Calibri"/>
          <w:sz w:val="20"/>
        </w:rPr>
        <w:t>smluvní</w:t>
      </w:r>
      <w:proofErr w:type="spellEnd"/>
      <w:r w:rsidRPr="009D5B7E">
        <w:rPr>
          <w:rFonts w:ascii="Calibri" w:hAnsi="Calibri" w:cs="Calibri"/>
          <w:sz w:val="20"/>
        </w:rPr>
        <w:t xml:space="preserve"> </w:t>
      </w:r>
      <w:proofErr w:type="spellStart"/>
      <w:r w:rsidRPr="009D5B7E">
        <w:rPr>
          <w:rFonts w:ascii="Calibri" w:hAnsi="Calibri" w:cs="Calibri"/>
          <w:sz w:val="20"/>
        </w:rPr>
        <w:t>strany</w:t>
      </w:r>
      <w:proofErr w:type="spellEnd"/>
      <w:r w:rsidRPr="009D5B7E">
        <w:rPr>
          <w:rFonts w:ascii="Calibri" w:hAnsi="Calibri" w:cs="Calibri"/>
          <w:sz w:val="20"/>
        </w:rPr>
        <w:t xml:space="preserve"> </w:t>
      </w:r>
      <w:proofErr w:type="spellStart"/>
      <w:r w:rsidRPr="009D5B7E">
        <w:rPr>
          <w:rFonts w:ascii="Calibri" w:hAnsi="Calibri" w:cs="Calibri"/>
          <w:sz w:val="20"/>
        </w:rPr>
        <w:t>tímto</w:t>
      </w:r>
      <w:proofErr w:type="spellEnd"/>
      <w:r w:rsidRPr="009D5B7E">
        <w:rPr>
          <w:rFonts w:ascii="Calibri" w:hAnsi="Calibri" w:cs="Calibri"/>
          <w:sz w:val="20"/>
        </w:rPr>
        <w:t xml:space="preserve"> </w:t>
      </w:r>
      <w:proofErr w:type="spellStart"/>
      <w:r w:rsidRPr="009D5B7E">
        <w:rPr>
          <w:rFonts w:ascii="Calibri" w:hAnsi="Calibri" w:cs="Calibri"/>
          <w:sz w:val="20"/>
        </w:rPr>
        <w:t>prohlašují</w:t>
      </w:r>
      <w:proofErr w:type="spellEnd"/>
      <w:r w:rsidRPr="009D5B7E">
        <w:rPr>
          <w:rFonts w:ascii="Calibri" w:hAnsi="Calibri" w:cs="Calibri"/>
          <w:sz w:val="20"/>
        </w:rPr>
        <w:t xml:space="preserve"> a </w:t>
      </w:r>
      <w:proofErr w:type="spellStart"/>
      <w:r w:rsidRPr="009D5B7E">
        <w:rPr>
          <w:rFonts w:ascii="Calibri" w:hAnsi="Calibri" w:cs="Calibri"/>
          <w:sz w:val="20"/>
        </w:rPr>
        <w:t>potvrzují</w:t>
      </w:r>
      <w:proofErr w:type="spellEnd"/>
      <w:r w:rsidRPr="009D5B7E">
        <w:rPr>
          <w:rFonts w:ascii="Calibri" w:hAnsi="Calibri" w:cs="Calibri"/>
          <w:sz w:val="20"/>
        </w:rPr>
        <w:t xml:space="preserve">, </w:t>
      </w:r>
      <w:proofErr w:type="spellStart"/>
      <w:r w:rsidRPr="009D5B7E">
        <w:rPr>
          <w:rFonts w:ascii="Calibri" w:hAnsi="Calibri" w:cs="Calibri"/>
          <w:sz w:val="20"/>
        </w:rPr>
        <w:t>že</w:t>
      </w:r>
      <w:proofErr w:type="spellEnd"/>
      <w:r w:rsidRPr="009D5B7E">
        <w:rPr>
          <w:rFonts w:ascii="Calibri" w:hAnsi="Calibri" w:cs="Calibri"/>
          <w:sz w:val="20"/>
        </w:rPr>
        <w:t xml:space="preserve"> </w:t>
      </w:r>
      <w:proofErr w:type="spellStart"/>
      <w:r w:rsidRPr="009D5B7E">
        <w:rPr>
          <w:rFonts w:ascii="Calibri" w:hAnsi="Calibri" w:cs="Calibri"/>
          <w:sz w:val="20"/>
        </w:rPr>
        <w:t>budou</w:t>
      </w:r>
      <w:proofErr w:type="spellEnd"/>
      <w:r w:rsidRPr="009D5B7E">
        <w:rPr>
          <w:rFonts w:ascii="Calibri" w:hAnsi="Calibri" w:cs="Calibri"/>
          <w:sz w:val="20"/>
        </w:rPr>
        <w:t xml:space="preserve"> o </w:t>
      </w:r>
      <w:proofErr w:type="spellStart"/>
      <w:r w:rsidRPr="009D5B7E">
        <w:rPr>
          <w:rFonts w:ascii="Calibri" w:hAnsi="Calibri" w:cs="Calibri"/>
          <w:sz w:val="20"/>
        </w:rPr>
        <w:t>takovém</w:t>
      </w:r>
      <w:proofErr w:type="spellEnd"/>
      <w:r w:rsidRPr="009D5B7E">
        <w:rPr>
          <w:rFonts w:ascii="Calibri" w:hAnsi="Calibri" w:cs="Calibri"/>
          <w:sz w:val="20"/>
        </w:rPr>
        <w:t xml:space="preserve"> </w:t>
      </w:r>
      <w:proofErr w:type="spellStart"/>
      <w:r w:rsidRPr="009D5B7E">
        <w:rPr>
          <w:rFonts w:ascii="Calibri" w:hAnsi="Calibri" w:cs="Calibri"/>
          <w:sz w:val="20"/>
        </w:rPr>
        <w:t>navýšení</w:t>
      </w:r>
      <w:proofErr w:type="spellEnd"/>
      <w:r w:rsidRPr="009D5B7E">
        <w:rPr>
          <w:rFonts w:ascii="Calibri" w:hAnsi="Calibri" w:cs="Calibri"/>
          <w:sz w:val="20"/>
        </w:rPr>
        <w:t xml:space="preserve"> v </w:t>
      </w:r>
      <w:proofErr w:type="spellStart"/>
      <w:r w:rsidRPr="009D5B7E">
        <w:rPr>
          <w:rFonts w:ascii="Calibri" w:hAnsi="Calibri" w:cs="Calibri"/>
          <w:sz w:val="20"/>
        </w:rPr>
        <w:t>dobré</w:t>
      </w:r>
      <w:proofErr w:type="spellEnd"/>
      <w:r w:rsidRPr="009D5B7E">
        <w:rPr>
          <w:rFonts w:ascii="Calibri" w:hAnsi="Calibri" w:cs="Calibri"/>
          <w:sz w:val="20"/>
        </w:rPr>
        <w:t xml:space="preserve"> </w:t>
      </w:r>
      <w:proofErr w:type="spellStart"/>
      <w:r w:rsidRPr="009D5B7E">
        <w:rPr>
          <w:rFonts w:ascii="Calibri" w:hAnsi="Calibri" w:cs="Calibri"/>
          <w:sz w:val="20"/>
        </w:rPr>
        <w:t>víře</w:t>
      </w:r>
      <w:proofErr w:type="spellEnd"/>
      <w:r w:rsidRPr="009D5B7E">
        <w:rPr>
          <w:rFonts w:ascii="Calibri" w:hAnsi="Calibri" w:cs="Calibri"/>
          <w:sz w:val="20"/>
        </w:rPr>
        <w:t xml:space="preserve"> </w:t>
      </w:r>
      <w:proofErr w:type="spellStart"/>
      <w:r w:rsidRPr="009D5B7E">
        <w:rPr>
          <w:rFonts w:ascii="Calibri" w:hAnsi="Calibri" w:cs="Calibri"/>
          <w:sz w:val="20"/>
        </w:rPr>
        <w:t>jednat</w:t>
      </w:r>
      <w:proofErr w:type="spellEnd"/>
      <w:r w:rsidRPr="009D5B7E">
        <w:rPr>
          <w:rFonts w:ascii="Calibri" w:hAnsi="Calibri" w:cs="Calibri"/>
          <w:sz w:val="20"/>
        </w:rPr>
        <w:t>.</w:t>
      </w:r>
      <w:r w:rsidR="00D3243E" w:rsidRPr="009D5B7E">
        <w:rPr>
          <w:sz w:val="20"/>
        </w:rPr>
        <w:t xml:space="preserve"> </w:t>
      </w:r>
    </w:p>
    <w:p w14:paraId="62B7425A" w14:textId="77777777" w:rsidR="00B7025F" w:rsidRPr="009D5B7E" w:rsidRDefault="00B7025F" w:rsidP="00E50FBB">
      <w:pPr>
        <w:pStyle w:val="Zkladntext"/>
        <w:rPr>
          <w:rFonts w:ascii="Calibri" w:hAnsi="Calibri" w:cs="Calibri"/>
          <w:b/>
          <w:sz w:val="20"/>
        </w:rPr>
      </w:pPr>
      <w:proofErr w:type="spellStart"/>
      <w:r w:rsidRPr="009D5B7E">
        <w:rPr>
          <w:rFonts w:ascii="Calibri" w:hAnsi="Calibri" w:cs="Calibri"/>
          <w:b/>
          <w:sz w:val="20"/>
        </w:rPr>
        <w:t>Náklady</w:t>
      </w:r>
      <w:proofErr w:type="spellEnd"/>
    </w:p>
    <w:p w14:paraId="27B22FB0" w14:textId="05784A72" w:rsidR="00B7025F" w:rsidRPr="009D5B7E" w:rsidRDefault="00B7025F" w:rsidP="00E50FBB">
      <w:pPr>
        <w:pStyle w:val="Zkladntext"/>
        <w:rPr>
          <w:rFonts w:ascii="Calibri" w:hAnsi="Calibri" w:cs="Calibri"/>
          <w:sz w:val="20"/>
        </w:rPr>
      </w:pPr>
      <w:r w:rsidRPr="009D5B7E">
        <w:rPr>
          <w:rFonts w:ascii="Calibri" w:hAnsi="Calibri" w:cs="Calibri"/>
          <w:sz w:val="20"/>
        </w:rPr>
        <w:t xml:space="preserve">Cena za </w:t>
      </w:r>
      <w:proofErr w:type="spellStart"/>
      <w:r w:rsidRPr="009D5B7E">
        <w:rPr>
          <w:rFonts w:ascii="Calibri" w:hAnsi="Calibri" w:cs="Calibri"/>
          <w:sz w:val="20"/>
        </w:rPr>
        <w:t>Služby</w:t>
      </w:r>
      <w:proofErr w:type="spellEnd"/>
      <w:r w:rsidRPr="009D5B7E">
        <w:rPr>
          <w:rFonts w:ascii="Calibri" w:hAnsi="Calibri" w:cs="Calibri"/>
          <w:sz w:val="20"/>
        </w:rPr>
        <w:t xml:space="preserve"> </w:t>
      </w:r>
      <w:proofErr w:type="spellStart"/>
      <w:r w:rsidRPr="009D5B7E">
        <w:rPr>
          <w:rFonts w:ascii="Calibri" w:hAnsi="Calibri" w:cs="Calibri"/>
          <w:sz w:val="20"/>
        </w:rPr>
        <w:t>nezahrnuje</w:t>
      </w:r>
      <w:proofErr w:type="spellEnd"/>
      <w:r w:rsidRPr="009D5B7E">
        <w:rPr>
          <w:rFonts w:ascii="Calibri" w:hAnsi="Calibri" w:cs="Calibri"/>
          <w:sz w:val="20"/>
        </w:rPr>
        <w:t xml:space="preserve"> </w:t>
      </w:r>
      <w:proofErr w:type="spellStart"/>
      <w:r w:rsidRPr="009D5B7E">
        <w:rPr>
          <w:rFonts w:ascii="Calibri" w:hAnsi="Calibri" w:cs="Calibri"/>
          <w:sz w:val="20"/>
        </w:rPr>
        <w:t>náklady</w:t>
      </w:r>
      <w:proofErr w:type="spellEnd"/>
      <w:r w:rsidRPr="009D5B7E">
        <w:rPr>
          <w:rFonts w:ascii="Calibri" w:hAnsi="Calibri" w:cs="Calibri"/>
          <w:sz w:val="20"/>
        </w:rPr>
        <w:t xml:space="preserve"> </w:t>
      </w:r>
      <w:proofErr w:type="spellStart"/>
      <w:r w:rsidRPr="009D5B7E">
        <w:rPr>
          <w:rFonts w:ascii="Calibri" w:hAnsi="Calibri" w:cs="Calibri"/>
          <w:sz w:val="20"/>
        </w:rPr>
        <w:t>spojené</w:t>
      </w:r>
      <w:proofErr w:type="spellEnd"/>
      <w:r w:rsidRPr="009D5B7E">
        <w:rPr>
          <w:rFonts w:ascii="Calibri" w:hAnsi="Calibri" w:cs="Calibri"/>
          <w:sz w:val="20"/>
        </w:rPr>
        <w:t xml:space="preserve"> s </w:t>
      </w:r>
      <w:proofErr w:type="spellStart"/>
      <w:r w:rsidRPr="009D5B7E">
        <w:rPr>
          <w:rFonts w:ascii="Calibri" w:hAnsi="Calibri" w:cs="Calibri"/>
          <w:sz w:val="20"/>
        </w:rPr>
        <w:t>poskytováním</w:t>
      </w:r>
      <w:proofErr w:type="spellEnd"/>
      <w:r w:rsidRPr="009D5B7E">
        <w:rPr>
          <w:rFonts w:ascii="Calibri" w:hAnsi="Calibri" w:cs="Calibri"/>
          <w:sz w:val="20"/>
        </w:rPr>
        <w:t xml:space="preserve"> </w:t>
      </w:r>
      <w:proofErr w:type="spellStart"/>
      <w:r w:rsidRPr="009D5B7E">
        <w:rPr>
          <w:rFonts w:ascii="Calibri" w:hAnsi="Calibri" w:cs="Calibri"/>
          <w:sz w:val="20"/>
        </w:rPr>
        <w:t>Služeb</w:t>
      </w:r>
      <w:proofErr w:type="spellEnd"/>
      <w:r w:rsidRPr="009D5B7E">
        <w:rPr>
          <w:rFonts w:ascii="Calibri" w:hAnsi="Calibri" w:cs="Calibri"/>
          <w:sz w:val="20"/>
        </w:rPr>
        <w:t xml:space="preserve"> </w:t>
      </w:r>
      <w:proofErr w:type="spellStart"/>
      <w:r w:rsidRPr="009D5B7E">
        <w:rPr>
          <w:rFonts w:ascii="Calibri" w:hAnsi="Calibri" w:cs="Calibri"/>
          <w:sz w:val="20"/>
        </w:rPr>
        <w:t>ve</w:t>
      </w:r>
      <w:proofErr w:type="spellEnd"/>
      <w:r w:rsidRPr="009D5B7E">
        <w:rPr>
          <w:rFonts w:ascii="Calibri" w:hAnsi="Calibri" w:cs="Calibri"/>
          <w:sz w:val="20"/>
        </w:rPr>
        <w:t xml:space="preserve"> </w:t>
      </w:r>
      <w:proofErr w:type="spellStart"/>
      <w:r w:rsidRPr="009D5B7E">
        <w:rPr>
          <w:rFonts w:ascii="Calibri" w:hAnsi="Calibri" w:cs="Calibri"/>
          <w:sz w:val="20"/>
        </w:rPr>
        <w:t>smyslu</w:t>
      </w:r>
      <w:proofErr w:type="spellEnd"/>
      <w:r w:rsidRPr="009D5B7E">
        <w:rPr>
          <w:rFonts w:ascii="Calibri" w:hAnsi="Calibri" w:cs="Calibri"/>
          <w:sz w:val="20"/>
        </w:rPr>
        <w:t xml:space="preserve"> </w:t>
      </w:r>
      <w:proofErr w:type="spellStart"/>
      <w:r w:rsidRPr="009D5B7E">
        <w:rPr>
          <w:rFonts w:ascii="Calibri" w:hAnsi="Calibri" w:cs="Calibri"/>
          <w:sz w:val="20"/>
        </w:rPr>
        <w:t>ujednání</w:t>
      </w:r>
      <w:proofErr w:type="spellEnd"/>
      <w:r w:rsidRPr="009D5B7E">
        <w:rPr>
          <w:rFonts w:ascii="Calibri" w:hAnsi="Calibri" w:cs="Calibri"/>
          <w:sz w:val="20"/>
        </w:rPr>
        <w:t xml:space="preserve"> </w:t>
      </w:r>
      <w:proofErr w:type="spellStart"/>
      <w:r w:rsidRPr="009D5B7E">
        <w:rPr>
          <w:rFonts w:ascii="Calibri" w:hAnsi="Calibri" w:cs="Calibri"/>
          <w:sz w:val="20"/>
        </w:rPr>
        <w:t>čl</w:t>
      </w:r>
      <w:proofErr w:type="spellEnd"/>
      <w:r w:rsidRPr="009D5B7E">
        <w:rPr>
          <w:rFonts w:ascii="Calibri" w:hAnsi="Calibri" w:cs="Calibri"/>
          <w:sz w:val="20"/>
        </w:rPr>
        <w:t xml:space="preserve">. 3, </w:t>
      </w:r>
      <w:proofErr w:type="spellStart"/>
      <w:r w:rsidRPr="009D5B7E">
        <w:rPr>
          <w:rFonts w:ascii="Calibri" w:hAnsi="Calibri" w:cs="Calibri"/>
          <w:sz w:val="20"/>
        </w:rPr>
        <w:t>písm</w:t>
      </w:r>
      <w:proofErr w:type="spellEnd"/>
      <w:r w:rsidRPr="009D5B7E">
        <w:rPr>
          <w:rFonts w:ascii="Calibri" w:hAnsi="Calibri" w:cs="Calibri"/>
          <w:sz w:val="20"/>
        </w:rPr>
        <w:t xml:space="preserve">. c) </w:t>
      </w:r>
      <w:proofErr w:type="spellStart"/>
      <w:r w:rsidRPr="009D5B7E">
        <w:rPr>
          <w:rFonts w:ascii="Calibri" w:hAnsi="Calibri" w:cs="Calibri"/>
          <w:sz w:val="20"/>
        </w:rPr>
        <w:t>Obchodních</w:t>
      </w:r>
      <w:proofErr w:type="spellEnd"/>
      <w:r w:rsidRPr="009D5B7E">
        <w:rPr>
          <w:rFonts w:ascii="Calibri" w:hAnsi="Calibri" w:cs="Calibri"/>
          <w:sz w:val="20"/>
        </w:rPr>
        <w:t xml:space="preserve"> </w:t>
      </w:r>
      <w:proofErr w:type="spellStart"/>
      <w:r w:rsidRPr="009D5B7E">
        <w:rPr>
          <w:rFonts w:ascii="Calibri" w:hAnsi="Calibri" w:cs="Calibri"/>
          <w:sz w:val="20"/>
        </w:rPr>
        <w:t>podmínek</w:t>
      </w:r>
      <w:proofErr w:type="spellEnd"/>
      <w:r w:rsidR="00D3243E">
        <w:rPr>
          <w:rFonts w:ascii="Calibri" w:hAnsi="Calibri" w:cs="Calibri"/>
          <w:sz w:val="20"/>
        </w:rPr>
        <w:t xml:space="preserve">. </w:t>
      </w:r>
      <w:proofErr w:type="spellStart"/>
      <w:r w:rsidRPr="009D5B7E">
        <w:rPr>
          <w:rFonts w:ascii="Calibri" w:hAnsi="Calibri" w:cs="Calibri"/>
          <w:sz w:val="20"/>
        </w:rPr>
        <w:t>Výše</w:t>
      </w:r>
      <w:proofErr w:type="spellEnd"/>
      <w:r w:rsidRPr="009D5B7E">
        <w:rPr>
          <w:rFonts w:ascii="Calibri" w:hAnsi="Calibri" w:cs="Calibri"/>
          <w:sz w:val="20"/>
        </w:rPr>
        <w:t xml:space="preserve"> </w:t>
      </w:r>
      <w:proofErr w:type="spellStart"/>
      <w:r w:rsidRPr="009D5B7E">
        <w:rPr>
          <w:rFonts w:ascii="Calibri" w:hAnsi="Calibri" w:cs="Calibri"/>
          <w:sz w:val="20"/>
        </w:rPr>
        <w:t>nákladů</w:t>
      </w:r>
      <w:proofErr w:type="spellEnd"/>
      <w:r w:rsidRPr="009D5B7E">
        <w:rPr>
          <w:rFonts w:ascii="Calibri" w:hAnsi="Calibri" w:cs="Calibri"/>
          <w:sz w:val="20"/>
        </w:rPr>
        <w:t xml:space="preserve"> </w:t>
      </w:r>
      <w:proofErr w:type="spellStart"/>
      <w:r w:rsidRPr="009D5B7E">
        <w:rPr>
          <w:rFonts w:ascii="Calibri" w:hAnsi="Calibri" w:cs="Calibri"/>
          <w:sz w:val="20"/>
        </w:rPr>
        <w:t>účtovaných</w:t>
      </w:r>
      <w:proofErr w:type="spellEnd"/>
      <w:r w:rsidRPr="009D5B7E">
        <w:rPr>
          <w:rFonts w:ascii="Calibri" w:hAnsi="Calibri" w:cs="Calibri"/>
          <w:sz w:val="20"/>
        </w:rPr>
        <w:t xml:space="preserve"> ze </w:t>
      </w:r>
      <w:proofErr w:type="spellStart"/>
      <w:r w:rsidRPr="009D5B7E">
        <w:rPr>
          <w:rFonts w:ascii="Calibri" w:hAnsi="Calibri" w:cs="Calibri"/>
          <w:sz w:val="20"/>
        </w:rPr>
        <w:t>strany</w:t>
      </w:r>
      <w:proofErr w:type="spellEnd"/>
      <w:r w:rsidRPr="009D5B7E">
        <w:rPr>
          <w:rFonts w:ascii="Calibri" w:hAnsi="Calibri" w:cs="Calibri"/>
          <w:sz w:val="20"/>
        </w:rPr>
        <w:t xml:space="preserve"> Deloitte </w:t>
      </w:r>
      <w:proofErr w:type="spellStart"/>
      <w:r w:rsidRPr="009D5B7E">
        <w:rPr>
          <w:rFonts w:ascii="Calibri" w:hAnsi="Calibri" w:cs="Calibri"/>
          <w:sz w:val="20"/>
        </w:rPr>
        <w:t>nepřesáhne</w:t>
      </w:r>
      <w:proofErr w:type="spellEnd"/>
      <w:r w:rsidRPr="009D5B7E">
        <w:rPr>
          <w:rFonts w:ascii="Calibri" w:hAnsi="Calibri" w:cs="Calibri"/>
          <w:sz w:val="20"/>
        </w:rPr>
        <w:t xml:space="preserve"> </w:t>
      </w:r>
      <w:r w:rsidR="00D3243E">
        <w:rPr>
          <w:rFonts w:ascii="Calibri" w:hAnsi="Calibri" w:cs="Calibri"/>
          <w:sz w:val="20"/>
        </w:rPr>
        <w:t>5</w:t>
      </w:r>
      <w:r w:rsidRPr="009D5B7E">
        <w:rPr>
          <w:rFonts w:ascii="Calibri" w:hAnsi="Calibri" w:cs="Calibri"/>
          <w:sz w:val="20"/>
        </w:rPr>
        <w:t xml:space="preserve">% </w:t>
      </w:r>
      <w:proofErr w:type="spellStart"/>
      <w:r w:rsidRPr="009D5B7E">
        <w:rPr>
          <w:rFonts w:ascii="Calibri" w:hAnsi="Calibri" w:cs="Calibri"/>
          <w:sz w:val="20"/>
        </w:rPr>
        <w:t>Ceny</w:t>
      </w:r>
      <w:proofErr w:type="spellEnd"/>
      <w:r w:rsidRPr="009D5B7E">
        <w:rPr>
          <w:rFonts w:ascii="Calibri" w:hAnsi="Calibri" w:cs="Calibri"/>
          <w:sz w:val="20"/>
        </w:rPr>
        <w:t xml:space="preserve"> za </w:t>
      </w:r>
      <w:proofErr w:type="spellStart"/>
      <w:r w:rsidRPr="009D5B7E">
        <w:rPr>
          <w:rFonts w:ascii="Calibri" w:hAnsi="Calibri" w:cs="Calibri"/>
          <w:sz w:val="20"/>
        </w:rPr>
        <w:t>Služby</w:t>
      </w:r>
      <w:proofErr w:type="spellEnd"/>
      <w:r w:rsidRPr="009D5B7E">
        <w:rPr>
          <w:rFonts w:ascii="Calibri" w:hAnsi="Calibri" w:cs="Calibri"/>
          <w:sz w:val="20"/>
        </w:rPr>
        <w:t>.</w:t>
      </w:r>
    </w:p>
    <w:p w14:paraId="28D2DDC5" w14:textId="77777777" w:rsidR="00B7025F" w:rsidRPr="009D5B7E" w:rsidRDefault="00B7025F" w:rsidP="00E50FBB">
      <w:pPr>
        <w:pStyle w:val="Zkladntext"/>
        <w:rPr>
          <w:rFonts w:ascii="Calibri" w:hAnsi="Calibri" w:cs="Calibri"/>
          <w:b/>
          <w:sz w:val="20"/>
        </w:rPr>
      </w:pPr>
      <w:proofErr w:type="spellStart"/>
      <w:r w:rsidRPr="009D5B7E">
        <w:rPr>
          <w:rFonts w:ascii="Calibri" w:hAnsi="Calibri" w:cs="Calibri"/>
          <w:b/>
          <w:sz w:val="20"/>
        </w:rPr>
        <w:t>Platební</w:t>
      </w:r>
      <w:proofErr w:type="spellEnd"/>
      <w:r w:rsidRPr="009D5B7E">
        <w:rPr>
          <w:rFonts w:ascii="Calibri" w:hAnsi="Calibri" w:cs="Calibri"/>
          <w:b/>
          <w:sz w:val="20"/>
        </w:rPr>
        <w:t xml:space="preserve"> </w:t>
      </w:r>
      <w:proofErr w:type="spellStart"/>
      <w:r w:rsidRPr="009D5B7E">
        <w:rPr>
          <w:rFonts w:ascii="Calibri" w:hAnsi="Calibri" w:cs="Calibri"/>
          <w:b/>
          <w:sz w:val="20"/>
        </w:rPr>
        <w:t>kalendář</w:t>
      </w:r>
      <w:proofErr w:type="spellEnd"/>
      <w:r w:rsidRPr="009D5B7E">
        <w:rPr>
          <w:rFonts w:ascii="Calibri" w:hAnsi="Calibri" w:cs="Calibri"/>
          <w:b/>
          <w:sz w:val="20"/>
        </w:rPr>
        <w:t xml:space="preserve"> </w:t>
      </w:r>
    </w:p>
    <w:p w14:paraId="0C675164" w14:textId="6EAC92D1" w:rsidR="00B7025F" w:rsidRPr="009D5B7E" w:rsidRDefault="00B7025F" w:rsidP="00E50FBB">
      <w:pPr>
        <w:pStyle w:val="Zkladntext"/>
        <w:rPr>
          <w:rFonts w:ascii="Calibri" w:hAnsi="Calibri" w:cs="Calibri"/>
          <w:sz w:val="20"/>
        </w:rPr>
      </w:pPr>
      <w:r w:rsidRPr="009D5B7E">
        <w:rPr>
          <w:rFonts w:ascii="Calibri" w:hAnsi="Calibri" w:cs="Calibri"/>
          <w:sz w:val="20"/>
        </w:rPr>
        <w:t xml:space="preserve">Faktura </w:t>
      </w:r>
      <w:proofErr w:type="spellStart"/>
      <w:r w:rsidRPr="009D5B7E">
        <w:rPr>
          <w:rFonts w:ascii="Calibri" w:hAnsi="Calibri" w:cs="Calibri"/>
          <w:sz w:val="20"/>
        </w:rPr>
        <w:t>bude</w:t>
      </w:r>
      <w:proofErr w:type="spellEnd"/>
      <w:r w:rsidRPr="009D5B7E">
        <w:rPr>
          <w:rFonts w:ascii="Calibri" w:hAnsi="Calibri" w:cs="Calibri"/>
          <w:sz w:val="20"/>
        </w:rPr>
        <w:t xml:space="preserve"> </w:t>
      </w:r>
      <w:proofErr w:type="spellStart"/>
      <w:r w:rsidRPr="009D5B7E">
        <w:rPr>
          <w:rFonts w:ascii="Calibri" w:hAnsi="Calibri" w:cs="Calibri"/>
          <w:sz w:val="20"/>
        </w:rPr>
        <w:t>vystavena</w:t>
      </w:r>
      <w:proofErr w:type="spellEnd"/>
      <w:r w:rsidRPr="009D5B7E">
        <w:rPr>
          <w:rFonts w:ascii="Calibri" w:hAnsi="Calibri" w:cs="Calibri"/>
          <w:sz w:val="20"/>
        </w:rPr>
        <w:t xml:space="preserve"> po </w:t>
      </w:r>
      <w:proofErr w:type="spellStart"/>
      <w:r w:rsidRPr="009D5B7E">
        <w:rPr>
          <w:rFonts w:ascii="Calibri" w:hAnsi="Calibri" w:cs="Calibri"/>
          <w:sz w:val="20"/>
        </w:rPr>
        <w:t>dokončení</w:t>
      </w:r>
      <w:proofErr w:type="spellEnd"/>
      <w:r w:rsidRPr="009D5B7E">
        <w:rPr>
          <w:rFonts w:ascii="Calibri" w:hAnsi="Calibri" w:cs="Calibri"/>
          <w:sz w:val="20"/>
        </w:rPr>
        <w:t xml:space="preserve"> </w:t>
      </w:r>
      <w:proofErr w:type="spellStart"/>
      <w:r w:rsidRPr="009D5B7E">
        <w:rPr>
          <w:rFonts w:ascii="Calibri" w:hAnsi="Calibri" w:cs="Calibri"/>
          <w:sz w:val="20"/>
        </w:rPr>
        <w:t>prací</w:t>
      </w:r>
      <w:proofErr w:type="spellEnd"/>
      <w:r w:rsidRPr="009D5B7E">
        <w:rPr>
          <w:rFonts w:ascii="Calibri" w:hAnsi="Calibri" w:cs="Calibri"/>
          <w:sz w:val="20"/>
        </w:rPr>
        <w:t xml:space="preserve"> a po </w:t>
      </w:r>
      <w:proofErr w:type="spellStart"/>
      <w:r w:rsidRPr="009D5B7E">
        <w:rPr>
          <w:rFonts w:ascii="Calibri" w:hAnsi="Calibri" w:cs="Calibri"/>
          <w:sz w:val="20"/>
        </w:rPr>
        <w:t>odevzdání</w:t>
      </w:r>
      <w:proofErr w:type="spellEnd"/>
      <w:r w:rsidRPr="009D5B7E">
        <w:rPr>
          <w:rFonts w:ascii="Calibri" w:hAnsi="Calibri" w:cs="Calibri"/>
          <w:sz w:val="20"/>
        </w:rPr>
        <w:t xml:space="preserve"> </w:t>
      </w:r>
      <w:proofErr w:type="spellStart"/>
      <w:r w:rsidRPr="009D5B7E">
        <w:rPr>
          <w:rFonts w:ascii="Calibri" w:hAnsi="Calibri" w:cs="Calibri"/>
          <w:sz w:val="20"/>
        </w:rPr>
        <w:t>Výstupů</w:t>
      </w:r>
      <w:proofErr w:type="spellEnd"/>
      <w:r w:rsidRPr="009D5B7E">
        <w:rPr>
          <w:rFonts w:ascii="Calibri" w:hAnsi="Calibri" w:cs="Calibri"/>
          <w:sz w:val="20"/>
        </w:rPr>
        <w:t xml:space="preserve"> Deloitte. </w:t>
      </w:r>
      <w:proofErr w:type="spellStart"/>
      <w:r w:rsidRPr="009D5B7E">
        <w:rPr>
          <w:rFonts w:ascii="Calibri" w:hAnsi="Calibri" w:cs="Calibri"/>
          <w:sz w:val="20"/>
        </w:rPr>
        <w:t>Současně</w:t>
      </w:r>
      <w:proofErr w:type="spellEnd"/>
      <w:r w:rsidRPr="009D5B7E">
        <w:rPr>
          <w:rFonts w:ascii="Calibri" w:hAnsi="Calibri" w:cs="Calibri"/>
          <w:sz w:val="20"/>
        </w:rPr>
        <w:t xml:space="preserve"> </w:t>
      </w:r>
      <w:proofErr w:type="spellStart"/>
      <w:r w:rsidRPr="009D5B7E">
        <w:rPr>
          <w:rFonts w:ascii="Calibri" w:hAnsi="Calibri" w:cs="Calibri"/>
          <w:sz w:val="20"/>
        </w:rPr>
        <w:t>budou</w:t>
      </w:r>
      <w:proofErr w:type="spellEnd"/>
      <w:r w:rsidRPr="009D5B7E">
        <w:rPr>
          <w:rFonts w:ascii="Calibri" w:hAnsi="Calibri" w:cs="Calibri"/>
          <w:sz w:val="20"/>
        </w:rPr>
        <w:t xml:space="preserve"> </w:t>
      </w:r>
      <w:proofErr w:type="spellStart"/>
      <w:r w:rsidRPr="009D5B7E">
        <w:rPr>
          <w:rFonts w:ascii="Calibri" w:hAnsi="Calibri" w:cs="Calibri"/>
          <w:sz w:val="20"/>
        </w:rPr>
        <w:t>vyúčtovány</w:t>
      </w:r>
      <w:proofErr w:type="spellEnd"/>
      <w:r w:rsidRPr="009D5B7E">
        <w:rPr>
          <w:rFonts w:ascii="Calibri" w:hAnsi="Calibri" w:cs="Calibri"/>
          <w:sz w:val="20"/>
        </w:rPr>
        <w:t xml:space="preserve"> </w:t>
      </w:r>
      <w:proofErr w:type="spellStart"/>
      <w:r w:rsidRPr="009D5B7E">
        <w:rPr>
          <w:rFonts w:ascii="Calibri" w:hAnsi="Calibri" w:cs="Calibri"/>
          <w:sz w:val="20"/>
        </w:rPr>
        <w:t>výdaje</w:t>
      </w:r>
      <w:proofErr w:type="spellEnd"/>
      <w:r w:rsidRPr="009D5B7E">
        <w:rPr>
          <w:rFonts w:ascii="Calibri" w:hAnsi="Calibri" w:cs="Calibri"/>
          <w:sz w:val="20"/>
        </w:rPr>
        <w:t xml:space="preserve"> za </w:t>
      </w:r>
      <w:proofErr w:type="spellStart"/>
      <w:r w:rsidRPr="009D5B7E">
        <w:rPr>
          <w:rFonts w:ascii="Calibri" w:hAnsi="Calibri" w:cs="Calibri"/>
          <w:sz w:val="20"/>
        </w:rPr>
        <w:t>dobu</w:t>
      </w:r>
      <w:proofErr w:type="spellEnd"/>
      <w:r w:rsidRPr="009D5B7E">
        <w:rPr>
          <w:rFonts w:ascii="Calibri" w:hAnsi="Calibri" w:cs="Calibri"/>
          <w:sz w:val="20"/>
        </w:rPr>
        <w:t xml:space="preserve"> </w:t>
      </w:r>
      <w:proofErr w:type="spellStart"/>
      <w:r w:rsidRPr="009D5B7E">
        <w:rPr>
          <w:rFonts w:ascii="Calibri" w:hAnsi="Calibri" w:cs="Calibri"/>
          <w:sz w:val="20"/>
        </w:rPr>
        <w:t>trvání</w:t>
      </w:r>
      <w:proofErr w:type="spellEnd"/>
      <w:r w:rsidRPr="009D5B7E">
        <w:rPr>
          <w:rFonts w:ascii="Calibri" w:hAnsi="Calibri" w:cs="Calibri"/>
          <w:sz w:val="20"/>
        </w:rPr>
        <w:t xml:space="preserve"> </w:t>
      </w:r>
      <w:proofErr w:type="spellStart"/>
      <w:r w:rsidRPr="009D5B7E">
        <w:rPr>
          <w:rFonts w:ascii="Calibri" w:hAnsi="Calibri" w:cs="Calibri"/>
          <w:sz w:val="20"/>
        </w:rPr>
        <w:t>projektu</w:t>
      </w:r>
      <w:proofErr w:type="spellEnd"/>
      <w:r w:rsidRPr="009D5B7E">
        <w:rPr>
          <w:rFonts w:ascii="Calibri" w:hAnsi="Calibri" w:cs="Calibri"/>
          <w:sz w:val="20"/>
        </w:rPr>
        <w:t xml:space="preserve"> (</w:t>
      </w:r>
      <w:proofErr w:type="spellStart"/>
      <w:r w:rsidRPr="009D5B7E">
        <w:rPr>
          <w:rFonts w:ascii="Calibri" w:hAnsi="Calibri" w:cs="Calibri"/>
          <w:sz w:val="20"/>
        </w:rPr>
        <w:t>dle</w:t>
      </w:r>
      <w:proofErr w:type="spellEnd"/>
      <w:r w:rsidRPr="009D5B7E">
        <w:rPr>
          <w:rFonts w:ascii="Calibri" w:hAnsi="Calibri" w:cs="Calibri"/>
          <w:sz w:val="20"/>
        </w:rPr>
        <w:t xml:space="preserve"> </w:t>
      </w:r>
      <w:proofErr w:type="spellStart"/>
      <w:r w:rsidRPr="009D5B7E">
        <w:rPr>
          <w:rFonts w:ascii="Calibri" w:hAnsi="Calibri" w:cs="Calibri"/>
          <w:sz w:val="20"/>
        </w:rPr>
        <w:t>ujednání</w:t>
      </w:r>
      <w:proofErr w:type="spellEnd"/>
      <w:r w:rsidRPr="009D5B7E">
        <w:rPr>
          <w:rFonts w:ascii="Calibri" w:hAnsi="Calibri" w:cs="Calibri"/>
          <w:sz w:val="20"/>
        </w:rPr>
        <w:t xml:space="preserve"> </w:t>
      </w:r>
      <w:proofErr w:type="spellStart"/>
      <w:r w:rsidRPr="009D5B7E">
        <w:rPr>
          <w:rFonts w:ascii="Calibri" w:hAnsi="Calibri" w:cs="Calibri"/>
          <w:sz w:val="20"/>
        </w:rPr>
        <w:t>čl</w:t>
      </w:r>
      <w:proofErr w:type="spellEnd"/>
      <w:r w:rsidRPr="009D5B7E">
        <w:rPr>
          <w:rFonts w:ascii="Calibri" w:hAnsi="Calibri" w:cs="Calibri"/>
          <w:sz w:val="20"/>
        </w:rPr>
        <w:t xml:space="preserve">. 3 </w:t>
      </w:r>
      <w:proofErr w:type="spellStart"/>
      <w:r w:rsidRPr="009D5B7E">
        <w:rPr>
          <w:rFonts w:ascii="Calibri" w:hAnsi="Calibri" w:cs="Calibri"/>
          <w:sz w:val="20"/>
        </w:rPr>
        <w:t>písm</w:t>
      </w:r>
      <w:proofErr w:type="spellEnd"/>
      <w:r w:rsidRPr="009D5B7E">
        <w:rPr>
          <w:rFonts w:ascii="Calibri" w:hAnsi="Calibri" w:cs="Calibri"/>
          <w:sz w:val="20"/>
        </w:rPr>
        <w:t xml:space="preserve">. c) </w:t>
      </w:r>
      <w:proofErr w:type="spellStart"/>
      <w:r w:rsidRPr="009D5B7E">
        <w:rPr>
          <w:rFonts w:ascii="Calibri" w:hAnsi="Calibri" w:cs="Calibri"/>
          <w:sz w:val="20"/>
        </w:rPr>
        <w:t>Obchodních</w:t>
      </w:r>
      <w:proofErr w:type="spellEnd"/>
      <w:r w:rsidRPr="009D5B7E">
        <w:rPr>
          <w:rFonts w:ascii="Calibri" w:hAnsi="Calibri" w:cs="Calibri"/>
          <w:sz w:val="20"/>
        </w:rPr>
        <w:t xml:space="preserve"> </w:t>
      </w:r>
      <w:proofErr w:type="spellStart"/>
      <w:r w:rsidRPr="009D5B7E">
        <w:rPr>
          <w:rFonts w:ascii="Calibri" w:hAnsi="Calibri" w:cs="Calibri"/>
          <w:sz w:val="20"/>
        </w:rPr>
        <w:t>podmínek</w:t>
      </w:r>
      <w:proofErr w:type="spellEnd"/>
      <w:r w:rsidR="0033562A">
        <w:rPr>
          <w:rFonts w:ascii="Calibri" w:hAnsi="Calibri" w:cs="Calibri"/>
          <w:sz w:val="20"/>
        </w:rPr>
        <w:t>)</w:t>
      </w:r>
      <w:r w:rsidRPr="009D5B7E">
        <w:rPr>
          <w:rFonts w:ascii="Calibri" w:hAnsi="Calibri" w:cs="Calibri"/>
          <w:sz w:val="20"/>
        </w:rPr>
        <w:t>.</w:t>
      </w:r>
    </w:p>
    <w:p w14:paraId="5A8D8C69" w14:textId="77777777" w:rsidR="0033562A" w:rsidRDefault="0033562A">
      <w:pPr>
        <w:spacing w:after="0" w:line="240" w:lineRule="auto"/>
        <w:rPr>
          <w:rFonts w:ascii="Calibri" w:eastAsia="Times New Roman" w:hAnsi="Calibri" w:cs="Calibri"/>
          <w:b/>
          <w:sz w:val="20"/>
          <w:szCs w:val="18"/>
          <w:lang w:val="cs-CZ"/>
        </w:rPr>
      </w:pPr>
      <w:r>
        <w:rPr>
          <w:rFonts w:ascii="Calibri" w:hAnsi="Calibri" w:cs="Calibri"/>
          <w:b/>
          <w:sz w:val="20"/>
          <w:lang w:val="cs-CZ"/>
        </w:rPr>
        <w:br w:type="page"/>
      </w:r>
    </w:p>
    <w:p w14:paraId="6E901437" w14:textId="0AA0EC15" w:rsidR="000A7DF6" w:rsidRPr="009D5B7E" w:rsidRDefault="00B7025F" w:rsidP="000A7DF6">
      <w:pPr>
        <w:pStyle w:val="Zkladntext"/>
        <w:jc w:val="center"/>
        <w:rPr>
          <w:rFonts w:ascii="Calibri" w:hAnsi="Calibri" w:cs="Calibri"/>
          <w:b/>
          <w:sz w:val="20"/>
          <w:lang w:val="cs-CZ"/>
        </w:rPr>
      </w:pPr>
      <w:r w:rsidRPr="009D5B7E">
        <w:rPr>
          <w:rFonts w:ascii="Calibri" w:hAnsi="Calibri" w:cs="Calibri"/>
          <w:b/>
          <w:sz w:val="20"/>
          <w:lang w:val="cs-CZ"/>
        </w:rPr>
        <w:lastRenderedPageBreak/>
        <w:t>Příloha č. 3</w:t>
      </w:r>
      <w:r w:rsidR="00E50FBB" w:rsidRPr="009D5B7E">
        <w:rPr>
          <w:rFonts w:ascii="Calibri" w:hAnsi="Calibri" w:cs="Calibri"/>
          <w:b/>
          <w:sz w:val="20"/>
          <w:lang w:val="cs-CZ"/>
        </w:rPr>
        <w:br/>
      </w:r>
      <w:r w:rsidR="000A7DF6" w:rsidRPr="009D5B7E">
        <w:rPr>
          <w:rFonts w:ascii="Calibri" w:hAnsi="Calibri" w:cs="Calibri"/>
          <w:b/>
          <w:sz w:val="20"/>
          <w:lang w:val="cs-CZ"/>
        </w:rPr>
        <w:t>Obchodní podmínky Deloitte CE</w:t>
      </w:r>
    </w:p>
    <w:p w14:paraId="28647D2A" w14:textId="77777777" w:rsidR="000A7DF6" w:rsidRPr="009D5B7E" w:rsidRDefault="000A7DF6" w:rsidP="000A7DF6">
      <w:pPr>
        <w:keepNext/>
        <w:numPr>
          <w:ilvl w:val="0"/>
          <w:numId w:val="12"/>
        </w:numPr>
        <w:spacing w:after="120" w:line="120" w:lineRule="atLeast"/>
        <w:ind w:left="0" w:right="70" w:hanging="357"/>
        <w:jc w:val="both"/>
        <w:outlineLvl w:val="0"/>
        <w:rPr>
          <w:rFonts w:ascii="Calibri" w:hAnsi="Calibri" w:cs="Calibri"/>
          <w:b/>
          <w:kern w:val="28"/>
          <w:sz w:val="20"/>
          <w:szCs w:val="18"/>
          <w:lang w:val="cs-CZ"/>
        </w:rPr>
        <w:sectPr w:rsidR="000A7DF6" w:rsidRPr="009D5B7E" w:rsidSect="00F41AD7">
          <w:headerReference w:type="default" r:id="rId22"/>
          <w:pgSz w:w="11906" w:h="16838" w:code="9"/>
          <w:pgMar w:top="1417" w:right="1417" w:bottom="1417" w:left="1417" w:header="680" w:footer="567" w:gutter="0"/>
          <w:cols w:space="284"/>
          <w:docGrid w:linePitch="360"/>
        </w:sectPr>
      </w:pPr>
    </w:p>
    <w:p w14:paraId="32227F69"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Smlouva</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smluvní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strany</w:t>
      </w:r>
      <w:proofErr w:type="spellEnd"/>
      <w:r w:rsidRPr="009D5B7E">
        <w:rPr>
          <w:rFonts w:ascii="Calibri" w:hAnsi="Calibri" w:cs="Calibri"/>
          <w:b/>
          <w:kern w:val="28"/>
          <w:sz w:val="20"/>
          <w:szCs w:val="18"/>
        </w:rPr>
        <w:t xml:space="preserve"> </w:t>
      </w:r>
    </w:p>
    <w:p w14:paraId="707EC019" w14:textId="583206BB"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Ujednání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Objednávky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prací</w:t>
      </w:r>
      <w:proofErr w:type="spellEnd"/>
      <w:r w:rsidRPr="009D5B7E">
        <w:rPr>
          <w:rFonts w:ascii="Calibri" w:hAnsi="Calibri" w:cs="Calibri"/>
          <w:b/>
          <w:sz w:val="20"/>
          <w:szCs w:val="18"/>
        </w:rPr>
        <w:t xml:space="preserve"> </w:t>
      </w:r>
      <w:r w:rsidRPr="009D5B7E">
        <w:rPr>
          <w:rFonts w:ascii="Calibri" w:hAnsi="Calibri" w:cs="Calibri"/>
          <w:sz w:val="20"/>
          <w:szCs w:val="18"/>
        </w:rPr>
        <w:t xml:space="preserve">a </w:t>
      </w:r>
      <w:proofErr w:type="spellStart"/>
      <w:r w:rsidRPr="009D5B7E">
        <w:rPr>
          <w:rFonts w:ascii="Calibri" w:hAnsi="Calibri" w:cs="Calibri"/>
          <w:sz w:val="20"/>
          <w:szCs w:val="18"/>
        </w:rPr>
        <w:t>jakýchkoli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příloh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vydaných</w:t>
      </w:r>
      <w:proofErr w:type="spellEnd"/>
      <w:r w:rsidRPr="009D5B7E">
        <w:rPr>
          <w:rFonts w:ascii="Calibri" w:hAnsi="Calibri" w:cs="Calibri"/>
          <w:sz w:val="20"/>
          <w:szCs w:val="18"/>
        </w:rPr>
        <w:t xml:space="preserve"> Deloitte Advisory </w:t>
      </w:r>
      <w:proofErr w:type="spellStart"/>
      <w:r w:rsidRPr="009D5B7E">
        <w:rPr>
          <w:rFonts w:ascii="Calibri" w:hAnsi="Calibri" w:cs="Calibri"/>
          <w:sz w:val="20"/>
          <w:szCs w:val="18"/>
        </w:rPr>
        <w:t>s.r.o.</w:t>
      </w:r>
      <w:proofErr w:type="spellEnd"/>
      <w:r w:rsidRPr="009D5B7E">
        <w:rPr>
          <w:rFonts w:ascii="Calibri" w:hAnsi="Calibri" w:cs="Calibri"/>
          <w:sz w:val="20"/>
          <w:szCs w:val="18"/>
        </w:rPr>
        <w:t xml:space="preserve">, IČO: 27582167, se </w:t>
      </w:r>
      <w:proofErr w:type="spellStart"/>
      <w:r w:rsidRPr="009D5B7E">
        <w:rPr>
          <w:rFonts w:ascii="Calibri" w:hAnsi="Calibri" w:cs="Calibri"/>
          <w:sz w:val="20"/>
          <w:szCs w:val="18"/>
        </w:rPr>
        <w:t>sídlem</w:t>
      </w:r>
      <w:proofErr w:type="spellEnd"/>
      <w:r w:rsidRPr="009D5B7E">
        <w:rPr>
          <w:rFonts w:ascii="Calibri" w:hAnsi="Calibri" w:cs="Calibri"/>
          <w:sz w:val="20"/>
          <w:szCs w:val="18"/>
        </w:rPr>
        <w:t xml:space="preserve">: Praha </w:t>
      </w:r>
      <w:r w:rsidR="005408F9" w:rsidRPr="009D5B7E">
        <w:rPr>
          <w:rFonts w:ascii="Calibri" w:hAnsi="Calibri" w:cs="Calibri"/>
          <w:sz w:val="20"/>
          <w:szCs w:val="18"/>
        </w:rPr>
        <w:t>2</w:t>
      </w:r>
      <w:r w:rsidRPr="009D5B7E">
        <w:rPr>
          <w:rFonts w:ascii="Calibri" w:hAnsi="Calibri" w:cs="Calibri"/>
          <w:sz w:val="20"/>
          <w:szCs w:val="18"/>
        </w:rPr>
        <w:t xml:space="preserve">, </w:t>
      </w:r>
      <w:proofErr w:type="spellStart"/>
      <w:r w:rsidR="005408F9" w:rsidRPr="009D5B7E">
        <w:rPr>
          <w:rFonts w:ascii="Calibri" w:hAnsi="Calibri" w:cs="Calibri"/>
          <w:sz w:val="20"/>
          <w:szCs w:val="18"/>
        </w:rPr>
        <w:t>Italská</w:t>
      </w:r>
      <w:proofErr w:type="spellEnd"/>
      <w:r w:rsidR="005408F9" w:rsidRPr="009D5B7E">
        <w:rPr>
          <w:rFonts w:ascii="Calibri" w:hAnsi="Calibri" w:cs="Calibri"/>
          <w:sz w:val="20"/>
          <w:szCs w:val="18"/>
        </w:rPr>
        <w:t xml:space="preserve"> 2581/67</w:t>
      </w:r>
      <w:r w:rsidRPr="009D5B7E">
        <w:rPr>
          <w:rFonts w:ascii="Calibri" w:hAnsi="Calibri" w:cs="Calibri"/>
          <w:sz w:val="20"/>
          <w:szCs w:val="18"/>
        </w:rPr>
        <w:t>, PSČ: 1</w:t>
      </w:r>
      <w:r w:rsidR="005408F9" w:rsidRPr="009D5B7E">
        <w:rPr>
          <w:rFonts w:ascii="Calibri" w:hAnsi="Calibri" w:cs="Calibri"/>
          <w:sz w:val="20"/>
          <w:szCs w:val="18"/>
        </w:rPr>
        <w:t>20</w:t>
      </w:r>
      <w:r w:rsidR="00B53802" w:rsidRPr="009D5B7E">
        <w:rPr>
          <w:rFonts w:ascii="Calibri" w:hAnsi="Calibri" w:cs="Calibri"/>
          <w:sz w:val="20"/>
          <w:szCs w:val="18"/>
        </w:rPr>
        <w:t xml:space="preserve"> </w:t>
      </w:r>
      <w:r w:rsidRPr="009D5B7E">
        <w:rPr>
          <w:rFonts w:ascii="Calibri" w:hAnsi="Calibri" w:cs="Calibri"/>
          <w:sz w:val="20"/>
          <w:szCs w:val="18"/>
        </w:rPr>
        <w:t xml:space="preserve">00, </w:t>
      </w:r>
      <w:proofErr w:type="spellStart"/>
      <w:r w:rsidRPr="009D5B7E">
        <w:rPr>
          <w:rFonts w:ascii="Calibri" w:hAnsi="Calibri" w:cs="Calibri"/>
          <w:sz w:val="20"/>
          <w:szCs w:val="18"/>
        </w:rPr>
        <w:t>Česká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republika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zapsanou</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obchodním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rejstříku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vedeném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Městským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soudem</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Praze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w:t>
      </w:r>
      <w:proofErr w:type="spellEnd"/>
      <w:r w:rsidRPr="009D5B7E">
        <w:rPr>
          <w:rFonts w:ascii="Calibri" w:hAnsi="Calibri" w:cs="Calibri"/>
          <w:sz w:val="20"/>
          <w:szCs w:val="18"/>
        </w:rPr>
        <w:t xml:space="preserve">.: C 113225 („Deloitte“) a </w:t>
      </w:r>
      <w:proofErr w:type="spellStart"/>
      <w:r w:rsidRPr="009D5B7E">
        <w:rPr>
          <w:rFonts w:ascii="Calibri" w:hAnsi="Calibri" w:cs="Calibri"/>
          <w:sz w:val="20"/>
          <w:szCs w:val="18"/>
        </w:rPr>
        <w:t>adresovaných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subjektu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identifikovanému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tvoří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úplnou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dohodu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a Deloitte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dodávkám</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výsledkům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popsány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příslušném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definovaných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níže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odpovědnostem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Deloitte za </w:t>
      </w:r>
      <w:proofErr w:type="spellStart"/>
      <w:r w:rsidRPr="009D5B7E">
        <w:rPr>
          <w:rFonts w:ascii="Calibri" w:hAnsi="Calibri" w:cs="Calibri"/>
          <w:sz w:val="20"/>
          <w:szCs w:val="18"/>
        </w:rPr>
        <w: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Použitelnost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těchto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vyloučena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omezena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nařízeními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dohodou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Deloitte a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Termíny</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velkými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písmeny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definovány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podmínkách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význam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vymezený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dojde</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rozporu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zněním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těchto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w:t>
      </w:r>
    </w:p>
    <w:p w14:paraId="499C80EF"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r w:rsidRPr="009D5B7E">
        <w:rPr>
          <w:rFonts w:ascii="Calibri" w:hAnsi="Calibri" w:cs="Calibri"/>
          <w:sz w:val="20"/>
          <w:szCs w:val="18"/>
        </w:rPr>
        <w:t xml:space="preserve">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znamená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termín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subjekt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podepsal</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člena</w:t>
      </w:r>
      <w:proofErr w:type="spellEnd"/>
      <w:r w:rsidRPr="009D5B7E">
        <w:rPr>
          <w:rFonts w:ascii="Calibri" w:hAnsi="Calibri" w:cs="Calibri"/>
          <w:sz w:val="20"/>
          <w:szCs w:val="18"/>
        </w:rPr>
        <w:t xml:space="preserve">(y)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identifikováni</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příslušném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prohlašuje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zaručuje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pravomoc</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pověření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podepsat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a (b) </w:t>
      </w:r>
      <w:proofErr w:type="spellStart"/>
      <w:r w:rsidRPr="009D5B7E">
        <w:rPr>
          <w:rFonts w:ascii="Calibri" w:hAnsi="Calibri" w:cs="Calibri"/>
          <w:sz w:val="20"/>
          <w:szCs w:val="18"/>
        </w:rPr>
        <w:t>zavázat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sebe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členy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identifikované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znamená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termín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Oprávněná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existují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Deloitte a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odsouhlasili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mít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užitek</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něj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spoléhat</w:t>
      </w:r>
      <w:proofErr w:type="spellEnd"/>
      <w:r w:rsidRPr="009D5B7E">
        <w:rPr>
          <w:rFonts w:ascii="Calibri" w:hAnsi="Calibri" w:cs="Calibri"/>
          <w:sz w:val="20"/>
          <w:szCs w:val="18"/>
        </w:rPr>
        <w:t xml:space="preserve"> a (b) </w:t>
      </w:r>
      <w:proofErr w:type="spellStart"/>
      <w:r w:rsidRPr="009D5B7E">
        <w:rPr>
          <w:rFonts w:ascii="Calibri" w:hAnsi="Calibri" w:cs="Calibri"/>
          <w:sz w:val="20"/>
          <w:szCs w:val="18"/>
        </w:rPr>
        <w:t>přijaly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ujednání</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jak je </w:t>
      </w:r>
      <w:proofErr w:type="spellStart"/>
      <w:r w:rsidRPr="009D5B7E">
        <w:rPr>
          <w:rFonts w:ascii="Calibri" w:hAnsi="Calibri" w:cs="Calibri"/>
          <w:sz w:val="20"/>
          <w:szCs w:val="18"/>
        </w:rPr>
        <w:t>podrobně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specifikováno</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25 </w:t>
      </w:r>
      <w:proofErr w:type="spellStart"/>
      <w:r w:rsidRPr="009D5B7E">
        <w:rPr>
          <w:rFonts w:ascii="Calibri" w:hAnsi="Calibri" w:cs="Calibri"/>
          <w:sz w:val="20"/>
          <w:szCs w:val="18"/>
        </w:rPr>
        <w:t>níže</w:t>
      </w:r>
      <w:proofErr w:type="spellEnd"/>
      <w:r w:rsidRPr="009D5B7E">
        <w:rPr>
          <w:rFonts w:ascii="Calibri" w:hAnsi="Calibri" w:cs="Calibri"/>
          <w:sz w:val="20"/>
          <w:szCs w:val="18"/>
        </w:rPr>
        <w:t xml:space="preserve">, ale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Oprávněná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Termín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Příjemce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znamená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Oprávněné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osoby</w:t>
      </w:r>
      <w:proofErr w:type="spellEnd"/>
      <w:r w:rsidRPr="009D5B7E">
        <w:rPr>
          <w:rFonts w:ascii="Calibri" w:hAnsi="Calibri" w:cs="Calibri"/>
          <w:sz w:val="20"/>
          <w:szCs w:val="18"/>
        </w:rPr>
        <w:t>,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u </w:t>
      </w:r>
      <w:proofErr w:type="spellStart"/>
      <w:r w:rsidRPr="009D5B7E">
        <w:rPr>
          <w:rFonts w:ascii="Calibri" w:hAnsi="Calibri" w:cs="Calibri"/>
          <w:sz w:val="20"/>
          <w:szCs w:val="18"/>
        </w:rPr>
        <w:t>nichž</w:t>
      </w:r>
      <w:proofErr w:type="spellEnd"/>
      <w:r w:rsidRPr="009D5B7E">
        <w:rPr>
          <w:rFonts w:ascii="Calibri" w:hAnsi="Calibri" w:cs="Calibri"/>
          <w:sz w:val="20"/>
          <w:szCs w:val="18"/>
        </w:rPr>
        <w:t xml:space="preserve"> Deloitte a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odsouhlasili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mít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přístup</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části</w:t>
      </w:r>
      <w:proofErr w:type="spellEnd"/>
      <w:r w:rsidRPr="009D5B7E">
        <w:rPr>
          <w:rFonts w:ascii="Calibri" w:hAnsi="Calibri" w:cs="Calibri"/>
          <w:sz w:val="20"/>
          <w:szCs w:val="18"/>
        </w:rPr>
        <w:t xml:space="preserve">) a (b) </w:t>
      </w:r>
      <w:proofErr w:type="spellStart"/>
      <w:r w:rsidRPr="009D5B7E">
        <w:rPr>
          <w:rFonts w:ascii="Calibri" w:hAnsi="Calibri" w:cs="Calibri"/>
          <w:sz w:val="20"/>
          <w:szCs w:val="18"/>
        </w:rPr>
        <w:t>přijaly</w:t>
      </w:r>
      <w:proofErr w:type="spellEnd"/>
      <w:r w:rsidRPr="009D5B7E">
        <w:rPr>
          <w:rFonts w:ascii="Calibri" w:hAnsi="Calibri" w:cs="Calibri"/>
          <w:sz w:val="20"/>
          <w:szCs w:val="18"/>
        </w:rPr>
        <w:t xml:space="preserve"> ty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Deloitte v </w:t>
      </w:r>
      <w:proofErr w:type="spellStart"/>
      <w:r w:rsidRPr="009D5B7E">
        <w:rPr>
          <w:rFonts w:ascii="Calibri" w:hAnsi="Calibri" w:cs="Calibri"/>
          <w:sz w:val="20"/>
          <w:szCs w:val="18"/>
        </w:rPr>
        <w:t>jednotlivých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případech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požaduje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Příjemce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140B226D"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zadat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zajištění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jakýchkoli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třetí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subdodavateli</w:t>
      </w:r>
      <w:proofErr w:type="spellEnd"/>
      <w:r w:rsidRPr="009D5B7E">
        <w:rPr>
          <w:rFonts w:ascii="Calibri" w:hAnsi="Calibri" w:cs="Calibri"/>
          <w:i/>
          <w:sz w:val="20"/>
          <w:szCs w:val="18"/>
        </w:rPr>
        <w:t xml:space="preserve"> </w:t>
      </w:r>
      <w:r w:rsidRPr="009D5B7E">
        <w:rPr>
          <w:rFonts w:ascii="Calibri" w:hAnsi="Calibri" w:cs="Calibri"/>
          <w:sz w:val="20"/>
          <w:szCs w:val="18"/>
        </w:rPr>
        <w:t>(</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pouze</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subjektem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smluvně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zavázal</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poskytování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Každá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nezávislou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nich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zprostředkovatelem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distributorem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zaměstnavatelem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partnerem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zmocněncem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společníkem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podniku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spoluvlastníkem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zástupcem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ani za </w:t>
      </w:r>
      <w:proofErr w:type="spellStart"/>
      <w:r w:rsidRPr="009D5B7E">
        <w:rPr>
          <w:rFonts w:ascii="Calibri" w:hAnsi="Calibri" w:cs="Calibri"/>
          <w:sz w:val="20"/>
          <w:szCs w:val="18"/>
        </w:rPr>
        <w:t>něj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považována</w:t>
      </w:r>
      <w:proofErr w:type="spellEnd"/>
      <w:r w:rsidRPr="009D5B7E">
        <w:rPr>
          <w:rFonts w:ascii="Calibri" w:hAnsi="Calibri" w:cs="Calibri"/>
          <w:sz w:val="20"/>
          <w:szCs w:val="18"/>
        </w:rPr>
        <w:t xml:space="preserve">. </w:t>
      </w:r>
    </w:p>
    <w:p w14:paraId="0A345BA9"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zůstává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poskytovaných</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Tudíž</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maximálním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přípustném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platného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nemá</w:t>
      </w:r>
      <w:proofErr w:type="spellEnd"/>
      <w:r w:rsidRPr="009D5B7E" w:rsidDel="00E80251">
        <w:rPr>
          <w:rFonts w:ascii="Calibri" w:hAnsi="Calibri" w:cs="Calibri"/>
          <w:sz w:val="20"/>
          <w:szCs w:val="18"/>
        </w:rPr>
        <w:t xml:space="preserve"> </w:t>
      </w:r>
      <w:r w:rsidRPr="009D5B7E">
        <w:rPr>
          <w:rFonts w:ascii="Calibri" w:hAnsi="Calibri" w:cs="Calibri"/>
          <w:sz w:val="20"/>
          <w:szCs w:val="18"/>
        </w:rPr>
        <w:t xml:space="preserve">(a)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kromě</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(b)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nevznese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w:t>
      </w:r>
      <w:proofErr w:type="spellEnd"/>
      <w:r w:rsidRPr="009D5B7E">
        <w:rPr>
          <w:rFonts w:ascii="Calibri" w:hAnsi="Calibri" w:cs="Calibri"/>
          <w:sz w:val="20"/>
          <w:szCs w:val="18"/>
        </w:rPr>
        <w:t xml:space="preserve"> ani </w:t>
      </w:r>
      <w:proofErr w:type="spellStart"/>
      <w:r w:rsidRPr="009D5B7E">
        <w:rPr>
          <w:rFonts w:ascii="Calibri" w:hAnsi="Calibri" w:cs="Calibri"/>
          <w:sz w:val="20"/>
          <w:szCs w:val="18"/>
        </w:rPr>
        <w:t>nezahájí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ať</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jde</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občanskoprávní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delikt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porušení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povinnosti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záležitost</w:t>
      </w:r>
      <w:proofErr w:type="spellEnd"/>
      <w:r w:rsidRPr="009D5B7E">
        <w:rPr>
          <w:rFonts w:ascii="Calibri" w:hAnsi="Calibri" w:cs="Calibri"/>
          <w:sz w:val="20"/>
          <w:szCs w:val="18"/>
        </w:rPr>
        <w:t xml:space="preserve">, a to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žaloby</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nedbalost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způsobem</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ohledem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kromě</w:t>
      </w:r>
      <w:proofErr w:type="spellEnd"/>
      <w:r w:rsidRPr="009D5B7E">
        <w:rPr>
          <w:rFonts w:ascii="Calibri" w:hAnsi="Calibri" w:cs="Calibri"/>
          <w:sz w:val="20"/>
          <w:szCs w:val="18"/>
        </w:rPr>
        <w:t xml:space="preserve"> Deloitte) a (c)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zároveň</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zajistí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nevznese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w:t>
      </w:r>
      <w:proofErr w:type="spellEnd"/>
      <w:r w:rsidRPr="009D5B7E">
        <w:rPr>
          <w:rFonts w:ascii="Calibri" w:hAnsi="Calibri" w:cs="Calibri"/>
          <w:sz w:val="20"/>
          <w:szCs w:val="18"/>
        </w:rPr>
        <w:t xml:space="preserve"> ani </w:t>
      </w:r>
      <w:proofErr w:type="spellStart"/>
      <w:r w:rsidRPr="009D5B7E">
        <w:rPr>
          <w:rFonts w:ascii="Calibri" w:hAnsi="Calibri" w:cs="Calibri"/>
          <w:sz w:val="20"/>
          <w:szCs w:val="18"/>
        </w:rPr>
        <w:t>nezahájí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ať</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jde</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občanskoprávní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delikt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porušení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povinnosti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záležitost</w:t>
      </w:r>
      <w:proofErr w:type="spellEnd"/>
      <w:r w:rsidRPr="009D5B7E">
        <w:rPr>
          <w:rFonts w:ascii="Calibri" w:hAnsi="Calibri" w:cs="Calibri"/>
          <w:sz w:val="20"/>
          <w:szCs w:val="18"/>
        </w:rPr>
        <w:t xml:space="preserve">, a to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žaloby</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nedbalost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jakýmkoli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způsobem</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ohledem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Žádný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jednotlivý</w:t>
      </w:r>
      <w:proofErr w:type="spellEnd"/>
      <w:r w:rsidRPr="009D5B7E">
        <w:rPr>
          <w:rFonts w:ascii="Calibri" w:hAnsi="Calibri" w:cs="Calibri"/>
          <w:sz w:val="20"/>
          <w:szCs w:val="18"/>
        </w:rPr>
        <w:t xml:space="preserve"> partner ani </w:t>
      </w:r>
      <w:proofErr w:type="spellStart"/>
      <w:r w:rsidRPr="009D5B7E">
        <w:rPr>
          <w:rFonts w:ascii="Calibri" w:hAnsi="Calibri" w:cs="Calibri"/>
          <w:sz w:val="20"/>
          <w:szCs w:val="18"/>
        </w:rPr>
        <w:t>zaměstnanec</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nepřevezme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sám</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sebe</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lastRenderedPageBreak/>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nevznese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jakémukoli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jednotlivému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partnerovi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zaměstnanci</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jelikož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zůstává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jednání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opomenutí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poskytovaným</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15AD0E61" w14:textId="77777777" w:rsidR="000A7DF6" w:rsidRPr="009D5B7E" w:rsidRDefault="000A7DF6" w:rsidP="000A7DF6">
      <w:pPr>
        <w:numPr>
          <w:ilvl w:val="0"/>
          <w:numId w:val="11"/>
        </w:numPr>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Pod </w:t>
      </w:r>
      <w:proofErr w:type="spellStart"/>
      <w:r w:rsidRPr="009D5B7E">
        <w:rPr>
          <w:rFonts w:ascii="Calibri" w:hAnsi="Calibri" w:cs="Calibri"/>
          <w:sz w:val="20"/>
          <w:szCs w:val="18"/>
        </w:rPr>
        <w:t>pojmem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se </w:t>
      </w:r>
      <w:proofErr w:type="spellStart"/>
      <w:r w:rsidRPr="009D5B7E">
        <w:rPr>
          <w:rFonts w:ascii="Calibri" w:hAnsi="Calibri" w:cs="Calibri"/>
          <w:sz w:val="20"/>
          <w:szCs w:val="18"/>
        </w:rPr>
        <w:t>rozumí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Touche</w:t>
      </w:r>
      <w:proofErr w:type="spellEnd"/>
      <w:r w:rsidRPr="009D5B7E">
        <w:rPr>
          <w:rFonts w:ascii="Calibri" w:hAnsi="Calibri" w:cs="Calibri"/>
          <w:sz w:val="20"/>
          <w:szCs w:val="18"/>
        </w:rPr>
        <w:t xml:space="preserve"> Tohmatsu Limited,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ručením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omezeným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zárukou</w:t>
      </w:r>
      <w:proofErr w:type="spellEnd"/>
      <w:r w:rsidRPr="009D5B7E">
        <w:rPr>
          <w:rFonts w:ascii="Calibri" w:hAnsi="Calibri" w:cs="Calibri"/>
          <w:sz w:val="20"/>
          <w:szCs w:val="18"/>
        </w:rPr>
        <w:t xml:space="preserve"> („private company limited by guarantee“) </w:t>
      </w:r>
      <w:proofErr w:type="spellStart"/>
      <w:r w:rsidRPr="009D5B7E">
        <w:rPr>
          <w:rFonts w:ascii="Calibri" w:hAnsi="Calibri" w:cs="Calibri"/>
          <w:sz w:val="20"/>
          <w:szCs w:val="18"/>
        </w:rPr>
        <w:t>založené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Spojeného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království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Velké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Británie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Severního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Irska</w:t>
      </w:r>
      <w:proofErr w:type="spellEnd"/>
      <w:r w:rsidRPr="009D5B7E">
        <w:rPr>
          <w:rFonts w:ascii="Calibri" w:hAnsi="Calibri" w:cs="Calibri"/>
          <w:sz w:val="20"/>
          <w:szCs w:val="18"/>
        </w:rPr>
        <w:t xml:space="preserve"> („DTTL“), </w:t>
      </w:r>
      <w:proofErr w:type="spellStart"/>
      <w:r w:rsidRPr="009D5B7E">
        <w:rPr>
          <w:rFonts w:ascii="Calibri" w:hAnsi="Calibri" w:cs="Calibri"/>
          <w:sz w:val="20"/>
          <w:szCs w:val="18"/>
        </w:rPr>
        <w:t>její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členské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firmy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příslušné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dceřiné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přidružené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předchůdci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nástupci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postupníci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všichni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partneři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vedoucí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vlastníci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ředitelé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zaměstnanci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zástupci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těchto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-li v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DTTL ani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jejích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členských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navzájem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nenesou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jednání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opomenutí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ostatních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členských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Každá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členská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firma</w:t>
      </w:r>
      <w:proofErr w:type="spellEnd"/>
      <w:r w:rsidRPr="009D5B7E">
        <w:rPr>
          <w:rFonts w:ascii="Calibri" w:hAnsi="Calibri" w:cs="Calibri"/>
          <w:sz w:val="20"/>
          <w:szCs w:val="18"/>
        </w:rPr>
        <w:t xml:space="preserve"> DTTL je </w:t>
      </w:r>
      <w:proofErr w:type="spellStart"/>
      <w:r w:rsidRPr="009D5B7E">
        <w:rPr>
          <w:rFonts w:ascii="Calibri" w:hAnsi="Calibri" w:cs="Calibri"/>
          <w:sz w:val="20"/>
          <w:szCs w:val="18"/>
        </w:rPr>
        <w:t>oddělenou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nezávislou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právnickou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působící</w:t>
      </w:r>
      <w:proofErr w:type="spellEnd"/>
      <w:r w:rsidRPr="009D5B7E">
        <w:rPr>
          <w:rFonts w:ascii="Calibri" w:hAnsi="Calibri" w:cs="Calibri"/>
          <w:sz w:val="20"/>
          <w:szCs w:val="18"/>
        </w:rPr>
        <w:t xml:space="preserve"> pod </w:t>
      </w:r>
      <w:proofErr w:type="spellStart"/>
      <w:r w:rsidRPr="009D5B7E">
        <w:rPr>
          <w:rFonts w:ascii="Calibri" w:hAnsi="Calibri" w:cs="Calibri"/>
          <w:sz w:val="20"/>
          <w:szCs w:val="18"/>
        </w:rPr>
        <w:t>názvem</w:t>
      </w:r>
      <w:proofErr w:type="spellEnd"/>
      <w:r w:rsidRPr="009D5B7E">
        <w:rPr>
          <w:rFonts w:ascii="Calibri" w:hAnsi="Calibri" w:cs="Calibri"/>
          <w:sz w:val="20"/>
          <w:szCs w:val="18"/>
        </w:rPr>
        <w:t xml:space="preserve"> „Deloitte, „Deloitte &amp; </w:t>
      </w:r>
      <w:proofErr w:type="spellStart"/>
      <w:r w:rsidRPr="009D5B7E">
        <w:rPr>
          <w:rFonts w:ascii="Calibri" w:hAnsi="Calibri" w:cs="Calibri"/>
          <w:sz w:val="20"/>
          <w:szCs w:val="18"/>
        </w:rPr>
        <w:t>Touche</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Touche</w:t>
      </w:r>
      <w:proofErr w:type="spellEnd"/>
      <w:r w:rsidRPr="009D5B7E">
        <w:rPr>
          <w:rFonts w:ascii="Calibri" w:hAnsi="Calibri" w:cs="Calibri"/>
          <w:sz w:val="20"/>
          <w:szCs w:val="18"/>
        </w:rPr>
        <w:t xml:space="preserve"> Tohmatsu“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obdobným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názvem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členskými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firmami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dceřinými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přidruženými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podniky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nikoli</w:t>
      </w:r>
      <w:proofErr w:type="spellEnd"/>
      <w:r w:rsidRPr="009D5B7E">
        <w:rPr>
          <w:rFonts w:ascii="Calibri" w:hAnsi="Calibri" w:cs="Calibri"/>
          <w:sz w:val="20"/>
          <w:szCs w:val="18"/>
        </w:rPr>
        <w:t xml:space="preserve"> DTTL. „Deloitte Central Europe“ je </w:t>
      </w:r>
      <w:proofErr w:type="spellStart"/>
      <w:r w:rsidRPr="009D5B7E">
        <w:rPr>
          <w:rFonts w:ascii="Calibri" w:hAnsi="Calibri" w:cs="Calibri"/>
          <w:sz w:val="20"/>
          <w:szCs w:val="18"/>
        </w:rPr>
        <w:t>regionálním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sdružením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subjektů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zastřešených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Central Europe Holdings Limited, </w:t>
      </w:r>
      <w:proofErr w:type="spellStart"/>
      <w:r w:rsidRPr="009D5B7E">
        <w:rPr>
          <w:rFonts w:ascii="Calibri" w:hAnsi="Calibri" w:cs="Calibri"/>
          <w:sz w:val="20"/>
          <w:szCs w:val="18"/>
        </w:rPr>
        <w:t>členskou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firmou</w:t>
      </w:r>
      <w:proofErr w:type="spellEnd"/>
      <w:r w:rsidRPr="009D5B7E">
        <w:rPr>
          <w:rFonts w:ascii="Calibri" w:hAnsi="Calibri" w:cs="Calibri"/>
          <w:sz w:val="20"/>
          <w:szCs w:val="18"/>
        </w:rPr>
        <w:t xml:space="preserve"> DTTL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střední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Evropě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dceřinými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přidruženými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podniky</w:t>
      </w:r>
      <w:proofErr w:type="spellEnd"/>
      <w:r w:rsidRPr="009D5B7E">
        <w:rPr>
          <w:rFonts w:ascii="Calibri" w:hAnsi="Calibri" w:cs="Calibri"/>
          <w:sz w:val="20"/>
          <w:szCs w:val="18"/>
        </w:rPr>
        <w:t xml:space="preserve"> Deloitte Central Europe Holdings Limited,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samostatnými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nezávislými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subjekty</w:t>
      </w:r>
      <w:proofErr w:type="spellEnd"/>
      <w:r w:rsidRPr="009D5B7E">
        <w:rPr>
          <w:rFonts w:ascii="Calibri" w:hAnsi="Calibri" w:cs="Calibri"/>
          <w:sz w:val="20"/>
          <w:szCs w:val="18"/>
        </w:rPr>
        <w:t xml:space="preserve">. </w:t>
      </w:r>
    </w:p>
    <w:p w14:paraId="2B0D6A9E"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Odpovědnosti</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Klienta</w:t>
      </w:r>
      <w:proofErr w:type="spellEnd"/>
      <w:r w:rsidRPr="009D5B7E">
        <w:rPr>
          <w:rFonts w:ascii="Calibri" w:hAnsi="Calibri" w:cs="Calibri"/>
          <w:b/>
          <w:kern w:val="28"/>
          <w:sz w:val="20"/>
          <w:szCs w:val="18"/>
        </w:rPr>
        <w:t xml:space="preserve"> a Deloitte </w:t>
      </w:r>
    </w:p>
    <w:p w14:paraId="3CBFFEE6" w14:textId="77777777" w:rsidR="000A7DF6" w:rsidRPr="009D5B7E" w:rsidRDefault="000A7DF6" w:rsidP="000A7DF6">
      <w:pPr>
        <w:numPr>
          <w:ilvl w:val="0"/>
          <w:numId w:val="15"/>
        </w:numPr>
        <w:spacing w:after="120" w:line="120" w:lineRule="atLeast"/>
        <w:ind w:left="568" w:hanging="284"/>
        <w:jc w:val="both"/>
        <w:rPr>
          <w:rFonts w:ascii="Calibri" w:hAnsi="Calibri" w:cs="Calibri"/>
          <w:b/>
          <w:sz w:val="20"/>
          <w:szCs w:val="18"/>
        </w:rPr>
      </w:pPr>
      <w:proofErr w:type="spellStart"/>
      <w:r w:rsidRPr="009D5B7E">
        <w:rPr>
          <w:rFonts w:ascii="Calibri" w:hAnsi="Calibri" w:cs="Calibri"/>
          <w:b/>
          <w:sz w:val="20"/>
          <w:szCs w:val="18"/>
        </w:rPr>
        <w:t>Odpovědnosti</w:t>
      </w:r>
      <w:proofErr w:type="spellEnd"/>
      <w:r w:rsidRPr="009D5B7E">
        <w:rPr>
          <w:rFonts w:ascii="Calibri" w:hAnsi="Calibri" w:cs="Calibri"/>
          <w:b/>
          <w:sz w:val="20"/>
          <w:szCs w:val="18"/>
        </w:rPr>
        <w:t xml:space="preserve"> </w:t>
      </w:r>
      <w:proofErr w:type="spellStart"/>
      <w:r w:rsidRPr="009D5B7E">
        <w:rPr>
          <w:rFonts w:ascii="Calibri" w:hAnsi="Calibri" w:cs="Calibri"/>
          <w:b/>
          <w:sz w:val="20"/>
          <w:szCs w:val="18"/>
        </w:rPr>
        <w:t>Klienta</w:t>
      </w:r>
      <w:proofErr w:type="spellEnd"/>
    </w:p>
    <w:p w14:paraId="2CA28CAE" w14:textId="77777777" w:rsidR="000A7DF6" w:rsidRPr="009D5B7E" w:rsidRDefault="000A7DF6" w:rsidP="000A7DF6">
      <w:pPr>
        <w:numPr>
          <w:ilvl w:val="0"/>
          <w:numId w:val="10"/>
        </w:numPr>
        <w:tabs>
          <w:tab w:val="left" w:pos="567"/>
        </w:tabs>
        <w:spacing w:after="120" w:line="120" w:lineRule="atLeast"/>
        <w:ind w:left="568" w:right="70" w:hanging="284"/>
        <w:jc w:val="both"/>
        <w:rPr>
          <w:rFonts w:ascii="Calibri" w:hAnsi="Calibri" w:cs="Calibri"/>
          <w:sz w:val="20"/>
          <w:szCs w:val="18"/>
          <w:lang w:val="de-DE"/>
        </w:rPr>
      </w:pPr>
      <w:r w:rsidRPr="009D5B7E">
        <w:rPr>
          <w:rFonts w:ascii="Calibri" w:hAnsi="Calibri" w:cs="Calibri"/>
          <w:sz w:val="20"/>
          <w:szCs w:val="18"/>
          <w:lang w:val="de-DE"/>
        </w:rPr>
        <w:t xml:space="preserve">Klient je </w:t>
      </w:r>
      <w:proofErr w:type="spellStart"/>
      <w:r w:rsidRPr="009D5B7E">
        <w:rPr>
          <w:rFonts w:ascii="Calibri" w:hAnsi="Calibri" w:cs="Calibri"/>
          <w:sz w:val="20"/>
          <w:szCs w:val="18"/>
          <w:lang w:val="de-DE"/>
        </w:rPr>
        <w:t>odpovědný</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stanovení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rozsahu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poskytne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součinnost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společnosti</w:t>
      </w:r>
      <w:proofErr w:type="spellEnd"/>
      <w:r w:rsidRPr="009D5B7E">
        <w:rPr>
          <w:rFonts w:ascii="Calibri" w:hAnsi="Calibri" w:cs="Calibri"/>
          <w:sz w:val="20"/>
          <w:szCs w:val="18"/>
          <w:lang w:val="de-DE"/>
        </w:rPr>
        <w:t xml:space="preserve"> Deloitte a </w:t>
      </w:r>
      <w:proofErr w:type="spellStart"/>
      <w:r w:rsidRPr="009D5B7E">
        <w:rPr>
          <w:rFonts w:ascii="Calibri" w:hAnsi="Calibri" w:cs="Calibri"/>
          <w:sz w:val="20"/>
          <w:szCs w:val="18"/>
          <w:lang w:val="de-DE"/>
        </w:rPr>
        <w:t>jejím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Subdodavatelům</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souvislosti</w:t>
      </w:r>
      <w:proofErr w:type="spellEnd"/>
      <w:r w:rsidRPr="009D5B7E">
        <w:rPr>
          <w:rFonts w:ascii="Calibri" w:hAnsi="Calibri" w:cs="Calibri"/>
          <w:sz w:val="20"/>
          <w:szCs w:val="18"/>
          <w:lang w:val="de-DE"/>
        </w:rPr>
        <w:t xml:space="preserve"> s </w:t>
      </w:r>
      <w:proofErr w:type="spellStart"/>
      <w:r w:rsidRPr="009D5B7E">
        <w:rPr>
          <w:rFonts w:ascii="Calibri" w:hAnsi="Calibri" w:cs="Calibri"/>
          <w:sz w:val="20"/>
          <w:szCs w:val="18"/>
          <w:lang w:val="de-DE"/>
        </w:rPr>
        <w:t>poskytováním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mj</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společnosti</w:t>
      </w:r>
      <w:proofErr w:type="spellEnd"/>
      <w:r w:rsidRPr="009D5B7E">
        <w:rPr>
          <w:rFonts w:ascii="Calibri" w:hAnsi="Calibri" w:cs="Calibri"/>
          <w:sz w:val="20"/>
          <w:szCs w:val="18"/>
          <w:lang w:val="de-DE"/>
        </w:rPr>
        <w:t xml:space="preserve"> Deloitte a </w:t>
      </w:r>
      <w:proofErr w:type="spellStart"/>
      <w:r w:rsidRPr="009D5B7E">
        <w:rPr>
          <w:rFonts w:ascii="Calibri" w:hAnsi="Calibri" w:cs="Calibri"/>
          <w:sz w:val="20"/>
          <w:szCs w:val="18"/>
          <w:lang w:val="de-DE"/>
        </w:rPr>
        <w:t>jejím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Subdodavatelům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přiměřeného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zařízení</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včasného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přístupu</w:t>
      </w:r>
      <w:proofErr w:type="spellEnd"/>
      <w:r w:rsidRPr="009D5B7E">
        <w:rPr>
          <w:rFonts w:ascii="Calibri" w:hAnsi="Calibri" w:cs="Calibri"/>
          <w:sz w:val="20"/>
          <w:szCs w:val="18"/>
          <w:lang w:val="de-DE"/>
        </w:rPr>
        <w:t xml:space="preserve"> k </w:t>
      </w:r>
      <w:proofErr w:type="spellStart"/>
      <w:r w:rsidRPr="009D5B7E">
        <w:rPr>
          <w:rFonts w:ascii="Calibri" w:hAnsi="Calibri" w:cs="Calibri"/>
          <w:sz w:val="20"/>
          <w:szCs w:val="18"/>
          <w:lang w:val="de-DE"/>
        </w:rPr>
        <w:t>údajům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systémům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prostorám</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skupiny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osob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jejichž</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součinnost</w:t>
      </w:r>
      <w:proofErr w:type="spellEnd"/>
      <w:r w:rsidRPr="009D5B7E">
        <w:rPr>
          <w:rFonts w:ascii="Calibri" w:hAnsi="Calibri" w:cs="Calibri"/>
          <w:sz w:val="20"/>
          <w:szCs w:val="18"/>
          <w:lang w:val="de-DE"/>
        </w:rPr>
        <w:t xml:space="preserve"> je </w:t>
      </w:r>
      <w:proofErr w:type="spellStart"/>
      <w:r w:rsidRPr="009D5B7E">
        <w:rPr>
          <w:rFonts w:ascii="Calibri" w:hAnsi="Calibri" w:cs="Calibri"/>
          <w:sz w:val="20"/>
          <w:szCs w:val="18"/>
          <w:lang w:val="de-DE"/>
        </w:rPr>
        <w:t>nezbytná</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jež</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příslušné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dovednosti</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zkušenosti</w:t>
      </w:r>
      <w:proofErr w:type="spellEnd"/>
      <w:r w:rsidRPr="009D5B7E">
        <w:rPr>
          <w:rFonts w:ascii="Calibri" w:hAnsi="Calibri" w:cs="Calibri"/>
          <w:sz w:val="20"/>
          <w:szCs w:val="18"/>
          <w:lang w:val="de-DE"/>
        </w:rPr>
        <w:t xml:space="preserve"> pro </w:t>
      </w:r>
      <w:proofErr w:type="spellStart"/>
      <w:r w:rsidRPr="009D5B7E">
        <w:rPr>
          <w:rFonts w:ascii="Calibri" w:hAnsi="Calibri" w:cs="Calibri"/>
          <w:sz w:val="20"/>
          <w:szCs w:val="18"/>
          <w:lang w:val="de-DE"/>
        </w:rPr>
        <w:t>poskytování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bude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odpovědný</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řízení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takového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jeho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výkonnost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časových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harmonogramů</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kvality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jejich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vstupů</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práce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vyžaduje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aby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měla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přístup</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webové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stránky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fórum</w:t>
      </w:r>
      <w:proofErr w:type="spellEnd"/>
      <w:r w:rsidRPr="009D5B7E">
        <w:rPr>
          <w:rFonts w:ascii="Calibri" w:hAnsi="Calibri" w:cs="Calibri"/>
          <w:sz w:val="20"/>
          <w:szCs w:val="18"/>
          <w:lang w:val="de-DE"/>
        </w:rPr>
        <w:t xml:space="preserve"> pro </w:t>
      </w:r>
      <w:proofErr w:type="spellStart"/>
      <w:r w:rsidRPr="009D5B7E">
        <w:rPr>
          <w:rFonts w:ascii="Calibri" w:hAnsi="Calibri" w:cs="Calibri"/>
          <w:sz w:val="20"/>
          <w:szCs w:val="18"/>
          <w:lang w:val="de-DE"/>
        </w:rPr>
        <w:t>sdílení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elektronických</w:t>
      </w:r>
      <w:proofErr w:type="spellEnd"/>
      <w:r w:rsidRPr="009D5B7E">
        <w:rPr>
          <w:rFonts w:ascii="Calibri" w:hAnsi="Calibri" w:cs="Calibri"/>
          <w:sz w:val="20"/>
          <w:szCs w:val="18"/>
          <w:lang w:val="de-DE"/>
        </w:rPr>
        <w:t xml:space="preserve"> dat </w:t>
      </w:r>
      <w:proofErr w:type="spellStart"/>
      <w:r w:rsidRPr="009D5B7E">
        <w:rPr>
          <w:rFonts w:ascii="Calibri" w:hAnsi="Calibri" w:cs="Calibri"/>
          <w:sz w:val="20"/>
          <w:szCs w:val="18"/>
          <w:lang w:val="de-DE"/>
        </w:rPr>
        <w:t>ve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vztahu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Službám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jež</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být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projedná</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odsouhlasí</w:t>
      </w:r>
      <w:proofErr w:type="spellEnd"/>
      <w:r w:rsidRPr="009D5B7E">
        <w:rPr>
          <w:rFonts w:ascii="Calibri" w:hAnsi="Calibri" w:cs="Calibri"/>
          <w:sz w:val="20"/>
          <w:szCs w:val="18"/>
          <w:lang w:val="de-DE"/>
        </w:rPr>
        <w:t xml:space="preserve"> se </w:t>
      </w:r>
      <w:proofErr w:type="spellStart"/>
      <w:r w:rsidRPr="009D5B7E">
        <w:rPr>
          <w:rFonts w:ascii="Calibri" w:hAnsi="Calibri" w:cs="Calibri"/>
          <w:sz w:val="20"/>
          <w:szCs w:val="18"/>
          <w:lang w:val="de-DE"/>
        </w:rPr>
        <w:t>společností</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konkrétní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oblasti</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u </w:t>
      </w:r>
      <w:proofErr w:type="spellStart"/>
      <w:r w:rsidRPr="009D5B7E">
        <w:rPr>
          <w:rFonts w:ascii="Calibri" w:hAnsi="Calibri" w:cs="Calibri"/>
          <w:sz w:val="20"/>
          <w:szCs w:val="18"/>
          <w:lang w:val="de-DE"/>
        </w:rPr>
        <w:t>nichž</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vyžaduje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aby</w:t>
      </w:r>
      <w:proofErr w:type="spellEnd"/>
      <w:r w:rsidRPr="009D5B7E">
        <w:rPr>
          <w:rFonts w:ascii="Calibri" w:hAnsi="Calibri" w:cs="Calibri"/>
          <w:sz w:val="20"/>
          <w:szCs w:val="18"/>
          <w:lang w:val="de-DE"/>
        </w:rPr>
        <w:t xml:space="preserve"> se s </w:t>
      </w:r>
      <w:proofErr w:type="spellStart"/>
      <w:r w:rsidRPr="009D5B7E">
        <w:rPr>
          <w:rFonts w:ascii="Calibri" w:hAnsi="Calibri" w:cs="Calibri"/>
          <w:sz w:val="20"/>
          <w:szCs w:val="18"/>
          <w:lang w:val="de-DE"/>
        </w:rPr>
        <w:t>nimi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obeznámila</w:t>
      </w:r>
      <w:proofErr w:type="spellEnd"/>
      <w:r w:rsidRPr="009D5B7E">
        <w:rPr>
          <w:rFonts w:ascii="Calibri" w:hAnsi="Calibri" w:cs="Calibri"/>
          <w:sz w:val="20"/>
          <w:szCs w:val="18"/>
          <w:lang w:val="de-DE"/>
        </w:rPr>
        <w:t xml:space="preserve">. Klient je </w:t>
      </w:r>
      <w:proofErr w:type="spellStart"/>
      <w:r w:rsidRPr="009D5B7E">
        <w:rPr>
          <w:rFonts w:ascii="Calibri" w:hAnsi="Calibri" w:cs="Calibri"/>
          <w:sz w:val="20"/>
          <w:szCs w:val="18"/>
          <w:lang w:val="de-DE"/>
        </w:rPr>
        <w:t>odpovědný</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činnost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svého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zástupců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včasnost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přesnost</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úplnost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údajů</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informací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finančních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informací</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výkazů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společnosti</w:t>
      </w:r>
      <w:proofErr w:type="spellEnd"/>
      <w:r w:rsidRPr="009D5B7E">
        <w:rPr>
          <w:rFonts w:ascii="Calibri" w:hAnsi="Calibri" w:cs="Calibri"/>
          <w:sz w:val="20"/>
          <w:szCs w:val="18"/>
          <w:lang w:val="de-DE"/>
        </w:rPr>
        <w:t xml:space="preserve"> Deloitte a </w:t>
      </w:r>
      <w:proofErr w:type="spellStart"/>
      <w:r w:rsidRPr="009D5B7E">
        <w:rPr>
          <w:rFonts w:ascii="Calibri" w:hAnsi="Calibri" w:cs="Calibri"/>
          <w:sz w:val="20"/>
          <w:szCs w:val="18"/>
          <w:lang w:val="de-DE"/>
        </w:rPr>
        <w:t>jejím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Subdodavatelům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skupinou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jménem</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implementaci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stanovisek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zpráv</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výsledků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práce</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jakékoli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formě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společností</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jménem</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jejími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jejich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jménem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součást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se Klient </w:t>
      </w:r>
      <w:proofErr w:type="spellStart"/>
      <w:r w:rsidRPr="009D5B7E">
        <w:rPr>
          <w:rFonts w:ascii="Calibri" w:hAnsi="Calibri" w:cs="Calibri"/>
          <w:sz w:val="20"/>
          <w:szCs w:val="18"/>
          <w:lang w:val="de-DE"/>
        </w:rPr>
        <w:t>dozví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že</w:t>
      </w:r>
      <w:proofErr w:type="spellEnd"/>
      <w:r w:rsidRPr="009D5B7E">
        <w:rPr>
          <w:rFonts w:ascii="Calibri" w:hAnsi="Calibri" w:cs="Calibri"/>
          <w:sz w:val="20"/>
          <w:szCs w:val="18"/>
          <w:lang w:val="de-DE"/>
        </w:rPr>
        <w:t xml:space="preserve"> je </w:t>
      </w:r>
      <w:proofErr w:type="spellStart"/>
      <w:r w:rsidRPr="009D5B7E">
        <w:rPr>
          <w:rFonts w:ascii="Calibri" w:hAnsi="Calibri" w:cs="Calibri"/>
          <w:sz w:val="20"/>
          <w:szCs w:val="18"/>
          <w:lang w:val="de-DE"/>
        </w:rPr>
        <w:t>jakákoli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nepravdivá</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zavádějící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bude</w:t>
      </w:r>
      <w:proofErr w:type="spellEnd"/>
      <w:r w:rsidRPr="009D5B7E">
        <w:rPr>
          <w:rFonts w:ascii="Calibri" w:hAnsi="Calibri" w:cs="Calibri"/>
          <w:sz w:val="20"/>
          <w:szCs w:val="18"/>
          <w:lang w:val="de-DE"/>
        </w:rPr>
        <w:t xml:space="preserve"> o </w:t>
      </w:r>
      <w:proofErr w:type="spellStart"/>
      <w:r w:rsidRPr="009D5B7E">
        <w:rPr>
          <w:rFonts w:ascii="Calibri" w:hAnsi="Calibri" w:cs="Calibri"/>
          <w:sz w:val="20"/>
          <w:szCs w:val="18"/>
          <w:lang w:val="de-DE"/>
        </w:rPr>
        <w:t>takové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skutečnosti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bezodkladně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informovat</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Společnost</w:t>
      </w:r>
      <w:proofErr w:type="spellEnd"/>
      <w:r w:rsidRPr="009D5B7E">
        <w:rPr>
          <w:rFonts w:ascii="Calibri" w:hAnsi="Calibri" w:cs="Calibri"/>
          <w:sz w:val="20"/>
          <w:szCs w:val="18"/>
          <w:lang w:val="de-DE"/>
        </w:rPr>
        <w:t xml:space="preserve"> Deloitte a </w:t>
      </w:r>
      <w:proofErr w:type="spellStart"/>
      <w:r w:rsidRPr="009D5B7E">
        <w:rPr>
          <w:rFonts w:ascii="Calibri" w:hAnsi="Calibri" w:cs="Calibri"/>
          <w:sz w:val="20"/>
          <w:szCs w:val="18"/>
          <w:lang w:val="de-DE"/>
        </w:rPr>
        <w:t>její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mohou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používat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údaje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dodané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Klientem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jinými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osobami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identifikovanými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Klientem</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spoléhat</w:t>
      </w:r>
      <w:proofErr w:type="spellEnd"/>
      <w:r w:rsidRPr="009D5B7E">
        <w:rPr>
          <w:rFonts w:ascii="Calibri" w:hAnsi="Calibri" w:cs="Calibri"/>
          <w:sz w:val="20"/>
          <w:szCs w:val="18"/>
          <w:lang w:val="de-DE"/>
        </w:rPr>
        <w:t xml:space="preserve"> se na </w:t>
      </w:r>
      <w:proofErr w:type="spellStart"/>
      <w:r w:rsidRPr="009D5B7E">
        <w:rPr>
          <w:rFonts w:ascii="Calibri" w:hAnsi="Calibri" w:cs="Calibri"/>
          <w:sz w:val="20"/>
          <w:szCs w:val="18"/>
          <w:lang w:val="de-DE"/>
        </w:rPr>
        <w: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bez</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ověření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Poskytování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závisí</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včasném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plnění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odpovědností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strany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podle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této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Smlouvy</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včasných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rozhodnutích</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schváleních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souvislosti</w:t>
      </w:r>
      <w:proofErr w:type="spellEnd"/>
      <w:r w:rsidRPr="009D5B7E">
        <w:rPr>
          <w:rFonts w:ascii="Calibri" w:hAnsi="Calibri" w:cs="Calibri"/>
          <w:sz w:val="20"/>
          <w:szCs w:val="18"/>
          <w:lang w:val="de-DE"/>
        </w:rPr>
        <w:t xml:space="preserve"> se </w:t>
      </w:r>
      <w:proofErr w:type="spellStart"/>
      <w:r w:rsidRPr="009D5B7E">
        <w:rPr>
          <w:rFonts w:ascii="Calibri" w:hAnsi="Calibri" w:cs="Calibri"/>
          <w:sz w:val="20"/>
          <w:szCs w:val="18"/>
          <w:lang w:val="de-DE"/>
        </w:rPr>
        <w:t>Službami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w:t>
      </w:r>
      <w:proofErr w:type="spellEnd"/>
      <w:r w:rsidRPr="009D5B7E">
        <w:rPr>
          <w:rFonts w:ascii="Calibri" w:hAnsi="Calibri" w:cs="Calibri"/>
          <w:sz w:val="20"/>
          <w:szCs w:val="18"/>
          <w:lang w:val="de-DE"/>
        </w:rPr>
        <w:t xml:space="preserve"> Deloitte a </w:t>
      </w:r>
      <w:proofErr w:type="spellStart"/>
      <w:r w:rsidRPr="009D5B7E">
        <w:rPr>
          <w:rFonts w:ascii="Calibri" w:hAnsi="Calibri" w:cs="Calibri"/>
          <w:sz w:val="20"/>
          <w:szCs w:val="18"/>
          <w:lang w:val="de-DE"/>
        </w:rPr>
        <w:t>její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Subdodavatelé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právo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spoléhat</w:t>
      </w:r>
      <w:proofErr w:type="spellEnd"/>
      <w:r w:rsidRPr="009D5B7E">
        <w:rPr>
          <w:rFonts w:ascii="Calibri" w:hAnsi="Calibri" w:cs="Calibri"/>
          <w:sz w:val="20"/>
          <w:szCs w:val="18"/>
          <w:lang w:val="de-DE"/>
        </w:rPr>
        <w:t xml:space="preserve"> se na </w:t>
      </w:r>
      <w:proofErr w:type="spellStart"/>
      <w:r w:rsidRPr="009D5B7E">
        <w:rPr>
          <w:rFonts w:ascii="Calibri" w:hAnsi="Calibri" w:cs="Calibri"/>
          <w:sz w:val="20"/>
          <w:szCs w:val="18"/>
          <w:lang w:val="de-DE"/>
        </w:rPr>
        <w:t>všechna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rozhodnutí</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schválení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souhlasí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veškeré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údaje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dokumentace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nezbytné</w:t>
      </w:r>
      <w:proofErr w:type="spellEnd"/>
      <w:r w:rsidRPr="009D5B7E">
        <w:rPr>
          <w:rFonts w:ascii="Calibri" w:hAnsi="Calibri" w:cs="Calibri"/>
          <w:sz w:val="20"/>
          <w:szCs w:val="18"/>
          <w:lang w:val="de-DE"/>
        </w:rPr>
        <w:t xml:space="preserve"> pro </w:t>
      </w:r>
      <w:proofErr w:type="spellStart"/>
      <w:r w:rsidRPr="009D5B7E">
        <w:rPr>
          <w:rFonts w:ascii="Calibri" w:hAnsi="Calibri" w:cs="Calibri"/>
          <w:sz w:val="20"/>
          <w:szCs w:val="18"/>
          <w:lang w:val="de-DE"/>
        </w:rPr>
        <w:t>poskytování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musí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být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přímo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poskytujícímu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Služby</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to</w:t>
      </w:r>
      <w:proofErr w:type="spellEnd"/>
      <w:r w:rsidRPr="009D5B7E">
        <w:rPr>
          <w:rFonts w:ascii="Calibri" w:hAnsi="Calibri" w:cs="Calibri"/>
          <w:sz w:val="20"/>
          <w:szCs w:val="18"/>
          <w:lang w:val="de-DE"/>
        </w:rPr>
        <w:t xml:space="preserve"> i v </w:t>
      </w:r>
      <w:proofErr w:type="spellStart"/>
      <w:r w:rsidRPr="009D5B7E">
        <w:rPr>
          <w:rFonts w:ascii="Calibri" w:hAnsi="Calibri" w:cs="Calibri"/>
          <w:sz w:val="20"/>
          <w:szCs w:val="18"/>
          <w:lang w:val="de-DE"/>
        </w:rPr>
        <w:t>případě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takové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údaje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dokumentace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již</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byly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jinému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Deloitte v </w:t>
      </w:r>
      <w:proofErr w:type="spellStart"/>
      <w:r w:rsidRPr="009D5B7E">
        <w:rPr>
          <w:rFonts w:ascii="Calibri" w:hAnsi="Calibri" w:cs="Calibri"/>
          <w:sz w:val="20"/>
          <w:szCs w:val="18"/>
          <w:lang w:val="de-DE"/>
        </w:rPr>
        <w:t>průběhu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zakázky</w:t>
      </w:r>
      <w:proofErr w:type="spellEnd"/>
      <w:r w:rsidRPr="009D5B7E">
        <w:rPr>
          <w:rFonts w:ascii="Calibri" w:hAnsi="Calibri" w:cs="Calibri"/>
          <w:sz w:val="20"/>
          <w:szCs w:val="18"/>
          <w:lang w:val="de-DE"/>
        </w:rPr>
        <w:t xml:space="preserve">. </w:t>
      </w:r>
    </w:p>
    <w:p w14:paraId="72FBC1DB" w14:textId="77777777" w:rsidR="000A7DF6" w:rsidRPr="009D5B7E" w:rsidRDefault="000A7DF6" w:rsidP="000A7DF6">
      <w:pPr>
        <w:numPr>
          <w:ilvl w:val="0"/>
          <w:numId w:val="10"/>
        </w:numPr>
        <w:tabs>
          <w:tab w:val="left" w:pos="567"/>
        </w:tabs>
        <w:spacing w:after="120" w:line="120" w:lineRule="atLeast"/>
        <w:ind w:left="568" w:right="70" w:hanging="284"/>
        <w:jc w:val="both"/>
        <w:rPr>
          <w:rFonts w:ascii="Calibri" w:hAnsi="Calibri" w:cs="Calibri"/>
          <w:sz w:val="20"/>
          <w:szCs w:val="18"/>
          <w:lang w:val="de-DE"/>
        </w:rPr>
      </w:pPr>
      <w:r w:rsidRPr="009D5B7E">
        <w:rPr>
          <w:rFonts w:ascii="Calibri" w:hAnsi="Calibri" w:cs="Calibri"/>
          <w:sz w:val="20"/>
          <w:szCs w:val="18"/>
          <w:lang w:val="de-DE"/>
        </w:rPr>
        <w:t xml:space="preserve">Klient </w:t>
      </w:r>
      <w:proofErr w:type="spellStart"/>
      <w:r w:rsidRPr="009D5B7E">
        <w:rPr>
          <w:rFonts w:ascii="Calibri" w:hAnsi="Calibri" w:cs="Calibri"/>
          <w:sz w:val="20"/>
          <w:szCs w:val="18"/>
          <w:lang w:val="de-DE"/>
        </w:rPr>
        <w:t>bude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výhradně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odpovědný</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mimo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provádění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manažerských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úsudků</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rozhodnutí</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převzetí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manažerských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odpovědností</w:t>
      </w:r>
      <w:proofErr w:type="spellEnd"/>
      <w:r w:rsidRPr="009D5B7E">
        <w:rPr>
          <w:rFonts w:ascii="Calibri" w:hAnsi="Calibri" w:cs="Calibri"/>
          <w:sz w:val="20"/>
          <w:szCs w:val="18"/>
          <w:lang w:val="de-DE"/>
        </w:rPr>
        <w:t xml:space="preserve">, (B) </w:t>
      </w:r>
      <w:proofErr w:type="spellStart"/>
      <w:r w:rsidRPr="009D5B7E">
        <w:rPr>
          <w:rFonts w:ascii="Calibri" w:hAnsi="Calibri" w:cs="Calibri"/>
          <w:sz w:val="20"/>
          <w:szCs w:val="18"/>
          <w:lang w:val="de-DE"/>
        </w:rPr>
        <w:t>jmenování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osoby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možno</w:t>
      </w:r>
      <w:proofErr w:type="spellEnd"/>
      <w:r w:rsidRPr="009D5B7E">
        <w:rPr>
          <w:rFonts w:ascii="Calibri" w:hAnsi="Calibri" w:cs="Calibri"/>
          <w:sz w:val="20"/>
          <w:szCs w:val="18"/>
          <w:lang w:val="de-DE"/>
        </w:rPr>
        <w:t xml:space="preserve"> z </w:t>
      </w:r>
      <w:proofErr w:type="spellStart"/>
      <w:r w:rsidRPr="009D5B7E">
        <w:rPr>
          <w:rFonts w:ascii="Calibri" w:hAnsi="Calibri" w:cs="Calibri"/>
          <w:sz w:val="20"/>
          <w:szCs w:val="18"/>
          <w:lang w:val="de-DE"/>
        </w:rPr>
        <w:t>řad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vyššího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vedení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která</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bude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odpovědná</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Klientova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rozhodnutí</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bude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dohlížet</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Služby</w:t>
      </w:r>
      <w:proofErr w:type="spellEnd"/>
      <w:r w:rsidRPr="009D5B7E">
        <w:rPr>
          <w:rFonts w:ascii="Calibri" w:hAnsi="Calibri" w:cs="Calibri"/>
          <w:sz w:val="20"/>
          <w:szCs w:val="18"/>
          <w:lang w:val="de-DE"/>
        </w:rPr>
        <w:t xml:space="preserve">, (C) </w:t>
      </w:r>
      <w:proofErr w:type="spellStart"/>
      <w:r w:rsidRPr="009D5B7E">
        <w:rPr>
          <w:rFonts w:ascii="Calibri" w:hAnsi="Calibri" w:cs="Calibri"/>
          <w:sz w:val="20"/>
          <w:szCs w:val="18"/>
          <w:lang w:val="de-DE"/>
        </w:rPr>
        <w:t>provádění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dohledu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nad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Službami</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posuzování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přiměřenosti</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výsledků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(D) </w:t>
      </w:r>
      <w:proofErr w:type="spellStart"/>
      <w:r w:rsidRPr="009D5B7E">
        <w:rPr>
          <w:rFonts w:ascii="Calibri" w:hAnsi="Calibri" w:cs="Calibri"/>
          <w:sz w:val="20"/>
          <w:szCs w:val="18"/>
          <w:lang w:val="de-DE"/>
        </w:rPr>
        <w:t>přijetí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odpovědnosti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případné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kroky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učiněné</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návaznosti</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výsledky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
    <w:p w14:paraId="3F48D5CF" w14:textId="77777777" w:rsidR="000A7DF6" w:rsidRPr="009D5B7E" w:rsidRDefault="000A7DF6" w:rsidP="000A7DF6">
      <w:pPr>
        <w:numPr>
          <w:ilvl w:val="0"/>
          <w:numId w:val="10"/>
        </w:numPr>
        <w:tabs>
          <w:tab w:val="left" w:pos="567"/>
        </w:tabs>
        <w:spacing w:after="120" w:line="120" w:lineRule="atLeast"/>
        <w:ind w:left="568" w:right="70" w:hanging="284"/>
        <w:jc w:val="both"/>
        <w:rPr>
          <w:rFonts w:ascii="Calibri" w:hAnsi="Calibri" w:cs="Calibri"/>
          <w:sz w:val="20"/>
          <w:szCs w:val="18"/>
          <w:lang w:val="de-DE"/>
        </w:rPr>
      </w:pPr>
      <w:proofErr w:type="spellStart"/>
      <w:r w:rsidRPr="009D5B7E">
        <w:rPr>
          <w:rFonts w:ascii="Calibri" w:hAnsi="Calibri" w:cs="Calibri"/>
          <w:sz w:val="20"/>
          <w:szCs w:val="18"/>
          <w:lang w:val="de-DE"/>
        </w:rPr>
        <w:lastRenderedPageBreak/>
        <w:t>Pokud</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neposkytne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společnosti</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přesné</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úplné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informace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asistenci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materiály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specifikované</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tomto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článku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výše</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neumožní</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přístup</w:t>
      </w:r>
      <w:proofErr w:type="spellEnd"/>
      <w:r w:rsidRPr="009D5B7E">
        <w:rPr>
          <w:rFonts w:ascii="Calibri" w:hAnsi="Calibri" w:cs="Calibri"/>
          <w:sz w:val="20"/>
          <w:szCs w:val="18"/>
          <w:lang w:val="de-DE"/>
        </w:rPr>
        <w:t xml:space="preserve"> k </w:t>
      </w:r>
      <w:proofErr w:type="spellStart"/>
      <w:r w:rsidRPr="009D5B7E">
        <w:rPr>
          <w:rFonts w:ascii="Calibri" w:hAnsi="Calibri" w:cs="Calibri"/>
          <w:sz w:val="20"/>
          <w:szCs w:val="18"/>
          <w:lang w:val="de-DE"/>
        </w:rPr>
        <w:t>personálu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podle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podmínek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uvedených</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této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Smlouvě</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neponese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odpovědnost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žádné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prodlení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vadu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Službách</w:t>
      </w:r>
      <w:proofErr w:type="spellEnd"/>
      <w:r w:rsidRPr="009D5B7E">
        <w:rPr>
          <w:rFonts w:ascii="Calibri" w:hAnsi="Calibri" w:cs="Calibri"/>
          <w:sz w:val="20"/>
          <w:szCs w:val="18"/>
          <w:lang w:val="de-DE"/>
        </w:rPr>
        <w:t xml:space="preserve">. Deloitte si </w:t>
      </w:r>
      <w:proofErr w:type="spellStart"/>
      <w:r w:rsidRPr="009D5B7E">
        <w:rPr>
          <w:rFonts w:ascii="Calibri" w:hAnsi="Calibri" w:cs="Calibri"/>
          <w:sz w:val="20"/>
          <w:szCs w:val="18"/>
          <w:lang w:val="de-DE"/>
        </w:rPr>
        <w:t>dále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vyhrazuje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právo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prodloužit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všechny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termíny</w:t>
      </w:r>
      <w:proofErr w:type="spellEnd"/>
      <w:r w:rsidRPr="009D5B7E">
        <w:rPr>
          <w:rFonts w:ascii="Calibri" w:hAnsi="Calibri" w:cs="Calibri"/>
          <w:sz w:val="20"/>
          <w:szCs w:val="18"/>
          <w:lang w:val="de-DE"/>
        </w:rPr>
        <w:t xml:space="preserve"> o </w:t>
      </w:r>
      <w:proofErr w:type="spellStart"/>
      <w:r w:rsidRPr="009D5B7E">
        <w:rPr>
          <w:rFonts w:ascii="Calibri" w:hAnsi="Calibri" w:cs="Calibri"/>
          <w:sz w:val="20"/>
          <w:szCs w:val="18"/>
          <w:lang w:val="de-DE"/>
        </w:rPr>
        <w:t>dobu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odpovídající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každému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jednotlivému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prodlení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způsobenému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Klientem</w:t>
      </w:r>
      <w:proofErr w:type="spellEnd"/>
      <w:r w:rsidRPr="009D5B7E">
        <w:rPr>
          <w:rFonts w:ascii="Calibri" w:hAnsi="Calibri" w:cs="Calibri"/>
          <w:sz w:val="20"/>
          <w:szCs w:val="18"/>
          <w:lang w:val="de-DE"/>
        </w:rPr>
        <w:t xml:space="preserve">. </w:t>
      </w:r>
    </w:p>
    <w:p w14:paraId="683F4BBA" w14:textId="77777777" w:rsidR="000A7DF6" w:rsidRPr="009D5B7E" w:rsidRDefault="000A7DF6" w:rsidP="000A7DF6">
      <w:pPr>
        <w:numPr>
          <w:ilvl w:val="0"/>
          <w:numId w:val="10"/>
        </w:numPr>
        <w:tabs>
          <w:tab w:val="left" w:pos="567"/>
        </w:tabs>
        <w:spacing w:after="120" w:line="120" w:lineRule="atLeast"/>
        <w:ind w:left="568" w:right="70" w:hanging="284"/>
        <w:jc w:val="both"/>
        <w:rPr>
          <w:rFonts w:ascii="Calibri" w:hAnsi="Calibri" w:cs="Calibri"/>
          <w:sz w:val="20"/>
          <w:szCs w:val="18"/>
          <w:lang w:val="de-DE"/>
        </w:rPr>
      </w:pPr>
      <w:proofErr w:type="spellStart"/>
      <w:r w:rsidRPr="009D5B7E">
        <w:rPr>
          <w:rFonts w:ascii="Calibri" w:hAnsi="Calibri" w:cs="Calibri"/>
          <w:sz w:val="20"/>
          <w:szCs w:val="18"/>
          <w:lang w:val="de-DE"/>
        </w:rPr>
        <w:t>Vzniknou</w:t>
      </w:r>
      <w:proofErr w:type="spellEnd"/>
      <w:r w:rsidRPr="009D5B7E">
        <w:rPr>
          <w:rFonts w:ascii="Calibri" w:hAnsi="Calibri" w:cs="Calibri"/>
          <w:sz w:val="20"/>
          <w:szCs w:val="18"/>
          <w:lang w:val="de-DE"/>
        </w:rPr>
        <w:t xml:space="preserve">-li </w:t>
      </w:r>
      <w:proofErr w:type="spellStart"/>
      <w:r w:rsidRPr="009D5B7E">
        <w:rPr>
          <w:rFonts w:ascii="Calibri" w:hAnsi="Calibri" w:cs="Calibri"/>
          <w:sz w:val="20"/>
          <w:szCs w:val="18"/>
          <w:lang w:val="de-DE"/>
        </w:rPr>
        <w:t>společnosti</w:t>
      </w:r>
      <w:proofErr w:type="spellEnd"/>
      <w:r w:rsidRPr="009D5B7E">
        <w:rPr>
          <w:rFonts w:ascii="Calibri" w:hAnsi="Calibri" w:cs="Calibri"/>
          <w:sz w:val="20"/>
          <w:szCs w:val="18"/>
          <w:lang w:val="de-DE"/>
        </w:rPr>
        <w:t xml:space="preserve"> Deloitte z </w:t>
      </w:r>
      <w:proofErr w:type="spellStart"/>
      <w:r w:rsidRPr="009D5B7E">
        <w:rPr>
          <w:rFonts w:ascii="Calibri" w:hAnsi="Calibri" w:cs="Calibri"/>
          <w:sz w:val="20"/>
          <w:szCs w:val="18"/>
          <w:lang w:val="de-DE"/>
        </w:rPr>
        <w:t>výše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uvedených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důvodů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další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náklady</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souvislosti</w:t>
      </w:r>
      <w:proofErr w:type="spellEnd"/>
      <w:r w:rsidRPr="009D5B7E">
        <w:rPr>
          <w:rFonts w:ascii="Calibri" w:hAnsi="Calibri" w:cs="Calibri"/>
          <w:sz w:val="20"/>
          <w:szCs w:val="18"/>
          <w:lang w:val="de-DE"/>
        </w:rPr>
        <w:t xml:space="preserve"> s </w:t>
      </w:r>
      <w:proofErr w:type="spellStart"/>
      <w:r w:rsidRPr="009D5B7E">
        <w:rPr>
          <w:rFonts w:ascii="Calibri" w:hAnsi="Calibri" w:cs="Calibri"/>
          <w:sz w:val="20"/>
          <w:szCs w:val="18"/>
          <w:lang w:val="de-DE"/>
        </w:rPr>
        <w:t>neplněním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závazků</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strany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má</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právo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vůči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Klientovi</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jejich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plnou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náhradu</w:t>
      </w:r>
      <w:proofErr w:type="spellEnd"/>
      <w:r w:rsidRPr="009D5B7E">
        <w:rPr>
          <w:rFonts w:ascii="Calibri" w:hAnsi="Calibri" w:cs="Calibri"/>
          <w:sz w:val="20"/>
          <w:szCs w:val="18"/>
          <w:lang w:val="de-DE"/>
        </w:rPr>
        <w:t xml:space="preserve"> s </w:t>
      </w:r>
      <w:proofErr w:type="spellStart"/>
      <w:r w:rsidRPr="009D5B7E">
        <w:rPr>
          <w:rFonts w:ascii="Calibri" w:hAnsi="Calibri" w:cs="Calibri"/>
          <w:sz w:val="20"/>
          <w:szCs w:val="18"/>
          <w:lang w:val="de-DE"/>
        </w:rPr>
        <w:t>tím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tímto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nejsou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dotčena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ostatní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práva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dohodnutá</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této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mj</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práva</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náhradu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škody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práva</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smluvní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pokutu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byla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dohodnuta</w:t>
      </w:r>
      <w:proofErr w:type="spellEnd"/>
      <w:r w:rsidRPr="009D5B7E">
        <w:rPr>
          <w:rFonts w:ascii="Calibri" w:hAnsi="Calibri" w:cs="Calibri"/>
          <w:sz w:val="20"/>
          <w:szCs w:val="18"/>
          <w:lang w:val="de-DE"/>
        </w:rPr>
        <w:t xml:space="preserve">. </w:t>
      </w:r>
    </w:p>
    <w:p w14:paraId="5F48FD21" w14:textId="74584FBA" w:rsidR="000A7DF6" w:rsidRPr="009D5B7E" w:rsidRDefault="000A7DF6" w:rsidP="000A7DF6">
      <w:pPr>
        <w:numPr>
          <w:ilvl w:val="0"/>
          <w:numId w:val="10"/>
        </w:numPr>
        <w:tabs>
          <w:tab w:val="left" w:pos="567"/>
        </w:tabs>
        <w:spacing w:after="120" w:line="120" w:lineRule="atLeast"/>
        <w:ind w:left="568" w:right="70" w:hanging="284"/>
        <w:jc w:val="both"/>
        <w:rPr>
          <w:rFonts w:ascii="Calibri" w:hAnsi="Calibri" w:cs="Calibri"/>
          <w:sz w:val="20"/>
          <w:szCs w:val="18"/>
          <w:lang w:val="de-DE"/>
        </w:rPr>
      </w:pPr>
      <w:r w:rsidRPr="009D5B7E">
        <w:rPr>
          <w:rFonts w:ascii="Calibri" w:hAnsi="Calibri" w:cs="Calibri"/>
          <w:sz w:val="20"/>
          <w:szCs w:val="18"/>
          <w:lang w:val="de-DE"/>
        </w:rPr>
        <w:t xml:space="preserve">Klient </w:t>
      </w:r>
      <w:proofErr w:type="spellStart"/>
      <w:r w:rsidRPr="009D5B7E">
        <w:rPr>
          <w:rFonts w:ascii="Calibri" w:hAnsi="Calibri" w:cs="Calibri"/>
          <w:sz w:val="20"/>
          <w:szCs w:val="18"/>
          <w:lang w:val="de-DE"/>
        </w:rPr>
        <w:t>přijme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souladu</w:t>
      </w:r>
      <w:proofErr w:type="spellEnd"/>
      <w:r w:rsidRPr="009D5B7E">
        <w:rPr>
          <w:rFonts w:ascii="Calibri" w:hAnsi="Calibri" w:cs="Calibri"/>
          <w:sz w:val="20"/>
          <w:szCs w:val="18"/>
          <w:lang w:val="de-DE"/>
        </w:rPr>
        <w:t xml:space="preserve"> s </w:t>
      </w:r>
      <w:proofErr w:type="spellStart"/>
      <w:r w:rsidRPr="009D5B7E">
        <w:rPr>
          <w:rFonts w:ascii="Calibri" w:hAnsi="Calibri" w:cs="Calibri"/>
          <w:sz w:val="20"/>
          <w:szCs w:val="18"/>
          <w:lang w:val="de-DE"/>
        </w:rPr>
        <w:t>touto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(i) </w:t>
      </w:r>
      <w:proofErr w:type="spellStart"/>
      <w:r w:rsidRPr="009D5B7E">
        <w:rPr>
          <w:rFonts w:ascii="Calibri" w:hAnsi="Calibri" w:cs="Calibri"/>
          <w:sz w:val="20"/>
          <w:szCs w:val="18"/>
          <w:lang w:val="de-DE"/>
        </w:rPr>
        <w:t>splňují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požadavky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této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(ii) </w:t>
      </w:r>
      <w:proofErr w:type="spellStart"/>
      <w:r w:rsidRPr="009D5B7E">
        <w:rPr>
          <w:rFonts w:ascii="Calibri" w:hAnsi="Calibri" w:cs="Calibri"/>
          <w:sz w:val="20"/>
          <w:szCs w:val="18"/>
          <w:lang w:val="de-DE"/>
        </w:rPr>
        <w:t>projdou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akceptačním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testem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bylo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sjednáno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Smluvním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dopise</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neprodleně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informuje</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nejpozději</w:t>
      </w:r>
      <w:proofErr w:type="spellEnd"/>
      <w:r w:rsidRPr="009D5B7E">
        <w:rPr>
          <w:rFonts w:ascii="Calibri" w:hAnsi="Calibri" w:cs="Calibri"/>
          <w:sz w:val="20"/>
          <w:szCs w:val="18"/>
          <w:lang w:val="de-DE"/>
        </w:rPr>
        <w:t xml:space="preserve"> 5 </w:t>
      </w:r>
      <w:proofErr w:type="spellStart"/>
      <w:r w:rsidRPr="009D5B7E">
        <w:rPr>
          <w:rFonts w:ascii="Calibri" w:hAnsi="Calibri" w:cs="Calibri"/>
          <w:sz w:val="20"/>
          <w:szCs w:val="18"/>
          <w:lang w:val="de-DE"/>
        </w:rPr>
        <w:t>dní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od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doručení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Výstupu</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w:t>
      </w:r>
      <w:proofErr w:type="spellEnd"/>
      <w:r w:rsidRPr="009D5B7E">
        <w:rPr>
          <w:rFonts w:ascii="Calibri" w:hAnsi="Calibri" w:cs="Calibri"/>
          <w:sz w:val="20"/>
          <w:szCs w:val="18"/>
          <w:lang w:val="de-DE"/>
        </w:rPr>
        <w:t xml:space="preserve"> a/</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jiné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nesplňují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tyto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požadavky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nesoulad</w:t>
      </w:r>
      <w:proofErr w:type="spellEnd"/>
      <w:r w:rsidRPr="009D5B7E">
        <w:rPr>
          <w:rFonts w:ascii="Calibri" w:hAnsi="Calibri" w:cs="Calibri"/>
          <w:sz w:val="20"/>
          <w:szCs w:val="18"/>
          <w:lang w:val="de-DE"/>
        </w:rPr>
        <w:t xml:space="preserve">“) a Deloitte </w:t>
      </w:r>
      <w:proofErr w:type="spellStart"/>
      <w:r w:rsidRPr="009D5B7E">
        <w:rPr>
          <w:rFonts w:ascii="Calibri" w:hAnsi="Calibri" w:cs="Calibri"/>
          <w:sz w:val="20"/>
          <w:szCs w:val="18"/>
          <w:lang w:val="de-DE"/>
        </w:rPr>
        <w:t>dostane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dostatek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času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ale</w:t>
      </w:r>
      <w:proofErr w:type="spellEnd"/>
      <w:r w:rsidRPr="009D5B7E">
        <w:rPr>
          <w:rFonts w:ascii="Calibri" w:hAnsi="Calibri" w:cs="Calibri"/>
          <w:sz w:val="20"/>
          <w:szCs w:val="18"/>
          <w:lang w:val="de-DE"/>
        </w:rPr>
        <w:t xml:space="preserve"> ne </w:t>
      </w:r>
      <w:proofErr w:type="spellStart"/>
      <w:r w:rsidRPr="009D5B7E">
        <w:rPr>
          <w:rFonts w:ascii="Calibri" w:hAnsi="Calibri" w:cs="Calibri"/>
          <w:sz w:val="20"/>
          <w:szCs w:val="18"/>
          <w:lang w:val="de-DE"/>
        </w:rPr>
        <w:t>méně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než</w:t>
      </w:r>
      <w:proofErr w:type="spellEnd"/>
      <w:r w:rsidRPr="009D5B7E">
        <w:rPr>
          <w:rFonts w:ascii="Calibri" w:hAnsi="Calibri" w:cs="Calibri"/>
          <w:sz w:val="20"/>
          <w:szCs w:val="18"/>
          <w:lang w:val="de-DE"/>
        </w:rPr>
        <w:t xml:space="preserve"> 5 </w:t>
      </w:r>
      <w:proofErr w:type="spellStart"/>
      <w:r w:rsidRPr="009D5B7E">
        <w:rPr>
          <w:rFonts w:ascii="Calibri" w:hAnsi="Calibri" w:cs="Calibri"/>
          <w:sz w:val="20"/>
          <w:szCs w:val="18"/>
          <w:lang w:val="de-DE"/>
        </w:rPr>
        <w:t>pracovních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dní</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nápravu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takového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nesouladu</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závislosti</w:t>
      </w:r>
      <w:proofErr w:type="spellEnd"/>
      <w:r w:rsidRPr="009D5B7E">
        <w:rPr>
          <w:rFonts w:ascii="Calibri" w:hAnsi="Calibri" w:cs="Calibri"/>
          <w:sz w:val="20"/>
          <w:szCs w:val="18"/>
          <w:lang w:val="de-DE"/>
        </w:rPr>
        <w:t xml:space="preserve"> na </w:t>
      </w:r>
      <w:proofErr w:type="spellStart"/>
      <w:r w:rsidRPr="009D5B7E">
        <w:rPr>
          <w:rFonts w:ascii="Calibri" w:hAnsi="Calibri" w:cs="Calibri"/>
          <w:sz w:val="20"/>
          <w:szCs w:val="18"/>
          <w:lang w:val="de-DE"/>
        </w:rPr>
        <w:t>jeho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míře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složitosti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se </w:t>
      </w:r>
      <w:proofErr w:type="spellStart"/>
      <w:r w:rsidRPr="009D5B7E">
        <w:rPr>
          <w:rFonts w:ascii="Calibri" w:hAnsi="Calibri" w:cs="Calibri"/>
          <w:sz w:val="20"/>
          <w:szCs w:val="18"/>
          <w:lang w:val="de-DE"/>
        </w:rPr>
        <w:t>neuplatní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výše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uvedené</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souhlasí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dodávky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jsou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považovány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přijaté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Klientem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během</w:t>
      </w:r>
      <w:proofErr w:type="spellEnd"/>
      <w:r w:rsidRPr="009D5B7E">
        <w:rPr>
          <w:rFonts w:ascii="Calibri" w:hAnsi="Calibri" w:cs="Calibri"/>
          <w:sz w:val="20"/>
          <w:szCs w:val="18"/>
          <w:lang w:val="de-DE"/>
        </w:rPr>
        <w:t xml:space="preserve"> 5 </w:t>
      </w:r>
      <w:proofErr w:type="spellStart"/>
      <w:r w:rsidRPr="009D5B7E">
        <w:rPr>
          <w:rFonts w:ascii="Calibri" w:hAnsi="Calibri" w:cs="Calibri"/>
          <w:sz w:val="20"/>
          <w:szCs w:val="18"/>
          <w:lang w:val="de-DE"/>
        </w:rPr>
        <w:t>dní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dodání</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konečné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podobě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w:t>
      </w:r>
      <w:proofErr w:type="spellEnd"/>
      <w:r w:rsidRPr="009D5B7E">
        <w:rPr>
          <w:rFonts w:ascii="Calibri" w:hAnsi="Calibri" w:cs="Calibri"/>
          <w:sz w:val="20"/>
          <w:szCs w:val="18"/>
          <w:lang w:val="de-DE"/>
        </w:rPr>
        <w:t xml:space="preserve"> je </w:t>
      </w:r>
      <w:proofErr w:type="spellStart"/>
      <w:r w:rsidRPr="009D5B7E">
        <w:rPr>
          <w:rFonts w:ascii="Calibri" w:hAnsi="Calibri" w:cs="Calibri"/>
          <w:sz w:val="20"/>
          <w:szCs w:val="18"/>
          <w:lang w:val="de-DE"/>
        </w:rPr>
        <w:t>specifikováno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Smluvním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dopise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je </w:t>
      </w:r>
      <w:proofErr w:type="spellStart"/>
      <w:r w:rsidRPr="009D5B7E">
        <w:rPr>
          <w:rFonts w:ascii="Calibri" w:hAnsi="Calibri" w:cs="Calibri"/>
          <w:sz w:val="20"/>
          <w:szCs w:val="18"/>
          <w:lang w:val="de-DE"/>
        </w:rPr>
        <w:t>to</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této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Smlouvě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dohodnuto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včetně</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komentáře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Klienta</w:t>
      </w:r>
      <w:proofErr w:type="spellEnd"/>
      <w:r w:rsidRPr="009D5B7E">
        <w:rPr>
          <w:rFonts w:ascii="Calibri" w:hAnsi="Calibri" w:cs="Calibri"/>
          <w:sz w:val="20"/>
          <w:szCs w:val="18"/>
          <w:lang w:val="de-DE"/>
        </w:rPr>
        <w:t xml:space="preserve"> k </w:t>
      </w:r>
      <w:proofErr w:type="spellStart"/>
      <w:r w:rsidRPr="009D5B7E">
        <w:rPr>
          <w:rFonts w:ascii="Calibri" w:hAnsi="Calibri" w:cs="Calibri"/>
          <w:sz w:val="20"/>
          <w:szCs w:val="18"/>
          <w:lang w:val="de-DE"/>
        </w:rPr>
        <w:t>návrhu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dodávek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návrhu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jakmile</w:t>
      </w:r>
      <w:proofErr w:type="spellEnd"/>
      <w:r w:rsidRPr="009D5B7E">
        <w:rPr>
          <w:rFonts w:ascii="Calibri" w:hAnsi="Calibri" w:cs="Calibri"/>
          <w:sz w:val="20"/>
          <w:szCs w:val="18"/>
          <w:lang w:val="de-DE"/>
        </w:rPr>
        <w:t xml:space="preserve"> je Klient </w:t>
      </w:r>
      <w:proofErr w:type="spellStart"/>
      <w:r w:rsidRPr="009D5B7E">
        <w:rPr>
          <w:rFonts w:ascii="Calibri" w:hAnsi="Calibri" w:cs="Calibri"/>
          <w:sz w:val="20"/>
          <w:szCs w:val="18"/>
          <w:lang w:val="de-DE"/>
        </w:rPr>
        <w:t>poprvé</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podnikání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použije</w:t>
      </w:r>
      <w:proofErr w:type="spellEnd"/>
      <w:r w:rsidRPr="009D5B7E">
        <w:rPr>
          <w:rFonts w:ascii="Calibri" w:hAnsi="Calibri" w:cs="Calibri"/>
          <w:sz w:val="20"/>
          <w:szCs w:val="18"/>
          <w:lang w:val="de-DE"/>
        </w:rPr>
        <w:t xml:space="preserve">, a </w:t>
      </w:r>
      <w:proofErr w:type="spellStart"/>
      <w:r w:rsidRPr="009D5B7E">
        <w:rPr>
          <w:rFonts w:ascii="Calibri" w:hAnsi="Calibri" w:cs="Calibri"/>
          <w:sz w:val="20"/>
          <w:szCs w:val="18"/>
          <w:lang w:val="de-DE"/>
        </w:rPr>
        <w:t>to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podle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toho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která</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skutečnost</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nastane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první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se </w:t>
      </w:r>
      <w:proofErr w:type="spellStart"/>
      <w:r w:rsidRPr="009D5B7E">
        <w:rPr>
          <w:rFonts w:ascii="Calibri" w:hAnsi="Calibri" w:cs="Calibri"/>
          <w:sz w:val="20"/>
          <w:szCs w:val="18"/>
          <w:lang w:val="de-DE"/>
        </w:rPr>
        <w:t>nepředpokládá</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dodání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žádného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výsledku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práce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Výstupu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společností</w:t>
      </w:r>
      <w:proofErr w:type="spellEnd"/>
      <w:r w:rsidRPr="009D5B7E">
        <w:rPr>
          <w:rFonts w:ascii="Calibri" w:hAnsi="Calibri" w:cs="Calibri"/>
          <w:sz w:val="20"/>
          <w:szCs w:val="18"/>
          <w:lang w:val="de-DE"/>
        </w:rPr>
        <w:t xml:space="preserve"> Deloitte, </w:t>
      </w:r>
      <w:proofErr w:type="spellStart"/>
      <w:r w:rsidRPr="009D5B7E">
        <w:rPr>
          <w:rFonts w:ascii="Calibri" w:hAnsi="Calibri" w:cs="Calibri"/>
          <w:sz w:val="20"/>
          <w:szCs w:val="18"/>
          <w:lang w:val="de-DE"/>
        </w:rPr>
        <w:t>Služby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jsou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považovány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za</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Klient </w:t>
      </w:r>
      <w:proofErr w:type="spellStart"/>
      <w:r w:rsidRPr="009D5B7E">
        <w:rPr>
          <w:rFonts w:ascii="Calibri" w:hAnsi="Calibri" w:cs="Calibri"/>
          <w:sz w:val="20"/>
          <w:szCs w:val="18"/>
          <w:lang w:val="de-DE"/>
        </w:rPr>
        <w:t>vůči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nim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nevznese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žádné</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námitky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nebo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pokud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nepožádá</w:t>
      </w:r>
      <w:proofErr w:type="spellEnd"/>
      <w:r w:rsidRPr="009D5B7E">
        <w:rPr>
          <w:rFonts w:ascii="Calibri" w:hAnsi="Calibri" w:cs="Calibri"/>
          <w:sz w:val="20"/>
          <w:szCs w:val="18"/>
          <w:lang w:val="de-DE"/>
        </w:rPr>
        <w:t xml:space="preserve"> o </w:t>
      </w:r>
      <w:proofErr w:type="spellStart"/>
      <w:r w:rsidRPr="009D5B7E">
        <w:rPr>
          <w:rFonts w:ascii="Calibri" w:hAnsi="Calibri" w:cs="Calibri"/>
          <w:sz w:val="20"/>
          <w:szCs w:val="18"/>
          <w:lang w:val="de-DE"/>
        </w:rPr>
        <w:t>provedení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dalších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prací</w:t>
      </w:r>
      <w:proofErr w:type="spellEnd"/>
      <w:r w:rsidRPr="009D5B7E">
        <w:rPr>
          <w:rFonts w:ascii="Calibri" w:hAnsi="Calibri" w:cs="Calibri"/>
          <w:sz w:val="20"/>
          <w:szCs w:val="18"/>
          <w:lang w:val="de-DE"/>
        </w:rPr>
        <w:t xml:space="preserve"> v </w:t>
      </w:r>
      <w:proofErr w:type="spellStart"/>
      <w:r w:rsidRPr="009D5B7E">
        <w:rPr>
          <w:rFonts w:ascii="Calibri" w:hAnsi="Calibri" w:cs="Calibri"/>
          <w:sz w:val="20"/>
          <w:szCs w:val="18"/>
          <w:lang w:val="de-DE"/>
        </w:rPr>
        <w:t>důsledku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zjištěných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vad</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během</w:t>
      </w:r>
      <w:proofErr w:type="spellEnd"/>
      <w:r w:rsidRPr="009D5B7E">
        <w:rPr>
          <w:rFonts w:ascii="Calibri" w:hAnsi="Calibri" w:cs="Calibri"/>
          <w:sz w:val="20"/>
          <w:szCs w:val="18"/>
          <w:lang w:val="de-DE"/>
        </w:rPr>
        <w:t xml:space="preserve"> 5 </w:t>
      </w:r>
      <w:proofErr w:type="spellStart"/>
      <w:r w:rsidRPr="009D5B7E">
        <w:rPr>
          <w:rFonts w:ascii="Calibri" w:hAnsi="Calibri" w:cs="Calibri"/>
          <w:sz w:val="20"/>
          <w:szCs w:val="18"/>
          <w:lang w:val="de-DE"/>
        </w:rPr>
        <w:t>dní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poskytnutí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poslední</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části</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takových</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Služeb</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jak</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jsou</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definovány</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ve</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Smluvním</w:t>
      </w:r>
      <w:proofErr w:type="spellEnd"/>
      <w:r w:rsidRPr="009D5B7E">
        <w:rPr>
          <w:rFonts w:ascii="Calibri" w:hAnsi="Calibri" w:cs="Calibri"/>
          <w:sz w:val="20"/>
          <w:szCs w:val="18"/>
          <w:lang w:val="de-DE"/>
        </w:rPr>
        <w:t xml:space="preserve"> </w:t>
      </w:r>
      <w:proofErr w:type="spellStart"/>
      <w:r w:rsidRPr="009D5B7E">
        <w:rPr>
          <w:rFonts w:ascii="Calibri" w:hAnsi="Calibri" w:cs="Calibri"/>
          <w:sz w:val="20"/>
          <w:szCs w:val="18"/>
          <w:lang w:val="de-DE"/>
        </w:rPr>
        <w:t>dopise</w:t>
      </w:r>
      <w:proofErr w:type="spellEnd"/>
      <w:r w:rsidRPr="009D5B7E">
        <w:rPr>
          <w:rFonts w:ascii="Calibri" w:hAnsi="Calibri" w:cs="Calibri"/>
          <w:sz w:val="20"/>
          <w:szCs w:val="18"/>
          <w:lang w:val="de-DE"/>
        </w:rPr>
        <w:t xml:space="preserve">. </w:t>
      </w:r>
    </w:p>
    <w:p w14:paraId="7AF79192" w14:textId="77777777" w:rsidR="003D0346" w:rsidRPr="009D5B7E" w:rsidRDefault="003D0346" w:rsidP="003D0346">
      <w:pPr>
        <w:tabs>
          <w:tab w:val="left" w:pos="567"/>
        </w:tabs>
        <w:spacing w:after="120" w:line="120" w:lineRule="atLeast"/>
        <w:ind w:left="568" w:right="70"/>
        <w:jc w:val="both"/>
        <w:rPr>
          <w:rFonts w:ascii="Calibri" w:hAnsi="Calibri" w:cs="Calibri"/>
          <w:sz w:val="20"/>
          <w:szCs w:val="18"/>
          <w:lang w:val="de-DE"/>
        </w:rPr>
      </w:pPr>
    </w:p>
    <w:p w14:paraId="0E23BDAC" w14:textId="77777777" w:rsidR="000A7DF6" w:rsidRPr="009D5B7E" w:rsidRDefault="000A7DF6" w:rsidP="000A7DF6">
      <w:pPr>
        <w:numPr>
          <w:ilvl w:val="0"/>
          <w:numId w:val="15"/>
        </w:numPr>
        <w:spacing w:after="120" w:line="120" w:lineRule="atLeast"/>
        <w:ind w:left="568" w:right="70" w:hanging="284"/>
        <w:jc w:val="both"/>
        <w:rPr>
          <w:rFonts w:ascii="Calibri" w:hAnsi="Calibri" w:cs="Calibri"/>
          <w:b/>
          <w:sz w:val="20"/>
          <w:szCs w:val="18"/>
        </w:rPr>
      </w:pPr>
      <w:proofErr w:type="spellStart"/>
      <w:r w:rsidRPr="009D5B7E">
        <w:rPr>
          <w:rFonts w:ascii="Calibri" w:hAnsi="Calibri" w:cs="Calibri"/>
          <w:b/>
          <w:sz w:val="20"/>
          <w:szCs w:val="18"/>
        </w:rPr>
        <w:t>Odpovědnosti</w:t>
      </w:r>
      <w:proofErr w:type="spellEnd"/>
      <w:r w:rsidRPr="009D5B7E">
        <w:rPr>
          <w:rFonts w:ascii="Calibri" w:hAnsi="Calibri" w:cs="Calibri"/>
          <w:b/>
          <w:sz w:val="20"/>
          <w:szCs w:val="18"/>
        </w:rPr>
        <w:t xml:space="preserve"> Deloitte</w:t>
      </w:r>
    </w:p>
    <w:p w14:paraId="0C302B6E" w14:textId="77777777" w:rsidR="000A7DF6" w:rsidRPr="009D5B7E" w:rsidRDefault="000A7DF6" w:rsidP="000A7DF6">
      <w:pPr>
        <w:numPr>
          <w:ilvl w:val="0"/>
          <w:numId w:val="13"/>
        </w:numPr>
        <w:tabs>
          <w:tab w:val="left" w:pos="567"/>
        </w:tabs>
        <w:spacing w:after="120" w:line="120" w:lineRule="atLeast"/>
        <w:ind w:left="568" w:right="70" w:hanging="284"/>
        <w:jc w:val="both"/>
        <w:rPr>
          <w:rFonts w:ascii="Calibri" w:hAnsi="Calibri" w:cs="Calibri"/>
          <w:sz w:val="20"/>
          <w:szCs w:val="18"/>
        </w:rPr>
      </w:pPr>
      <w:r w:rsidRPr="009D5B7E">
        <w:rPr>
          <w:rFonts w:ascii="Calibri" w:hAnsi="Calibri" w:cs="Calibri"/>
          <w:sz w:val="20"/>
          <w:szCs w:val="18"/>
        </w:rPr>
        <w:t xml:space="preserve">Deloitte </w:t>
      </w:r>
      <w:proofErr w:type="spellStart"/>
      <w:r w:rsidRPr="009D5B7E">
        <w:rPr>
          <w:rFonts w:ascii="Calibri" w:hAnsi="Calibri" w:cs="Calibri"/>
          <w:sz w:val="20"/>
          <w:szCs w:val="18"/>
        </w:rPr>
        <w:t>ponese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pouze</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rady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doporučení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finanční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účetnictví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právní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rady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závazné</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žádné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státní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regulační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orgány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nepředstavují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tvrzení</w:t>
      </w:r>
      <w:proofErr w:type="spellEnd"/>
      <w:r w:rsidRPr="009D5B7E">
        <w:rPr>
          <w:rFonts w:ascii="Calibri" w:hAnsi="Calibri" w:cs="Calibri"/>
          <w:sz w:val="20"/>
          <w:szCs w:val="18"/>
        </w:rPr>
        <w:t xml:space="preserve"> ani </w:t>
      </w:r>
      <w:proofErr w:type="spellStart"/>
      <w:r w:rsidRPr="009D5B7E">
        <w:rPr>
          <w:rFonts w:ascii="Calibri" w:hAnsi="Calibri" w:cs="Calibri"/>
          <w:sz w:val="20"/>
          <w:szCs w:val="18"/>
        </w:rPr>
        <w:t>záruku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státní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regulační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orgány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jakýmkoli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Veškeré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jménem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vycházet</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zákonů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nařízení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případů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rozhodnutí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dalších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účinných</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době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kdy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konkrétní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Následné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výše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uvedeného</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nichž</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nemusí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způsobit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jménem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pozbydou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platnosti</w:t>
      </w:r>
      <w:proofErr w:type="spellEnd"/>
      <w:r w:rsidRPr="009D5B7E">
        <w:rPr>
          <w:rFonts w:ascii="Calibri" w:hAnsi="Calibri" w:cs="Calibri"/>
          <w:sz w:val="20"/>
          <w:szCs w:val="18"/>
        </w:rPr>
        <w:t xml:space="preserve">. </w:t>
      </w:r>
    </w:p>
    <w:p w14:paraId="2EFEDA6D" w14:textId="77777777" w:rsidR="000A7DF6" w:rsidRPr="009D5B7E" w:rsidRDefault="000A7DF6" w:rsidP="000A7DF6">
      <w:pPr>
        <w:numPr>
          <w:ilvl w:val="0"/>
          <w:numId w:val="13"/>
        </w:numPr>
        <w:tabs>
          <w:tab w:val="left" w:pos="567"/>
        </w:tabs>
        <w:spacing w:after="120" w:line="120" w:lineRule="atLeast"/>
        <w:ind w:left="568" w:hanging="284"/>
        <w:jc w:val="both"/>
        <w:rPr>
          <w:rFonts w:ascii="Calibri" w:hAnsi="Calibri" w:cs="Calibri"/>
          <w:sz w:val="20"/>
          <w:szCs w:val="18"/>
        </w:rPr>
      </w:pPr>
      <w:proofErr w:type="spellStart"/>
      <w:r w:rsidRPr="009D5B7E">
        <w:rPr>
          <w:rFonts w:ascii="Calibri" w:hAnsi="Calibri" w:cs="Calibri"/>
          <w:sz w:val="20"/>
          <w:szCs w:val="18"/>
        </w:rPr>
        <w:t>Při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formulování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jakýchkoli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projednat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myšlenky</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ukázat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ohledem</w:t>
      </w:r>
      <w:proofErr w:type="spellEnd"/>
      <w:r w:rsidRPr="009D5B7E">
        <w:rPr>
          <w:rFonts w:ascii="Calibri" w:hAnsi="Calibri" w:cs="Calibri"/>
          <w:sz w:val="20"/>
          <w:szCs w:val="18"/>
        </w:rPr>
        <w:t xml:space="preserve"> na </w:t>
      </w:r>
      <w:proofErr w:type="spellStart"/>
      <w:r w:rsidRPr="009D5B7E">
        <w:rPr>
          <w:rFonts w:ascii="Calibri" w:hAnsi="Calibri" w:cs="Calibri"/>
          <w:sz w:val="20"/>
          <w:szCs w:val="18"/>
        </w:rPr>
        <w:t>skutečnost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očekává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finalizace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ústních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písemné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potvrzení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potvrzení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prostřednictvím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emailu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potvrzený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nahradí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předcházející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neponese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rozhodnou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spoléhat</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jednat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nejednat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
    <w:p w14:paraId="020E5BAC" w14:textId="77777777" w:rsidR="000A7DF6" w:rsidRPr="009D5B7E" w:rsidRDefault="000A7DF6" w:rsidP="000A7DF6">
      <w:pPr>
        <w:numPr>
          <w:ilvl w:val="0"/>
          <w:numId w:val="13"/>
        </w:numPr>
        <w:tabs>
          <w:tab w:val="left" w:pos="567"/>
        </w:tabs>
        <w:spacing w:after="120" w:line="120" w:lineRule="atLeast"/>
        <w:ind w:left="568" w:hanging="284"/>
        <w:jc w:val="both"/>
        <w:rPr>
          <w:rFonts w:ascii="Calibri" w:hAnsi="Calibri" w:cs="Calibri"/>
          <w:sz w:val="20"/>
          <w:szCs w:val="18"/>
        </w:rPr>
      </w:pPr>
      <w:r w:rsidRPr="009D5B7E">
        <w:rPr>
          <w:rFonts w:ascii="Calibri" w:hAnsi="Calibri" w:cs="Calibri"/>
          <w:sz w:val="20"/>
          <w:szCs w:val="18"/>
        </w:rPr>
        <w:t>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inspekce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prováděné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státními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regulačními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orgány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ať</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důsledku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nikoli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asistence</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vztahující</w:t>
      </w:r>
      <w:proofErr w:type="spellEnd"/>
      <w:r w:rsidRPr="009D5B7E">
        <w:rPr>
          <w:rFonts w:ascii="Calibri" w:hAnsi="Calibri" w:cs="Calibri"/>
          <w:sz w:val="20"/>
          <w:szCs w:val="18"/>
        </w:rPr>
        <w:t xml:space="preserve"> se k </w:t>
      </w:r>
      <w:proofErr w:type="spellStart"/>
      <w:r w:rsidRPr="009D5B7E">
        <w:rPr>
          <w:rFonts w:ascii="Calibri" w:hAnsi="Calibri" w:cs="Calibri"/>
          <w:sz w:val="20"/>
          <w:szCs w:val="18"/>
        </w:rPr>
        <w:t>takové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inspekci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netvoří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součást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nestanoví</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
    <w:p w14:paraId="7BDF8150" w14:textId="77777777" w:rsidR="000A7DF6" w:rsidRPr="009D5B7E" w:rsidRDefault="000A7DF6" w:rsidP="000A7DF6">
      <w:pPr>
        <w:numPr>
          <w:ilvl w:val="0"/>
          <w:numId w:val="13"/>
        </w:numPr>
        <w:tabs>
          <w:tab w:val="left" w:pos="567"/>
        </w:tabs>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Deloitte </w:t>
      </w:r>
      <w:proofErr w:type="spellStart"/>
      <w:r w:rsidRPr="009D5B7E">
        <w:rPr>
          <w:rFonts w:ascii="Calibri" w:hAnsi="Calibri" w:cs="Calibri"/>
          <w:sz w:val="20"/>
          <w:szCs w:val="18"/>
        </w:rPr>
        <w:t>neponese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sledování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událostí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nastalých</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datu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ani za </w:t>
      </w:r>
      <w:proofErr w:type="spellStart"/>
      <w:r w:rsidRPr="009D5B7E">
        <w:rPr>
          <w:rFonts w:ascii="Calibri" w:hAnsi="Calibri" w:cs="Calibri"/>
          <w:sz w:val="20"/>
          <w:szCs w:val="18"/>
        </w:rPr>
        <w:t>aktualizaci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nedohodnou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
    <w:p w14:paraId="4870E43C"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r w:rsidRPr="009D5B7E">
        <w:rPr>
          <w:rFonts w:ascii="Calibri" w:hAnsi="Calibri" w:cs="Calibri"/>
          <w:b/>
          <w:kern w:val="28"/>
          <w:sz w:val="20"/>
          <w:szCs w:val="18"/>
        </w:rPr>
        <w:t xml:space="preserve">Cena za </w:t>
      </w:r>
      <w:proofErr w:type="spellStart"/>
      <w:r w:rsidRPr="009D5B7E">
        <w:rPr>
          <w:rFonts w:ascii="Calibri" w:hAnsi="Calibri" w:cs="Calibri"/>
          <w:b/>
          <w:kern w:val="28"/>
          <w:sz w:val="20"/>
          <w:szCs w:val="18"/>
        </w:rPr>
        <w:t>Služby</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úhrada</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faktur</w:t>
      </w:r>
      <w:proofErr w:type="spellEnd"/>
      <w:r w:rsidRPr="009D5B7E">
        <w:rPr>
          <w:rFonts w:ascii="Calibri" w:hAnsi="Calibri" w:cs="Calibri"/>
          <w:b/>
          <w:kern w:val="28"/>
          <w:sz w:val="20"/>
          <w:szCs w:val="18"/>
        </w:rPr>
        <w:t xml:space="preserve"> </w:t>
      </w:r>
    </w:p>
    <w:p w14:paraId="2DF09A41" w14:textId="77777777" w:rsidR="000A7DF6" w:rsidRPr="009D5B7E" w:rsidRDefault="000A7DF6" w:rsidP="000A7DF6">
      <w:pPr>
        <w:keepNext/>
        <w:keepLines/>
        <w:numPr>
          <w:ilvl w:val="0"/>
          <w:numId w:val="14"/>
        </w:numPr>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Deloitte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sjednanou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(„Cena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tato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záviset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výsledku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nestanoví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úspěšnostní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konkrétního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výsledku</w:t>
      </w:r>
      <w:proofErr w:type="spellEnd"/>
      <w:r w:rsidRPr="009D5B7E">
        <w:rPr>
          <w:rFonts w:ascii="Calibri" w:hAnsi="Calibri" w:cs="Calibri"/>
          <w:sz w:val="20"/>
          <w:szCs w:val="18"/>
        </w:rPr>
        <w:t xml:space="preserve">. Cena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neobsahuje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přidané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hodnoty</w:t>
      </w:r>
      <w:proofErr w:type="spellEnd"/>
      <w:r w:rsidRPr="009D5B7E">
        <w:rPr>
          <w:rFonts w:ascii="Calibri" w:hAnsi="Calibri" w:cs="Calibri"/>
          <w:sz w:val="20"/>
          <w:szCs w:val="18"/>
        </w:rPr>
        <w:t xml:space="preserve"> („DPH“). DPH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výši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předepsané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přičtena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všem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vydaným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
    <w:p w14:paraId="025A7BE5" w14:textId="77777777" w:rsidR="000A7DF6" w:rsidRPr="009D5B7E" w:rsidRDefault="000A7DF6" w:rsidP="000A7DF6">
      <w:pPr>
        <w:numPr>
          <w:ilvl w:val="0"/>
          <w:numId w:val="11"/>
        </w:numPr>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Cena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účtována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strávené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lastRenderedPageBreak/>
        <w:t>hodinové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poskytující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míry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úsilí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použité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technologie</w:t>
      </w:r>
      <w:proofErr w:type="spellEnd"/>
      <w:r w:rsidRPr="009D5B7E">
        <w:rPr>
          <w:rFonts w:ascii="Calibri" w:hAnsi="Calibri" w:cs="Calibri"/>
          <w:sz w:val="20"/>
          <w:szCs w:val="18"/>
        </w:rPr>
        <w:t xml:space="preserve"> a know-how. </w:t>
      </w:r>
      <w:proofErr w:type="spellStart"/>
      <w:r w:rsidRPr="009D5B7E">
        <w:rPr>
          <w:rFonts w:ascii="Calibri" w:hAnsi="Calibri" w:cs="Calibri"/>
          <w:sz w:val="20"/>
          <w:szCs w:val="18"/>
        </w:rPr>
        <w:t>Hodinové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sazby</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vztahují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Subdodavatelů</w:t>
      </w:r>
      <w:proofErr w:type="spellEnd"/>
      <w:r w:rsidRPr="009D5B7E">
        <w:rPr>
          <w:rFonts w:ascii="Calibri" w:hAnsi="Calibri" w:cs="Calibri"/>
          <w:sz w:val="20"/>
          <w:szCs w:val="18"/>
        </w:rPr>
        <w:t xml:space="preserve">, ale </w:t>
      </w:r>
      <w:proofErr w:type="spellStart"/>
      <w:r w:rsidRPr="009D5B7E">
        <w:rPr>
          <w:rFonts w:ascii="Calibri" w:hAnsi="Calibri" w:cs="Calibri"/>
          <w:sz w:val="20"/>
          <w:szCs w:val="18"/>
        </w:rPr>
        <w:t>nikoli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bere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vědomí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cena</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účtována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jejich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aktuálních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sazeb</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upravit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standardní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hodinové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ekonomických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okolností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tržní</w:t>
      </w:r>
      <w:proofErr w:type="spellEnd"/>
      <w:r w:rsidRPr="009D5B7E">
        <w:rPr>
          <w:rFonts w:ascii="Calibri" w:hAnsi="Calibri" w:cs="Calibri"/>
          <w:sz w:val="20"/>
          <w:szCs w:val="18"/>
        </w:rPr>
        <w:t xml:space="preserve"> trendy, </w:t>
      </w:r>
      <w:proofErr w:type="spellStart"/>
      <w:r w:rsidRPr="009D5B7E">
        <w:rPr>
          <w:rFonts w:ascii="Calibri" w:hAnsi="Calibri" w:cs="Calibri"/>
          <w:sz w:val="20"/>
          <w:szCs w:val="18"/>
        </w:rPr>
        <w:t>míra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inflace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kolísání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měny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standardní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hodinové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stanovené</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eurech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zvýší</w:t>
      </w:r>
      <w:proofErr w:type="spellEnd"/>
      <w:r w:rsidRPr="009D5B7E">
        <w:rPr>
          <w:rFonts w:ascii="Calibri" w:hAnsi="Calibri" w:cs="Calibri"/>
          <w:sz w:val="20"/>
          <w:szCs w:val="18"/>
        </w:rPr>
        <w:t xml:space="preserve">. </w:t>
      </w:r>
    </w:p>
    <w:p w14:paraId="644FB038" w14:textId="77777777" w:rsidR="000A7DF6" w:rsidRPr="009D5B7E" w:rsidRDefault="000A7DF6" w:rsidP="000A7DF6">
      <w:pPr>
        <w:numPr>
          <w:ilvl w:val="0"/>
          <w:numId w:val="11"/>
        </w:numPr>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Cena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nezahrnuje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výdaje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vzniklé</w:t>
      </w:r>
      <w:proofErr w:type="spellEnd"/>
      <w:r w:rsidRPr="009D5B7E">
        <w:rPr>
          <w:rFonts w:ascii="Calibri" w:hAnsi="Calibri" w:cs="Calibri"/>
          <w:sz w:val="20"/>
          <w:szCs w:val="18"/>
        </w:rPr>
        <w:t xml:space="preserve"> Deloitte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poskytováním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Přiměřené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výdaje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vzniklé</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cestovních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výdajů</w:t>
      </w:r>
      <w:proofErr w:type="spellEnd"/>
      <w:r w:rsidRPr="009D5B7E">
        <w:rPr>
          <w:rFonts w:ascii="Calibri" w:hAnsi="Calibri" w:cs="Calibri"/>
          <w:sz w:val="20"/>
          <w:szCs w:val="18"/>
        </w:rPr>
        <w:t xml:space="preserve"> a diet, </w:t>
      </w:r>
      <w:proofErr w:type="spellStart"/>
      <w:r w:rsidRPr="009D5B7E">
        <w:rPr>
          <w:rFonts w:ascii="Calibri" w:hAnsi="Calibri" w:cs="Calibri"/>
          <w:sz w:val="20"/>
          <w:szCs w:val="18"/>
        </w:rPr>
        <w:t>výdaje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vzniklé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vyžadovaných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rozhodnutím</w:t>
      </w:r>
      <w:proofErr w:type="spellEnd"/>
      <w:r w:rsidRPr="009D5B7E">
        <w:rPr>
          <w:rFonts w:ascii="Calibri" w:hAnsi="Calibri" w:cs="Calibri"/>
          <w:sz w:val="20"/>
          <w:szCs w:val="18"/>
        </w:rPr>
        <w:t>/</w:t>
      </w:r>
      <w:proofErr w:type="spellStart"/>
      <w:r w:rsidRPr="009D5B7E">
        <w:rPr>
          <w:rFonts w:ascii="Calibri" w:hAnsi="Calibri" w:cs="Calibri"/>
          <w:sz w:val="20"/>
          <w:szCs w:val="18"/>
        </w:rPr>
        <w:t>nařízením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nařízením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regulačních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úřadů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výdaje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vzniklé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vytvářením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dokumentu</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předložení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třetím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základě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událostí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vedoucích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nákladů</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poskytnutí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zboží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pořízené</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poskytováním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přičteny</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Ceně</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
    <w:p w14:paraId="60283EBE" w14:textId="77777777" w:rsidR="000A7DF6" w:rsidRPr="009D5B7E" w:rsidRDefault="000A7DF6" w:rsidP="000A7DF6">
      <w:pPr>
        <w:numPr>
          <w:ilvl w:val="0"/>
          <w:numId w:val="11"/>
        </w:numPr>
        <w:spacing w:after="120" w:line="120" w:lineRule="atLeast"/>
        <w:ind w:left="568" w:hanging="284"/>
        <w:jc w:val="both"/>
        <w:rPr>
          <w:rFonts w:ascii="Calibri" w:hAnsi="Calibri" w:cs="Calibri"/>
          <w:sz w:val="20"/>
          <w:szCs w:val="18"/>
        </w:rPr>
      </w:pP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elektronickou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fakturace</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stanovených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platnými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předpisy</w:t>
      </w:r>
      <w:proofErr w:type="spellEnd"/>
      <w:r w:rsidRPr="009D5B7E">
        <w:rPr>
          <w:rFonts w:ascii="Calibri" w:hAnsi="Calibri" w:cs="Calibri"/>
          <w:sz w:val="20"/>
          <w:szCs w:val="18"/>
        </w:rPr>
        <w:t>.</w:t>
      </w:r>
      <w:r w:rsidRPr="009D5B7E">
        <w:rPr>
          <w:rFonts w:ascii="Calibri" w:hAnsi="Calibri" w:cs="Calibri"/>
          <w:i/>
          <w:sz w:val="20"/>
          <w:szCs w:val="18"/>
        </w:rPr>
        <w:t xml:space="preserve"> </w:t>
      </w:r>
      <w:r w:rsidRPr="009D5B7E">
        <w:rPr>
          <w:rFonts w:ascii="Calibri" w:hAnsi="Calibri" w:cs="Calibri"/>
          <w:sz w:val="20"/>
          <w:szCs w:val="18"/>
        </w:rPr>
        <w:t xml:space="preserve">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vystavovat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fakturu</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poskytnuté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přijetí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dodávky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(jak je </w:t>
      </w:r>
      <w:proofErr w:type="spellStart"/>
      <w:r w:rsidRPr="009D5B7E">
        <w:rPr>
          <w:rFonts w:ascii="Calibri" w:hAnsi="Calibri" w:cs="Calibri"/>
          <w:sz w:val="20"/>
          <w:szCs w:val="18"/>
        </w:rPr>
        <w:t>uvedeno</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2(a) v. </w:t>
      </w:r>
      <w:proofErr w:type="spellStart"/>
      <w:r w:rsidRPr="009D5B7E">
        <w:rPr>
          <w:rFonts w:ascii="Calibri" w:hAnsi="Calibri" w:cs="Calibri"/>
          <w:sz w:val="20"/>
          <w:szCs w:val="18"/>
        </w:rPr>
        <w:t>výše</w:t>
      </w:r>
      <w:proofErr w:type="spellEnd"/>
      <w:r w:rsidRPr="009D5B7E">
        <w:rPr>
          <w:rFonts w:ascii="Calibri" w:hAnsi="Calibri" w:cs="Calibri"/>
          <w:sz w:val="20"/>
          <w:szCs w:val="18"/>
        </w:rPr>
        <w:t>),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(ii) </w:t>
      </w:r>
      <w:proofErr w:type="spellStart"/>
      <w:r w:rsidRPr="009D5B7E">
        <w:rPr>
          <w:rFonts w:ascii="Calibri" w:hAnsi="Calibri" w:cs="Calibri"/>
          <w:sz w:val="20"/>
          <w:szCs w:val="18"/>
        </w:rPr>
        <w:t>průběžně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průběžné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fakturace</w:t>
      </w:r>
      <w:proofErr w:type="spellEnd"/>
      <w:r w:rsidRPr="009D5B7E">
        <w:rPr>
          <w:rFonts w:ascii="Calibri" w:hAnsi="Calibri" w:cs="Calibri"/>
          <w:sz w:val="20"/>
          <w:szCs w:val="18"/>
        </w:rPr>
        <w:t>)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množstvím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požadovat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zálohu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žádat</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zálohu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výdaje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jménem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
    <w:p w14:paraId="02FBED2C" w14:textId="77777777" w:rsidR="000A7DF6" w:rsidRPr="009D5B7E" w:rsidRDefault="000A7DF6" w:rsidP="000A7DF6">
      <w:pPr>
        <w:numPr>
          <w:ilvl w:val="0"/>
          <w:numId w:val="11"/>
        </w:numPr>
        <w:spacing w:after="120" w:line="120" w:lineRule="atLeast"/>
        <w:ind w:left="568" w:hanging="284"/>
        <w:jc w:val="both"/>
        <w:rPr>
          <w:rFonts w:ascii="Calibri" w:hAnsi="Calibri" w:cs="Calibri"/>
          <w:sz w:val="20"/>
          <w:szCs w:val="18"/>
        </w:rPr>
      </w:pPr>
      <w:r w:rsidRPr="009D5B7E">
        <w:rPr>
          <w:rFonts w:ascii="Calibri" w:hAnsi="Calibri" w:cs="Calibri"/>
          <w:sz w:val="20"/>
          <w:szCs w:val="18"/>
        </w:rPr>
        <w:t xml:space="preserve">Pro </w:t>
      </w:r>
      <w:proofErr w:type="spellStart"/>
      <w:r w:rsidRPr="009D5B7E">
        <w:rPr>
          <w:rFonts w:ascii="Calibri" w:hAnsi="Calibri" w:cs="Calibri"/>
          <w:sz w:val="20"/>
          <w:szCs w:val="18"/>
        </w:rPr>
        <w:t>vyrovnání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splatné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započítat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pohledávky</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oproti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jakýmkoli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pohledávkám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
    <w:p w14:paraId="15C664EA"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r w:rsidRPr="009D5B7E">
        <w:rPr>
          <w:rFonts w:ascii="Calibri" w:hAnsi="Calibri" w:cs="Calibri"/>
          <w:sz w:val="20"/>
          <w:szCs w:val="18"/>
        </w:rPr>
        <w:t xml:space="preserve">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DPH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průběžně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nedohodnou</w:t>
      </w:r>
      <w:proofErr w:type="spellEnd"/>
      <w:r w:rsidRPr="009D5B7E">
        <w:rPr>
          <w:rFonts w:ascii="Calibri" w:hAnsi="Calibri" w:cs="Calibri"/>
          <w:sz w:val="20"/>
          <w:szCs w:val="18"/>
        </w:rPr>
        <w:t xml:space="preserve">-li se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Každé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plnění</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považováno</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poskytnuté</w:t>
      </w:r>
      <w:proofErr w:type="spellEnd"/>
      <w:r w:rsidRPr="009D5B7E">
        <w:rPr>
          <w:rFonts w:ascii="Calibri" w:hAnsi="Calibri" w:cs="Calibri"/>
          <w:sz w:val="20"/>
          <w:szCs w:val="18"/>
        </w:rPr>
        <w:t xml:space="preserve"> v den </w:t>
      </w:r>
      <w:proofErr w:type="spellStart"/>
      <w:r w:rsidRPr="009D5B7E">
        <w:rPr>
          <w:rFonts w:ascii="Calibri" w:hAnsi="Calibri" w:cs="Calibri"/>
          <w:sz w:val="20"/>
          <w:szCs w:val="18"/>
        </w:rPr>
        <w:t>vydání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příslušné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nestanoví</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příslušné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
    <w:p w14:paraId="771A13C3"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Faktury</w:t>
      </w:r>
      <w:proofErr w:type="spellEnd"/>
      <w:r w:rsidRPr="009D5B7E">
        <w:rPr>
          <w:rFonts w:ascii="Calibri" w:hAnsi="Calibri" w:cs="Calibri"/>
          <w:sz w:val="20"/>
          <w:szCs w:val="18"/>
        </w:rPr>
        <w:t xml:space="preserve"> Deloitte v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splatné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předložení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zaslání</w:t>
      </w:r>
      <w:proofErr w:type="spellEnd"/>
      <w:r w:rsidRPr="009D5B7E">
        <w:rPr>
          <w:rFonts w:ascii="Calibri" w:hAnsi="Calibri" w:cs="Calibri"/>
          <w:sz w:val="20"/>
          <w:szCs w:val="18"/>
        </w:rPr>
        <w:t xml:space="preserve"> e-</w:t>
      </w:r>
      <w:proofErr w:type="spellStart"/>
      <w:r w:rsidRPr="009D5B7E">
        <w:rPr>
          <w:rFonts w:ascii="Calibri" w:hAnsi="Calibri" w:cs="Calibri"/>
          <w:sz w:val="20"/>
          <w:szCs w:val="18"/>
        </w:rPr>
        <w:t>mailem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formátu</w:t>
      </w:r>
      <w:proofErr w:type="spellEnd"/>
      <w:r w:rsidRPr="009D5B7E">
        <w:rPr>
          <w:rFonts w:ascii="Calibri" w:hAnsi="Calibri" w:cs="Calibri"/>
          <w:sz w:val="20"/>
          <w:szCs w:val="18"/>
        </w:rPr>
        <w:t xml:space="preserve"> .pdf)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přijetí</w:t>
      </w:r>
      <w:proofErr w:type="spellEnd"/>
      <w:r w:rsidRPr="009D5B7E">
        <w:rPr>
          <w:rFonts w:ascii="Calibri" w:hAnsi="Calibri" w:cs="Calibri"/>
          <w:sz w:val="20"/>
          <w:szCs w:val="18"/>
        </w:rPr>
        <w:t xml:space="preserve">, je-li to </w:t>
      </w:r>
      <w:proofErr w:type="spellStart"/>
      <w:r w:rsidRPr="009D5B7E">
        <w:rPr>
          <w:rFonts w:ascii="Calibri" w:hAnsi="Calibri" w:cs="Calibri"/>
          <w:sz w:val="20"/>
          <w:szCs w:val="18"/>
        </w:rPr>
        <w:t>nezbytné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úhrada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obdržena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během</w:t>
      </w:r>
      <w:proofErr w:type="spellEnd"/>
      <w:r w:rsidRPr="009D5B7E">
        <w:rPr>
          <w:rFonts w:ascii="Calibri" w:hAnsi="Calibri" w:cs="Calibri"/>
          <w:sz w:val="20"/>
          <w:szCs w:val="18"/>
        </w:rPr>
        <w:t xml:space="preserve"> 14 </w:t>
      </w:r>
      <w:proofErr w:type="spellStart"/>
      <w:r w:rsidRPr="009D5B7E">
        <w:rPr>
          <w:rFonts w:ascii="Calibri" w:hAnsi="Calibri" w:cs="Calibri"/>
          <w:sz w:val="20"/>
          <w:szCs w:val="18"/>
        </w:rPr>
        <w:t>dní</w:t>
      </w:r>
      <w:proofErr w:type="spellEnd"/>
      <w:r w:rsidRPr="009D5B7E">
        <w:rPr>
          <w:rFonts w:ascii="Calibri" w:hAnsi="Calibri" w:cs="Calibri"/>
          <w:sz w:val="20"/>
          <w:szCs w:val="18"/>
        </w:rPr>
        <w:t xml:space="preserve"> od data </w:t>
      </w:r>
      <w:proofErr w:type="spellStart"/>
      <w:r w:rsidRPr="009D5B7E">
        <w:rPr>
          <w:rFonts w:ascii="Calibri" w:hAnsi="Calibri" w:cs="Calibri"/>
          <w:sz w:val="20"/>
          <w:szCs w:val="18"/>
        </w:rPr>
        <w:t>faktury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účtovat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úrok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v </w:t>
      </w:r>
      <w:proofErr w:type="spellStart"/>
      <w:r w:rsidRPr="009D5B7E">
        <w:rPr>
          <w:rFonts w:ascii="Calibri" w:hAnsi="Calibri" w:cs="Calibri"/>
          <w:sz w:val="20"/>
          <w:szCs w:val="18"/>
        </w:rPr>
        <w:t>nejvyšší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povolené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přípustné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zákonem</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minimální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sazbou</w:t>
      </w:r>
      <w:proofErr w:type="spellEnd"/>
      <w:r w:rsidRPr="009D5B7E">
        <w:rPr>
          <w:rFonts w:ascii="Calibri" w:hAnsi="Calibri" w:cs="Calibri"/>
          <w:sz w:val="20"/>
          <w:szCs w:val="18"/>
        </w:rPr>
        <w:t xml:space="preserve"> 1½% </w:t>
      </w:r>
      <w:proofErr w:type="spellStart"/>
      <w:r w:rsidRPr="009D5B7E">
        <w:rPr>
          <w:rFonts w:ascii="Calibri" w:hAnsi="Calibri" w:cs="Calibri"/>
          <w:sz w:val="20"/>
          <w:szCs w:val="18"/>
        </w:rPr>
        <w:t>měsíčně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(ii) v </w:t>
      </w:r>
      <w:proofErr w:type="spellStart"/>
      <w:r w:rsidRPr="009D5B7E">
        <w:rPr>
          <w:rFonts w:ascii="Calibri" w:hAnsi="Calibri" w:cs="Calibri"/>
          <w:sz w:val="20"/>
          <w:szCs w:val="18"/>
        </w:rPr>
        <w:t>sazbě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specifikované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upravena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dohodou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w:t>
      </w:r>
      <w:proofErr w:type="spellEnd"/>
      <w:r w:rsidRPr="009D5B7E">
        <w:rPr>
          <w:rFonts w:ascii="Calibri" w:hAnsi="Calibri" w:cs="Calibri"/>
          <w:sz w:val="20"/>
          <w:szCs w:val="18"/>
        </w:rPr>
        <w:t>, v </w:t>
      </w:r>
      <w:proofErr w:type="spellStart"/>
      <w:r w:rsidRPr="009D5B7E">
        <w:rPr>
          <w:rFonts w:ascii="Calibri" w:hAnsi="Calibri" w:cs="Calibri"/>
          <w:sz w:val="20"/>
          <w:szCs w:val="18"/>
        </w:rPr>
        <w:t>každém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počítaná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měsíčně</w:t>
      </w:r>
      <w:proofErr w:type="spellEnd"/>
      <w:r w:rsidRPr="009D5B7E">
        <w:rPr>
          <w:rFonts w:ascii="Calibri" w:hAnsi="Calibri" w:cs="Calibri"/>
          <w:sz w:val="20"/>
          <w:szCs w:val="18"/>
        </w:rPr>
        <w:t xml:space="preserve"> do </w:t>
      </w:r>
      <w:proofErr w:type="spellStart"/>
      <w:r w:rsidRPr="009D5B7E">
        <w:rPr>
          <w:rFonts w:ascii="Calibri" w:hAnsi="Calibri" w:cs="Calibri"/>
          <w:sz w:val="20"/>
          <w:szCs w:val="18"/>
        </w:rPr>
        <w:t>míry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povolené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zákonem</w:t>
      </w:r>
      <w:proofErr w:type="spellEnd"/>
      <w:r w:rsidRPr="009D5B7E">
        <w:rPr>
          <w:rFonts w:ascii="Calibri" w:hAnsi="Calibri" w:cs="Calibri"/>
          <w:sz w:val="20"/>
          <w:szCs w:val="18"/>
        </w:rPr>
        <w:t>. 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vzniknou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náklady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vymáhání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zastoupení</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ohledem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odměnu</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splatnosti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náklady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účtovány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dodatečné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faktuře</w:t>
      </w:r>
      <w:proofErr w:type="spellEnd"/>
      <w:r w:rsidRPr="009D5B7E">
        <w:rPr>
          <w:rFonts w:ascii="Calibri" w:hAnsi="Calibri" w:cs="Calibri"/>
          <w:sz w:val="20"/>
          <w:szCs w:val="18"/>
        </w:rPr>
        <w:t xml:space="preserve">. Bez </w:t>
      </w:r>
      <w:proofErr w:type="spellStart"/>
      <w:r w:rsidRPr="009D5B7E">
        <w:rPr>
          <w:rFonts w:ascii="Calibri" w:hAnsi="Calibri" w:cs="Calibri"/>
          <w:sz w:val="20"/>
          <w:szCs w:val="18"/>
        </w:rPr>
        <w:t>omezení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ostatních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svých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opravných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zastavit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ukončit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zcela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částečně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úhrada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přijata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během</w:t>
      </w:r>
      <w:proofErr w:type="spellEnd"/>
      <w:r w:rsidRPr="009D5B7E">
        <w:rPr>
          <w:rFonts w:ascii="Calibri" w:hAnsi="Calibri" w:cs="Calibri"/>
          <w:sz w:val="20"/>
          <w:szCs w:val="18"/>
        </w:rPr>
        <w:t xml:space="preserve"> 14 </w:t>
      </w:r>
      <w:proofErr w:type="spellStart"/>
      <w:r w:rsidRPr="009D5B7E">
        <w:rPr>
          <w:rFonts w:ascii="Calibri" w:hAnsi="Calibri" w:cs="Calibri"/>
          <w:sz w:val="20"/>
          <w:szCs w:val="18"/>
        </w:rPr>
        <w:t>dní</w:t>
      </w:r>
      <w:proofErr w:type="spellEnd"/>
      <w:r w:rsidRPr="009D5B7E">
        <w:rPr>
          <w:rFonts w:ascii="Calibri" w:hAnsi="Calibri" w:cs="Calibri"/>
          <w:sz w:val="20"/>
          <w:szCs w:val="18"/>
        </w:rPr>
        <w:t xml:space="preserve"> od data </w:t>
      </w:r>
      <w:proofErr w:type="spellStart"/>
      <w:r w:rsidRPr="009D5B7E">
        <w:rPr>
          <w:rFonts w:ascii="Calibri" w:hAnsi="Calibri" w:cs="Calibri"/>
          <w:sz w:val="20"/>
          <w:szCs w:val="18"/>
        </w:rPr>
        <w:t>faktury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následně</w:t>
      </w:r>
      <w:proofErr w:type="spellEnd"/>
      <w:r w:rsidRPr="009D5B7E">
        <w:rPr>
          <w:rFonts w:ascii="Calibri" w:hAnsi="Calibri" w:cs="Calibri"/>
          <w:sz w:val="20"/>
          <w:szCs w:val="18"/>
        </w:rPr>
        <w:t xml:space="preserve"> se v </w:t>
      </w:r>
      <w:proofErr w:type="spellStart"/>
      <w:r w:rsidRPr="009D5B7E">
        <w:rPr>
          <w:rFonts w:ascii="Calibri" w:hAnsi="Calibri" w:cs="Calibri"/>
          <w:sz w:val="20"/>
          <w:szCs w:val="18"/>
        </w:rPr>
        <w:t>tomto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smyslu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uplatní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čl</w:t>
      </w:r>
      <w:proofErr w:type="spellEnd"/>
      <w:r w:rsidRPr="009D5B7E">
        <w:rPr>
          <w:rFonts w:ascii="Calibri" w:hAnsi="Calibri" w:cs="Calibri"/>
          <w:sz w:val="20"/>
          <w:szCs w:val="18"/>
        </w:rPr>
        <w:t xml:space="preserve">. 2 a) iv). </w:t>
      </w:r>
      <w:proofErr w:type="spellStart"/>
      <w:r w:rsidRPr="009D5B7E">
        <w:rPr>
          <w:rFonts w:ascii="Calibri" w:hAnsi="Calibri" w:cs="Calibri"/>
          <w:sz w:val="20"/>
          <w:szCs w:val="18"/>
        </w:rPr>
        <w:t>Vznikne</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spor</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ohledně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uhradí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nerozporovanou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je DPH,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prodeje</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užívání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hrubých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příjmů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srážková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podobné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uvalené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nimi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související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nepředstavující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příjmů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daň</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majetku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Deloitte. </w:t>
      </w:r>
    </w:p>
    <w:p w14:paraId="3E751DDF"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Jakýkoli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odhad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Ceny</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vycházet</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posouzení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při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zohlednění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předpokladů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stanovených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odhad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Ceny</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upraven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např</w:t>
      </w:r>
      <w:proofErr w:type="spellEnd"/>
      <w:r w:rsidRPr="009D5B7E">
        <w:rPr>
          <w:rFonts w:ascii="Calibri" w:hAnsi="Calibri" w:cs="Calibri"/>
          <w:sz w:val="20"/>
          <w:szCs w:val="18"/>
        </w:rPr>
        <w:t>. 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ukáží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složitější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časově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náročnější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než</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očekávalo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přičemž</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takové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situaci</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předem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takové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očekávané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úpravě</w:t>
      </w:r>
      <w:proofErr w:type="spellEnd"/>
      <w:r w:rsidRPr="009D5B7E">
        <w:rPr>
          <w:rFonts w:ascii="Calibri" w:hAnsi="Calibri" w:cs="Calibri"/>
          <w:sz w:val="20"/>
          <w:szCs w:val="18"/>
        </w:rPr>
        <w:t xml:space="preserve">. </w:t>
      </w:r>
    </w:p>
    <w:p w14:paraId="2E07BB92" w14:textId="77777777" w:rsidR="000A7DF6" w:rsidRPr="009D5B7E" w:rsidRDefault="000A7DF6" w:rsidP="000A7DF6">
      <w:pPr>
        <w:numPr>
          <w:ilvl w:val="0"/>
          <w:numId w:val="11"/>
        </w:numPr>
        <w:spacing w:after="120" w:line="120" w:lineRule="atLeast"/>
        <w:ind w:left="568" w:right="70" w:hanging="284"/>
        <w:jc w:val="both"/>
        <w:rPr>
          <w:rFonts w:ascii="Calibri" w:hAnsi="Calibri" w:cs="Calibri"/>
          <w:sz w:val="20"/>
          <w:szCs w:val="18"/>
        </w:rPr>
      </w:pP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členy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1b) </w:t>
      </w:r>
      <w:proofErr w:type="spellStart"/>
      <w:r w:rsidRPr="009D5B7E">
        <w:rPr>
          <w:rFonts w:ascii="Calibri" w:hAnsi="Calibri" w:cs="Calibri"/>
          <w:sz w:val="20"/>
          <w:szCs w:val="18"/>
        </w:rPr>
        <w:t>výše</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nerozdílně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odpovědný</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úhradu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částky</w:t>
      </w:r>
      <w:proofErr w:type="spellEnd"/>
      <w:r w:rsidRPr="009D5B7E">
        <w:rPr>
          <w:rFonts w:ascii="Calibri" w:hAnsi="Calibri" w:cs="Calibri"/>
          <w:sz w:val="20"/>
          <w:szCs w:val="18"/>
        </w:rPr>
        <w:t xml:space="preserve"> a za </w:t>
      </w:r>
      <w:proofErr w:type="spellStart"/>
      <w:r w:rsidRPr="009D5B7E">
        <w:rPr>
          <w:rFonts w:ascii="Calibri" w:hAnsi="Calibri" w:cs="Calibri"/>
          <w:sz w:val="20"/>
          <w:szCs w:val="18"/>
        </w:rPr>
        <w:t>realizaci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ostatních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vyplývajících</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zejména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povinností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zachování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mlčenlivosti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šíření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Výstupů</w:t>
      </w:r>
      <w:proofErr w:type="spellEnd"/>
      <w:r w:rsidRPr="009D5B7E">
        <w:rPr>
          <w:rFonts w:ascii="Calibri" w:hAnsi="Calibri" w:cs="Calibri"/>
          <w:sz w:val="20"/>
          <w:szCs w:val="18"/>
        </w:rPr>
        <w:t xml:space="preserve">. </w:t>
      </w:r>
    </w:p>
    <w:p w14:paraId="79B3956B"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bookmarkStart w:id="63" w:name="Doba"/>
      <w:bookmarkEnd w:id="63"/>
      <w:proofErr w:type="spellStart"/>
      <w:r w:rsidRPr="009D5B7E">
        <w:rPr>
          <w:rFonts w:ascii="Calibri" w:hAnsi="Calibri" w:cs="Calibri"/>
          <w:b/>
          <w:kern w:val="28"/>
          <w:sz w:val="20"/>
          <w:szCs w:val="18"/>
        </w:rPr>
        <w:t>Doba</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trvání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Smlouvy</w:t>
      </w:r>
      <w:proofErr w:type="spellEnd"/>
      <w:r w:rsidRPr="009D5B7E">
        <w:rPr>
          <w:rFonts w:ascii="Calibri" w:hAnsi="Calibri" w:cs="Calibri"/>
          <w:b/>
          <w:kern w:val="28"/>
          <w:sz w:val="20"/>
          <w:szCs w:val="18"/>
        </w:rPr>
        <w:t xml:space="preserve"> </w:t>
      </w:r>
    </w:p>
    <w:p w14:paraId="797831B7" w14:textId="77777777" w:rsidR="000A7DF6" w:rsidRPr="009D5B7E" w:rsidRDefault="000A7DF6" w:rsidP="000A7DF6">
      <w:pPr>
        <w:pStyle w:val="Odstavecseseznamem"/>
        <w:keepLines w:val="0"/>
        <w:numPr>
          <w:ilvl w:val="0"/>
          <w:numId w:val="16"/>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 xml:space="preserve">Není-li Smlouva v souladu s tímto zněním ukončena dříve, končí řádným poskytnutím Služeb. </w:t>
      </w:r>
    </w:p>
    <w:p w14:paraId="13181F76" w14:textId="77777777" w:rsidR="000A7DF6" w:rsidRPr="009D5B7E" w:rsidRDefault="000A7DF6" w:rsidP="000A7DF6">
      <w:pPr>
        <w:numPr>
          <w:ilvl w:val="0"/>
          <w:numId w:val="16"/>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lastRenderedPageBreak/>
        <w:t xml:space="preserve">Kterákoli ze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1F7BAD96" w14:textId="77777777" w:rsidR="000A7DF6" w:rsidRPr="009D5B7E" w:rsidRDefault="000A7DF6" w:rsidP="000A7DF6">
      <w:pPr>
        <w:numPr>
          <w:ilvl w:val="0"/>
          <w:numId w:val="16"/>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Pokud to stávající zákony nezakazují, Deloitte nebo Klient mohou tuto Smlouvu ukončit s okamžitou účinností písemnou výpovědí v případě, že (i) druhá strana podala návrh na vyhlášení moratoria nebo vlastní insolvenční návrh, (</w:t>
      </w:r>
      <w:proofErr w:type="spellStart"/>
      <w:r w:rsidRPr="009D5B7E">
        <w:rPr>
          <w:rFonts w:ascii="Calibri" w:hAnsi="Calibri" w:cs="Calibri"/>
          <w:sz w:val="20"/>
          <w:szCs w:val="18"/>
          <w:lang w:val="cs-CZ"/>
        </w:rPr>
        <w:t>ii</w:t>
      </w:r>
      <w:proofErr w:type="spellEnd"/>
      <w:r w:rsidRPr="009D5B7E">
        <w:rPr>
          <w:rFonts w:ascii="Calibri" w:hAnsi="Calibri" w:cs="Calibri"/>
          <w:sz w:val="20"/>
          <w:szCs w:val="18"/>
          <w:lang w:val="cs-CZ"/>
        </w:rPr>
        <w:t>) byl na druhou stranu prohlášen konkurs nebo byla druhá strana prohlášena za nesolventní (předluženou) příslušným úřadem (soudem) z důvodu platební neschopnosti nebo předluženosti, nebo (</w:t>
      </w:r>
      <w:proofErr w:type="spellStart"/>
      <w:r w:rsidRPr="009D5B7E">
        <w:rPr>
          <w:rFonts w:ascii="Calibri" w:hAnsi="Calibri" w:cs="Calibri"/>
          <w:sz w:val="20"/>
          <w:szCs w:val="18"/>
          <w:lang w:val="cs-CZ"/>
        </w:rPr>
        <w:t>iii</w:t>
      </w:r>
      <w:proofErr w:type="spellEnd"/>
      <w:r w:rsidRPr="009D5B7E">
        <w:rPr>
          <w:rFonts w:ascii="Calibri" w:hAnsi="Calibri" w:cs="Calibri"/>
          <w:sz w:val="20"/>
          <w:szCs w:val="18"/>
          <w:lang w:val="cs-CZ"/>
        </w:rPr>
        <w:t>) byl zamítnut návrh na prohlášení insolvence proti ní z důvodu nedostatečného majetku, nebo (</w:t>
      </w:r>
      <w:proofErr w:type="spellStart"/>
      <w:r w:rsidRPr="009D5B7E">
        <w:rPr>
          <w:rFonts w:ascii="Calibri" w:hAnsi="Calibri" w:cs="Calibri"/>
          <w:sz w:val="20"/>
          <w:szCs w:val="18"/>
          <w:lang w:val="cs-CZ"/>
        </w:rPr>
        <w:t>iv</w:t>
      </w:r>
      <w:proofErr w:type="spellEnd"/>
      <w:r w:rsidRPr="009D5B7E">
        <w:rPr>
          <w:rFonts w:ascii="Calibri" w:hAnsi="Calibri" w:cs="Calibri"/>
          <w:sz w:val="20"/>
          <w:szCs w:val="18"/>
          <w:lang w:val="cs-CZ"/>
        </w:rPr>
        <w:t xml:space="preserve">) jsou její aktiva předmětem obstavení hmotného majetku nebo (v) je v likvidaci. </w:t>
      </w:r>
    </w:p>
    <w:p w14:paraId="66BF246A" w14:textId="77777777" w:rsidR="000A7DF6" w:rsidRPr="009D5B7E" w:rsidRDefault="000A7DF6" w:rsidP="000A7DF6">
      <w:pPr>
        <w:numPr>
          <w:ilvl w:val="0"/>
          <w:numId w:val="16"/>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 </w:t>
      </w:r>
    </w:p>
    <w:p w14:paraId="4DE4D6F1" w14:textId="797ECCB5" w:rsidR="000A7DF6" w:rsidRPr="009D5B7E" w:rsidRDefault="000A7DF6" w:rsidP="000A7DF6">
      <w:pPr>
        <w:numPr>
          <w:ilvl w:val="0"/>
          <w:numId w:val="16"/>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Při ukončení </w:t>
      </w:r>
      <w:r w:rsidR="002A4546">
        <w:rPr>
          <w:rFonts w:ascii="Calibri" w:hAnsi="Calibri" w:cs="Calibri"/>
          <w:sz w:val="20"/>
          <w:szCs w:val="18"/>
          <w:lang w:val="cs-CZ"/>
        </w:rPr>
        <w:t>S</w:t>
      </w:r>
      <w:r w:rsidRPr="009D5B7E">
        <w:rPr>
          <w:rFonts w:ascii="Calibri" w:hAnsi="Calibri" w:cs="Calibri"/>
          <w:sz w:val="20"/>
          <w:szCs w:val="18"/>
          <w:lang w:val="cs-CZ"/>
        </w:rPr>
        <w:t xml:space="preserve">mlouvy z jakéhokoli důvodu Klient poskytne společnosti Deloitte náhradu v souladu s podmínkami Smlouvy za poskytnuté Služby a výdaje nebo náklady (včetně veškerých specifických nákladů, jako </w:t>
      </w:r>
      <w:r w:rsidRPr="009D5B7E">
        <w:rPr>
          <w:rFonts w:ascii="Calibri" w:hAnsi="Calibri" w:cs="Calibri"/>
          <w:sz w:val="20"/>
          <w:szCs w:val="18"/>
          <w:lang w:val="cs-CZ"/>
        </w:rPr>
        <w:t xml:space="preserve">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5F16AC9F"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Vlastnictví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majetku</w:t>
      </w:r>
      <w:proofErr w:type="spellEnd"/>
      <w:r w:rsidRPr="009D5B7E">
        <w:rPr>
          <w:rFonts w:ascii="Calibri" w:hAnsi="Calibri" w:cs="Calibri"/>
          <w:b/>
          <w:kern w:val="28"/>
          <w:sz w:val="20"/>
          <w:szCs w:val="18"/>
        </w:rPr>
        <w:t xml:space="preserve"> Deloitte </w:t>
      </w:r>
    </w:p>
    <w:p w14:paraId="03E93E23" w14:textId="77777777" w:rsidR="000A7DF6" w:rsidRPr="009D5B7E" w:rsidRDefault="000A7DF6" w:rsidP="000A7DF6">
      <w:pPr>
        <w:pStyle w:val="Odstavecseseznamem"/>
        <w:keepLines w:val="0"/>
        <w:numPr>
          <w:ilvl w:val="0"/>
          <w:numId w:val="17"/>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Výstupu, jenž má výslovné povolení používat Výstup. Klient nebude (i) zveřejňovat a kopírovat Výstupy a související dokumentaci (k jiným než k interním účelům), (</w:t>
      </w:r>
      <w:proofErr w:type="spellStart"/>
      <w:r w:rsidRPr="009D5B7E">
        <w:rPr>
          <w:rFonts w:ascii="Calibri" w:hAnsi="Calibri" w:cs="Calibri"/>
          <w:sz w:val="20"/>
        </w:rPr>
        <w:t>ii</w:t>
      </w:r>
      <w:proofErr w:type="spellEnd"/>
      <w:r w:rsidRPr="009D5B7E">
        <w:rPr>
          <w:rFonts w:ascii="Calibri" w:hAnsi="Calibri" w:cs="Calibri"/>
          <w:sz w:val="20"/>
        </w:rPr>
        <w:t>) zveřejňovat, modifikovat nebo vytvářet vylepšené verze Výstupů, (</w:t>
      </w:r>
      <w:proofErr w:type="spellStart"/>
      <w:r w:rsidRPr="009D5B7E">
        <w:rPr>
          <w:rFonts w:ascii="Calibri" w:hAnsi="Calibri" w:cs="Calibri"/>
          <w:sz w:val="20"/>
        </w:rPr>
        <w:t>iii</w:t>
      </w:r>
      <w:proofErr w:type="spellEnd"/>
      <w:r w:rsidRPr="009D5B7E">
        <w:rPr>
          <w:rFonts w:ascii="Calibri" w:hAnsi="Calibri" w:cs="Calibri"/>
          <w:sz w:val="20"/>
        </w:rPr>
        <w:t>) měnit, slučovat, modifikovat, upravovat nebo překládat Výstupy, (</w:t>
      </w:r>
      <w:proofErr w:type="spellStart"/>
      <w:r w:rsidRPr="009D5B7E">
        <w:rPr>
          <w:rFonts w:ascii="Calibri" w:hAnsi="Calibri" w:cs="Calibri"/>
          <w:sz w:val="20"/>
        </w:rPr>
        <w:t>iv</w:t>
      </w:r>
      <w:proofErr w:type="spellEnd"/>
      <w:r w:rsidRPr="009D5B7E">
        <w:rPr>
          <w:rFonts w:ascii="Calibri" w:hAnsi="Calibri" w:cs="Calibri"/>
          <w:sz w:val="20"/>
        </w:rPr>
        <w:t xml:space="preserve">) provádět </w:t>
      </w:r>
      <w:proofErr w:type="spellStart"/>
      <w:r w:rsidRPr="009D5B7E">
        <w:rPr>
          <w:rFonts w:ascii="Calibri" w:hAnsi="Calibri" w:cs="Calibri"/>
          <w:sz w:val="20"/>
        </w:rPr>
        <w:t>dekompilaci</w:t>
      </w:r>
      <w:proofErr w:type="spellEnd"/>
      <w:r w:rsidRPr="009D5B7E">
        <w:rPr>
          <w:rFonts w:ascii="Calibri" w:hAnsi="Calibri" w:cs="Calibri"/>
          <w:sz w:val="20"/>
        </w:rPr>
        <w:t xml:space="preserve">, demontáž nebo </w:t>
      </w:r>
      <w:r w:rsidRPr="009D5B7E">
        <w:rPr>
          <w:rFonts w:ascii="Calibri" w:hAnsi="Calibri" w:cs="Calibri"/>
          <w:sz w:val="20"/>
        </w:rPr>
        <w:lastRenderedPageBreak/>
        <w:t>reverzní inženýrství Výstupu jako celku nebo části, provádět převod ze zdrojového kódu Výstupů, (v) používat, kopírovat, reprodukovat, psát nebo vytvářet jakýkoli odvozený výtvor nebo jiný výtvor založený na celém Výstupu nebo jeho části, (</w:t>
      </w:r>
      <w:proofErr w:type="spellStart"/>
      <w:r w:rsidRPr="009D5B7E">
        <w:rPr>
          <w:rFonts w:ascii="Calibri" w:hAnsi="Calibri" w:cs="Calibri"/>
          <w:sz w:val="20"/>
        </w:rPr>
        <w:t>vi</w:t>
      </w:r>
      <w:proofErr w:type="spellEnd"/>
      <w:r w:rsidRPr="009D5B7E">
        <w:rPr>
          <w:rFonts w:ascii="Calibri" w:hAnsi="Calibri" w:cs="Calibri"/>
          <w:sz w:val="20"/>
        </w:rPr>
        <w:t>) měnit, zpracovávat a kombinovat Výstup s jinými výtvory a používat Výstup v kombinaci s jinými výtvory, (</w:t>
      </w:r>
      <w:proofErr w:type="spellStart"/>
      <w:r w:rsidRPr="009D5B7E">
        <w:rPr>
          <w:rFonts w:ascii="Calibri" w:hAnsi="Calibri" w:cs="Calibri"/>
          <w:sz w:val="20"/>
        </w:rPr>
        <w:t>vii</w:t>
      </w:r>
      <w:proofErr w:type="spellEnd"/>
      <w:r w:rsidRPr="009D5B7E">
        <w:rPr>
          <w:rFonts w:ascii="Calibri" w:hAnsi="Calibri" w:cs="Calibri"/>
          <w:sz w:val="20"/>
        </w:rPr>
        <w:t>) pronajímat a/nebo půjčovat Výstup a související dokumentaci nebo jejich kopie třetím stranám, a (</w:t>
      </w:r>
      <w:proofErr w:type="spellStart"/>
      <w:r w:rsidRPr="009D5B7E">
        <w:rPr>
          <w:rFonts w:ascii="Calibri" w:hAnsi="Calibri" w:cs="Calibri"/>
          <w:sz w:val="20"/>
        </w:rPr>
        <w:t>viii</w:t>
      </w:r>
      <w:proofErr w:type="spellEnd"/>
      <w:r w:rsidRPr="009D5B7E">
        <w:rPr>
          <w:rFonts w:ascii="Calibri" w:hAnsi="Calibri" w:cs="Calibri"/>
          <w:sz w:val="20"/>
        </w:rPr>
        <w:t xml:space="preserve">)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a/nebo Oprávněné osoby neuplatnili nebo nezpůsobili,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2601672F" w14:textId="77777777" w:rsidR="000A7DF6" w:rsidRPr="009D5B7E" w:rsidRDefault="000A7DF6" w:rsidP="000A7DF6">
      <w:pPr>
        <w:numPr>
          <w:ilvl w:val="0"/>
          <w:numId w:val="17"/>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1EE03ED5" w14:textId="77777777" w:rsidR="000A7DF6" w:rsidRPr="009D5B7E" w:rsidRDefault="000A7DF6" w:rsidP="000A7DF6">
      <w:pPr>
        <w:numPr>
          <w:ilvl w:val="0"/>
          <w:numId w:val="17"/>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w:t>
      </w:r>
      <w:r w:rsidRPr="009D5B7E">
        <w:rPr>
          <w:rFonts w:ascii="Calibri" w:hAnsi="Calibri" w:cs="Calibri"/>
          <w:sz w:val="20"/>
          <w:szCs w:val="18"/>
          <w:lang w:val="cs-CZ"/>
        </w:rPr>
        <w:t xml:space="preserve">vlastnictví a další vlastnická práva jakéhokoli druhu na Technologie Deloitte, které jsou používány nebo vytvářeny v souladu s touto Smlouvou, a toto vlastnictví si ponechá. </w:t>
      </w:r>
    </w:p>
    <w:p w14:paraId="1BD7332B" w14:textId="77777777" w:rsidR="000A7DF6" w:rsidRPr="009D5B7E" w:rsidRDefault="000A7DF6" w:rsidP="000A7DF6">
      <w:pPr>
        <w:numPr>
          <w:ilvl w:val="0"/>
          <w:numId w:val="17"/>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29D2BE88" w14:textId="77777777" w:rsidR="000A7DF6" w:rsidRPr="009D5B7E" w:rsidRDefault="000A7DF6" w:rsidP="000A7DF6">
      <w:pPr>
        <w:numPr>
          <w:ilvl w:val="0"/>
          <w:numId w:val="17"/>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 níže. </w:t>
      </w:r>
    </w:p>
    <w:p w14:paraId="14E42CF1"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Odpovědnost</w:t>
      </w:r>
      <w:proofErr w:type="spellEnd"/>
      <w:r w:rsidRPr="009D5B7E">
        <w:rPr>
          <w:rFonts w:ascii="Calibri" w:hAnsi="Calibri" w:cs="Calibri"/>
          <w:b/>
          <w:kern w:val="28"/>
          <w:sz w:val="20"/>
          <w:szCs w:val="18"/>
        </w:rPr>
        <w:t xml:space="preserve"> za </w:t>
      </w:r>
      <w:proofErr w:type="spellStart"/>
      <w:r w:rsidRPr="009D5B7E">
        <w:rPr>
          <w:rFonts w:ascii="Calibri" w:hAnsi="Calibri" w:cs="Calibri"/>
          <w:b/>
          <w:kern w:val="28"/>
          <w:sz w:val="20"/>
          <w:szCs w:val="18"/>
        </w:rPr>
        <w:t>škody</w:t>
      </w:r>
      <w:proofErr w:type="spellEnd"/>
      <w:r w:rsidRPr="009D5B7E">
        <w:rPr>
          <w:rFonts w:ascii="Calibri" w:hAnsi="Calibri" w:cs="Calibri"/>
          <w:b/>
          <w:kern w:val="28"/>
          <w:sz w:val="20"/>
          <w:szCs w:val="18"/>
        </w:rPr>
        <w:t xml:space="preserve"> </w:t>
      </w:r>
    </w:p>
    <w:p w14:paraId="109CE29C" w14:textId="10802328" w:rsidR="000A7DF6" w:rsidRPr="009D5B7E" w:rsidRDefault="000A7DF6" w:rsidP="000A7DF6">
      <w:pPr>
        <w:pStyle w:val="Odstavecseseznamem"/>
        <w:keepLines w:val="0"/>
        <w:numPr>
          <w:ilvl w:val="0"/>
          <w:numId w:val="18"/>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w:t>
      </w:r>
      <w:proofErr w:type="spellStart"/>
      <w:r w:rsidRPr="009D5B7E">
        <w:rPr>
          <w:rFonts w:ascii="Calibri" w:hAnsi="Calibri" w:cs="Calibri"/>
          <w:sz w:val="20"/>
        </w:rPr>
        <w:t>ii</w:t>
      </w:r>
      <w:proofErr w:type="spellEnd"/>
      <w:r w:rsidRPr="009D5B7E">
        <w:rPr>
          <w:rFonts w:ascii="Calibri" w:hAnsi="Calibri" w:cs="Calibri"/>
          <w:sz w:val="20"/>
        </w:rPr>
        <w:t xml:space="preserve">) cenu hrazenou podle této Smlouvy Klientem společnosti Deloitte za tu část Služeb, v souvislosti s kterými došlo ke vzniku Nároku, maximálně však do výše dvě stě padesát tisíc eur, ani nebude povinna nahradit jakoukoliv škodu Klienta nebo </w:t>
      </w:r>
      <w:r w:rsidR="00E667B1">
        <w:rPr>
          <w:rFonts w:ascii="Calibri" w:hAnsi="Calibri" w:cs="Calibri"/>
          <w:sz w:val="20"/>
        </w:rPr>
        <w:t>s</w:t>
      </w:r>
      <w:r w:rsidRPr="009D5B7E">
        <w:rPr>
          <w:rFonts w:ascii="Calibri" w:hAnsi="Calibri" w:cs="Calibri"/>
          <w:sz w:val="20"/>
        </w:rPr>
        <w:t>kupiny Klienta, která převyšuje shora uvedené limity, vyjma případů, kdy dle pravomocného soudního rozhodnutí Nárok původně vyplynul z</w:t>
      </w:r>
      <w:r w:rsidRPr="009D5B7E">
        <w:rPr>
          <w:rFonts w:ascii="Calibri" w:hAnsi="Calibri" w:cs="Calibri"/>
          <w:b/>
          <w:sz w:val="20"/>
        </w:rPr>
        <w:t xml:space="preserve"> </w:t>
      </w:r>
      <w:r w:rsidRPr="009D5B7E">
        <w:rPr>
          <w:rFonts w:ascii="Calibri" w:hAnsi="Calibri" w:cs="Calibri"/>
          <w:sz w:val="20"/>
        </w:rPr>
        <w:t>úmyslného pochybení nebo hrubé nedbalosti Deloitte nebo jakéhokoli Subdodavatele.</w:t>
      </w:r>
    </w:p>
    <w:p w14:paraId="6DAE31F7" w14:textId="77777777" w:rsidR="000A7DF6" w:rsidRPr="009D5B7E" w:rsidRDefault="000A7DF6" w:rsidP="000A7DF6">
      <w:pPr>
        <w:numPr>
          <w:ilvl w:val="0"/>
          <w:numId w:val="18"/>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4EBFD2E1" w14:textId="77777777" w:rsidR="000A7DF6" w:rsidRPr="009D5B7E" w:rsidRDefault="000A7DF6" w:rsidP="000A7DF6">
      <w:pPr>
        <w:numPr>
          <w:ilvl w:val="0"/>
          <w:numId w:val="18"/>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lastRenderedPageBreak/>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3009EF36" w14:textId="77777777" w:rsidR="000A7DF6" w:rsidRPr="009D5B7E" w:rsidRDefault="000A7DF6" w:rsidP="000A7DF6">
      <w:pPr>
        <w:numPr>
          <w:ilvl w:val="0"/>
          <w:numId w:val="18"/>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Výstupu vztahovat omezení odpovědnosti stanovené v článku 6 a) výše a bude tedy muset být mezi Příjemce Výstupu rozdělena. Je sjednáno, že takové rozdělení bude zcela záležitostí Příjemců Výstupu, kteří nebudou mít povinnost o rozdělení informovat Deloitte, a to vždy za předpokladu, že pokud (z jakéhokoli důvodu) není takové rozdělení sjednáno, žádný Příjemce Výstupu nebude zpochybňovat platnost, vymahatelnost nebo fungování omezení odpovědnosti na tom základě, že žádné rozdělení sjednáno nebylo. Pro odstranění pochybností souhrnná částka takového rozdělení nepřekročí limit platný podle odstavce a)</w:t>
      </w:r>
      <w:r w:rsidRPr="009D5B7E">
        <w:rPr>
          <w:rFonts w:ascii="Calibri" w:hAnsi="Calibri" w:cs="Calibri"/>
          <w:iCs/>
          <w:sz w:val="20"/>
          <w:szCs w:val="18"/>
          <w:lang w:val="cs-CZ"/>
        </w:rPr>
        <w:t xml:space="preserve"> </w:t>
      </w:r>
      <w:r w:rsidRPr="009D5B7E">
        <w:rPr>
          <w:rFonts w:ascii="Calibri" w:hAnsi="Calibri" w:cs="Calibri"/>
          <w:sz w:val="20"/>
          <w:szCs w:val="18"/>
          <w:lang w:val="cs-CZ"/>
        </w:rPr>
        <w:t xml:space="preserve">výše. </w:t>
      </w:r>
    </w:p>
    <w:p w14:paraId="082AAC8F" w14:textId="1ED1827C" w:rsidR="000A7DF6" w:rsidRPr="009D5B7E" w:rsidRDefault="000A7DF6" w:rsidP="000A7DF6">
      <w:pPr>
        <w:numPr>
          <w:ilvl w:val="0"/>
          <w:numId w:val="18"/>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w:t>
      </w:r>
      <w:r w:rsidR="00E667B1">
        <w:rPr>
          <w:rFonts w:ascii="Calibri" w:hAnsi="Calibri" w:cs="Calibri"/>
          <w:sz w:val="20"/>
          <w:szCs w:val="18"/>
          <w:lang w:val="cs-CZ"/>
        </w:rPr>
        <w:t>s</w:t>
      </w:r>
      <w:r w:rsidRPr="009D5B7E">
        <w:rPr>
          <w:rFonts w:ascii="Calibri" w:hAnsi="Calibri" w:cs="Calibri"/>
          <w:sz w:val="20"/>
          <w:szCs w:val="18"/>
          <w:lang w:val="cs-CZ"/>
        </w:rPr>
        <w:t xml:space="preserve">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682A976E" w14:textId="77777777" w:rsidR="000A7DF6" w:rsidRPr="009D5B7E" w:rsidRDefault="000A7DF6" w:rsidP="000A7DF6">
      <w:pPr>
        <w:numPr>
          <w:ilvl w:val="0"/>
          <w:numId w:val="18"/>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Pokud omezení odpovědnosti pro jiné Společnosti skupiny Deloitte obsažené v článku 1 d) je z jakéhokoli důvodu neúčinné, </w:t>
      </w:r>
      <w:r w:rsidRPr="009D5B7E">
        <w:rPr>
          <w:rFonts w:ascii="Calibri" w:hAnsi="Calibri" w:cs="Calibri"/>
          <w:sz w:val="20"/>
          <w:szCs w:val="18"/>
          <w:lang w:val="cs-CZ"/>
        </w:rPr>
        <w:t xml:space="preserve">pak omezení odpovědnosti specifikované v článku 6 se vztahují na jiné Společnosti skupiny Deloitte, jako by v tomto článku 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 </w:t>
      </w:r>
    </w:p>
    <w:p w14:paraId="45003A9E" w14:textId="77777777" w:rsidR="000A7DF6" w:rsidRPr="009D5B7E" w:rsidRDefault="000A7DF6" w:rsidP="000A7DF6">
      <w:pPr>
        <w:numPr>
          <w:ilvl w:val="0"/>
          <w:numId w:val="18"/>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34D58934" w14:textId="77777777" w:rsidR="000A7DF6" w:rsidRPr="009D5B7E" w:rsidRDefault="000A7DF6" w:rsidP="000A7DF6">
      <w:pPr>
        <w:numPr>
          <w:ilvl w:val="0"/>
          <w:numId w:val="18"/>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 nimi. </w:t>
      </w:r>
    </w:p>
    <w:p w14:paraId="7EFD6681"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Záruky</w:t>
      </w:r>
      <w:proofErr w:type="spellEnd"/>
      <w:r w:rsidRPr="009D5B7E">
        <w:rPr>
          <w:rFonts w:ascii="Calibri" w:hAnsi="Calibri" w:cs="Calibri"/>
          <w:b/>
          <w:kern w:val="28"/>
          <w:sz w:val="20"/>
          <w:szCs w:val="18"/>
        </w:rPr>
        <w:t xml:space="preserve"> </w:t>
      </w:r>
    </w:p>
    <w:p w14:paraId="5A52622A" w14:textId="77777777" w:rsidR="000A7DF6" w:rsidRPr="009D5B7E" w:rsidRDefault="000A7DF6" w:rsidP="000A7DF6">
      <w:pPr>
        <w:pStyle w:val="Odstavecseseznamem"/>
        <w:keepLines w:val="0"/>
        <w:numPr>
          <w:ilvl w:val="0"/>
          <w:numId w:val="19"/>
        </w:numPr>
        <w:tabs>
          <w:tab w:val="clear" w:pos="851"/>
        </w:tabs>
        <w:spacing w:before="0" w:after="120" w:line="120" w:lineRule="atLeast"/>
        <w:ind w:left="568" w:hanging="284"/>
        <w:rPr>
          <w:rFonts w:ascii="Calibri" w:eastAsia="Verdana" w:hAnsi="Calibri" w:cs="Calibri"/>
          <w:sz w:val="20"/>
        </w:rPr>
      </w:pPr>
      <w:r w:rsidRPr="009D5B7E">
        <w:rPr>
          <w:rFonts w:ascii="Calibri" w:hAnsi="Calibri" w:cs="Calibri"/>
          <w:sz w:val="20"/>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w:t>
      </w:r>
      <w:r w:rsidRPr="009D5B7E">
        <w:rPr>
          <w:rFonts w:ascii="Calibri" w:eastAsia="Verdana" w:hAnsi="Calibri" w:cs="Calibri"/>
          <w:sz w:val="20"/>
        </w:rPr>
        <w:t xml:space="preserve"> odmítá veškeré záruky obchodovatelnosti či vhodnosti Služeb pro specifický účel.</w:t>
      </w:r>
    </w:p>
    <w:p w14:paraId="258CD67A" w14:textId="77777777" w:rsidR="000A7DF6" w:rsidRPr="009D5B7E" w:rsidRDefault="000A7DF6" w:rsidP="000A7DF6">
      <w:pPr>
        <w:numPr>
          <w:ilvl w:val="0"/>
          <w:numId w:val="19"/>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článku 2 a) (v) výše. Pokud vada nemůže být napravena </w:t>
      </w:r>
      <w:r w:rsidRPr="009D5B7E">
        <w:rPr>
          <w:rFonts w:ascii="Calibri" w:hAnsi="Calibri" w:cs="Calibri"/>
          <w:sz w:val="20"/>
          <w:szCs w:val="18"/>
          <w:lang w:val="cs-CZ"/>
        </w:rPr>
        <w:lastRenderedPageBreak/>
        <w:t xml:space="preserve">nebo je pokus o nápravu vady neúspěšný, Klient může zrušit Smlouvu nebo požadovat snížení Ceny za Služby. </w:t>
      </w:r>
    </w:p>
    <w:p w14:paraId="270CCB68" w14:textId="77777777" w:rsidR="000A7DF6" w:rsidRPr="009D5B7E" w:rsidRDefault="000A7DF6" w:rsidP="000A7DF6">
      <w:pPr>
        <w:numPr>
          <w:ilvl w:val="0"/>
          <w:numId w:val="19"/>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30E41A64" w14:textId="77777777" w:rsidR="000A7DF6" w:rsidRPr="009D5B7E" w:rsidRDefault="000A7DF6" w:rsidP="000A7DF6">
      <w:pPr>
        <w:numPr>
          <w:ilvl w:val="0"/>
          <w:numId w:val="19"/>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 </w:t>
      </w:r>
    </w:p>
    <w:p w14:paraId="39D53E5A"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Vyšší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moc</w:t>
      </w:r>
      <w:proofErr w:type="spellEnd"/>
      <w:r w:rsidRPr="009D5B7E">
        <w:rPr>
          <w:rFonts w:ascii="Calibri" w:hAnsi="Calibri" w:cs="Calibri"/>
          <w:b/>
          <w:kern w:val="28"/>
          <w:sz w:val="20"/>
          <w:szCs w:val="18"/>
        </w:rPr>
        <w:t xml:space="preserve"> </w:t>
      </w:r>
    </w:p>
    <w:p w14:paraId="44C5DC3C" w14:textId="77777777" w:rsidR="000A7DF6" w:rsidRPr="009D5B7E" w:rsidRDefault="000A7DF6" w:rsidP="000A7DF6">
      <w:pPr>
        <w:pStyle w:val="Odstavecseseznamem"/>
        <w:keepLines w:val="0"/>
        <w:numPr>
          <w:ilvl w:val="0"/>
          <w:numId w:val="20"/>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759EC5F5" w14:textId="12FEF25C" w:rsidR="000A7DF6" w:rsidRPr="009D5B7E" w:rsidRDefault="000A7DF6" w:rsidP="000A7DF6">
      <w:pPr>
        <w:numPr>
          <w:ilvl w:val="0"/>
          <w:numId w:val="20"/>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w:t>
      </w:r>
      <w:r w:rsidRPr="009D5B7E">
        <w:rPr>
          <w:rFonts w:ascii="Calibri" w:hAnsi="Calibri" w:cs="Calibri"/>
          <w:sz w:val="20"/>
          <w:szCs w:val="18"/>
          <w:lang w:val="cs-CZ"/>
        </w:rPr>
        <w:fldChar w:fldCharType="begin"/>
      </w:r>
      <w:r w:rsidRPr="009D5B7E">
        <w:rPr>
          <w:rFonts w:ascii="Calibri" w:hAnsi="Calibri" w:cs="Calibri"/>
          <w:sz w:val="20"/>
          <w:szCs w:val="18"/>
          <w:lang w:val="cs-CZ"/>
        </w:rPr>
        <w:instrText xml:space="preserve"> REF Doba \n \h </w:instrText>
      </w:r>
      <w:r w:rsidR="003D0346" w:rsidRPr="009D5B7E">
        <w:rPr>
          <w:rFonts w:ascii="Calibri" w:hAnsi="Calibri" w:cs="Calibri"/>
          <w:sz w:val="20"/>
          <w:szCs w:val="18"/>
          <w:lang w:val="cs-CZ"/>
        </w:rPr>
        <w:instrText xml:space="preserve"> \* MERGEFORMAT </w:instrText>
      </w:r>
      <w:r w:rsidRPr="009D5B7E">
        <w:rPr>
          <w:rFonts w:ascii="Calibri" w:hAnsi="Calibri" w:cs="Calibri"/>
          <w:sz w:val="20"/>
          <w:szCs w:val="18"/>
          <w:lang w:val="cs-CZ"/>
        </w:rPr>
      </w:r>
      <w:r w:rsidRPr="009D5B7E">
        <w:rPr>
          <w:rFonts w:ascii="Calibri" w:hAnsi="Calibri" w:cs="Calibri"/>
          <w:sz w:val="20"/>
          <w:szCs w:val="18"/>
          <w:lang w:val="cs-CZ"/>
        </w:rPr>
        <w:fldChar w:fldCharType="separate"/>
      </w:r>
      <w:r w:rsidRPr="009D5B7E">
        <w:rPr>
          <w:rFonts w:ascii="Calibri" w:hAnsi="Calibri" w:cs="Calibri"/>
          <w:sz w:val="20"/>
          <w:szCs w:val="18"/>
          <w:lang w:val="cs-CZ"/>
        </w:rPr>
        <w:t>4</w:t>
      </w:r>
      <w:r w:rsidRPr="009D5B7E">
        <w:rPr>
          <w:rFonts w:ascii="Calibri" w:hAnsi="Calibri" w:cs="Calibri"/>
          <w:sz w:val="20"/>
          <w:szCs w:val="18"/>
          <w:lang w:val="cs-CZ"/>
        </w:rPr>
        <w:fldChar w:fldCharType="end"/>
      </w:r>
      <w:r w:rsidRPr="009D5B7E">
        <w:rPr>
          <w:rFonts w:ascii="Calibri" w:hAnsi="Calibri" w:cs="Calibri"/>
          <w:sz w:val="20"/>
          <w:szCs w:val="18"/>
          <w:lang w:val="cs-CZ"/>
        </w:rPr>
        <w:t xml:space="preserve"> výše.</w:t>
      </w:r>
    </w:p>
    <w:p w14:paraId="671D31E0"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Omezení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žalob</w:t>
      </w:r>
      <w:proofErr w:type="spellEnd"/>
      <w:r w:rsidRPr="009D5B7E">
        <w:rPr>
          <w:rFonts w:ascii="Calibri" w:hAnsi="Calibri" w:cs="Calibri"/>
          <w:b/>
          <w:kern w:val="28"/>
          <w:sz w:val="20"/>
          <w:szCs w:val="18"/>
        </w:rPr>
        <w:t xml:space="preserve"> </w:t>
      </w:r>
    </w:p>
    <w:p w14:paraId="660F518A" w14:textId="77777777" w:rsidR="000A7DF6" w:rsidRPr="009D5B7E" w:rsidRDefault="000A7DF6" w:rsidP="000A7DF6">
      <w:pPr>
        <w:spacing w:after="120" w:line="120" w:lineRule="atLeast"/>
        <w:ind w:left="568" w:right="68"/>
        <w:jc w:val="both"/>
        <w:rPr>
          <w:rFonts w:ascii="Calibri" w:hAnsi="Calibri" w:cs="Calibri"/>
          <w:sz w:val="20"/>
          <w:szCs w:val="18"/>
        </w:rPr>
      </w:pP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smluvních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nesmí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žalobu</w:t>
      </w:r>
      <w:proofErr w:type="spellEnd"/>
      <w:r w:rsidRPr="009D5B7E">
        <w:rPr>
          <w:rFonts w:ascii="Calibri" w:hAnsi="Calibri" w:cs="Calibri"/>
          <w:sz w:val="20"/>
          <w:szCs w:val="18"/>
        </w:rPr>
        <w:t xml:space="preserve">, bez </w:t>
      </w:r>
      <w:proofErr w:type="spellStart"/>
      <w:r w:rsidRPr="009D5B7E">
        <w:rPr>
          <w:rFonts w:ascii="Calibri" w:hAnsi="Calibri" w:cs="Calibri"/>
          <w:sz w:val="20"/>
          <w:szCs w:val="18"/>
        </w:rPr>
        <w:t>ohledu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vztahující</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Službám</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více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dvou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letech</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vzniku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příčiny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platných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neplatí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období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jímž</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Smlouva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řídí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omezeno</w:t>
      </w:r>
      <w:proofErr w:type="spellEnd"/>
      <w:r w:rsidRPr="009D5B7E">
        <w:rPr>
          <w:rFonts w:ascii="Calibri" w:hAnsi="Calibri" w:cs="Calibri"/>
          <w:sz w:val="20"/>
          <w:szCs w:val="18"/>
        </w:rPr>
        <w:t xml:space="preserve">. </w:t>
      </w:r>
    </w:p>
    <w:p w14:paraId="74B7FBF0"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Důvěrnost</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informací</w:t>
      </w:r>
      <w:proofErr w:type="spellEnd"/>
      <w:r w:rsidRPr="009D5B7E">
        <w:rPr>
          <w:rFonts w:ascii="Calibri" w:hAnsi="Calibri" w:cs="Calibri"/>
          <w:b/>
          <w:kern w:val="28"/>
          <w:sz w:val="20"/>
          <w:szCs w:val="18"/>
        </w:rPr>
        <w:t xml:space="preserve"> </w:t>
      </w:r>
    </w:p>
    <w:p w14:paraId="51491A1A" w14:textId="77777777" w:rsidR="000A7DF6" w:rsidRPr="009D5B7E" w:rsidRDefault="000A7DF6" w:rsidP="000A7DF6">
      <w:pPr>
        <w:pStyle w:val="Odstavecseseznamem"/>
        <w:keepLines w:val="0"/>
        <w:numPr>
          <w:ilvl w:val="0"/>
          <w:numId w:val="21"/>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Pokud v souvislosti s touto Smlouvou Deloitte nebo Klient nebo jakýkoli Příjemce Výstupu, existuje-li („</w:t>
      </w:r>
      <w:proofErr w:type="spellStart"/>
      <w:r w:rsidRPr="009D5B7E">
        <w:rPr>
          <w:rFonts w:ascii="Calibri" w:hAnsi="Calibri" w:cs="Calibri"/>
          <w:sz w:val="20"/>
        </w:rPr>
        <w:t>příjímající</w:t>
      </w:r>
      <w:proofErr w:type="spellEnd"/>
      <w:r w:rsidRPr="009D5B7E">
        <w:rPr>
          <w:rFonts w:ascii="Calibri" w:hAnsi="Calibri" w:cs="Calibri"/>
          <w:sz w:val="20"/>
        </w:rPr>
        <w:t xml:space="preserve"> strana“) získá informace související se Službami, obchodním tajemstvím nebo jinými informacemi chráněnými vlastnickým právem, které jsou buď označeny sdělující stranou za důvěrné, nebo jsou svou povahou jasně důvěrné („Důvěrné informace“), </w:t>
      </w:r>
      <w:proofErr w:type="spellStart"/>
      <w:r w:rsidRPr="009D5B7E">
        <w:rPr>
          <w:rFonts w:ascii="Calibri" w:hAnsi="Calibri" w:cs="Calibri"/>
          <w:sz w:val="20"/>
        </w:rPr>
        <w:t>příjímající</w:t>
      </w:r>
      <w:proofErr w:type="spellEnd"/>
      <w:r w:rsidRPr="009D5B7E">
        <w:rPr>
          <w:rFonts w:ascii="Calibri" w:hAnsi="Calibri" w:cs="Calibri"/>
          <w:sz w:val="20"/>
        </w:rPr>
        <w:t xml:space="preserve"> strana je nesdělí žádné třetí straně bez souhlasu sdělující strany, vyjma právních poradců Klienta nebo Deloitte, a to pouze pro účel získání právní rady nebo pokud to vyžaduje zákon, nařízení, právní nebo správní proces. </w:t>
      </w:r>
    </w:p>
    <w:p w14:paraId="7C7B3148" w14:textId="77777777" w:rsidR="000A7DF6" w:rsidRPr="009D5B7E" w:rsidRDefault="000A7DF6" w:rsidP="000A7DF6">
      <w:pPr>
        <w:numPr>
          <w:ilvl w:val="0"/>
          <w:numId w:val="21"/>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w:t>
      </w:r>
      <w:proofErr w:type="spellStart"/>
      <w:r w:rsidRPr="009D5B7E">
        <w:rPr>
          <w:rFonts w:ascii="Calibri" w:hAnsi="Calibri" w:cs="Calibri"/>
          <w:sz w:val="20"/>
          <w:szCs w:val="18"/>
          <w:lang w:val="cs-CZ"/>
        </w:rPr>
        <w:t>ii</w:t>
      </w:r>
      <w:proofErr w:type="spellEnd"/>
      <w:r w:rsidRPr="009D5B7E">
        <w:rPr>
          <w:rFonts w:ascii="Calibri" w:hAnsi="Calibri" w:cs="Calibri"/>
          <w:sz w:val="20"/>
          <w:szCs w:val="18"/>
          <w:lang w:val="cs-CZ"/>
        </w:rPr>
        <w:t xml:space="preserve">) právním poradcům, auditorům a pojišťovnám, nebo jak může vyžadovat zákon, nařízení, právní nebo správní proces, nebo v souladu s příslušnými profesionálními standardy, nebo v souvislosti s potenciální nebo probíhající  mediací,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1D1E8F32" w14:textId="77777777" w:rsidR="000A7DF6" w:rsidRPr="009D5B7E" w:rsidRDefault="000A7DF6" w:rsidP="000A7DF6">
      <w:pPr>
        <w:numPr>
          <w:ilvl w:val="0"/>
          <w:numId w:val="21"/>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lastRenderedPageBreak/>
        <w:t>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w:t>
      </w:r>
      <w:proofErr w:type="spellStart"/>
      <w:r w:rsidRPr="009D5B7E">
        <w:rPr>
          <w:rFonts w:ascii="Calibri" w:hAnsi="Calibri" w:cs="Calibri"/>
          <w:sz w:val="20"/>
          <w:szCs w:val="18"/>
          <w:lang w:val="cs-CZ"/>
        </w:rPr>
        <w:t>ii</w:t>
      </w:r>
      <w:proofErr w:type="spellEnd"/>
      <w:r w:rsidRPr="009D5B7E">
        <w:rPr>
          <w:rFonts w:ascii="Calibri" w:hAnsi="Calibri" w:cs="Calibri"/>
          <w:sz w:val="20"/>
          <w:szCs w:val="18"/>
          <w:lang w:val="cs-CZ"/>
        </w:rPr>
        <w:t>)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w:t>
      </w:r>
      <w:proofErr w:type="spellStart"/>
      <w:r w:rsidRPr="009D5B7E">
        <w:rPr>
          <w:rFonts w:ascii="Calibri" w:hAnsi="Calibri" w:cs="Calibri"/>
          <w:sz w:val="20"/>
          <w:szCs w:val="18"/>
          <w:lang w:val="cs-CZ"/>
        </w:rPr>
        <w:t>iii</w:t>
      </w:r>
      <w:proofErr w:type="spellEnd"/>
      <w:r w:rsidRPr="009D5B7E">
        <w:rPr>
          <w:rFonts w:ascii="Calibri" w:hAnsi="Calibri" w:cs="Calibri"/>
          <w:sz w:val="20"/>
          <w:szCs w:val="18"/>
          <w:lang w:val="cs-CZ"/>
        </w:rPr>
        <w:t>)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w:t>
      </w:r>
      <w:proofErr w:type="spellStart"/>
      <w:r w:rsidRPr="009D5B7E">
        <w:rPr>
          <w:rFonts w:ascii="Calibri" w:hAnsi="Calibri" w:cs="Calibri"/>
          <w:sz w:val="20"/>
          <w:szCs w:val="18"/>
          <w:lang w:val="cs-CZ"/>
        </w:rPr>
        <w:t>iv</w:t>
      </w:r>
      <w:proofErr w:type="spellEnd"/>
      <w:r w:rsidRPr="009D5B7E">
        <w:rPr>
          <w:rFonts w:ascii="Calibri" w:hAnsi="Calibri" w:cs="Calibri"/>
          <w:sz w:val="20"/>
          <w:szCs w:val="18"/>
          <w:lang w:val="cs-CZ"/>
        </w:rPr>
        <w:t xml:space="preserve">) Klient může zveřejnit Výstup na základě potřeby znalosti jakýmkoli Přidruženým podnikům, které nejsou určeny ve Smluvním dopise, pouze pro informační účely, a to za podmínky, že se Klient zaručuje, že tyto Přidružené podniky budou uchovávat takový Výstup v tajnosti a neuplatní žádný nárok jakéhokoli druhu vůči Společnosti skupiny Deloitte ve vztahu k Výstupu nebo Službám. </w:t>
      </w:r>
    </w:p>
    <w:p w14:paraId="38682457" w14:textId="77777777" w:rsidR="000A7DF6" w:rsidRPr="009D5B7E" w:rsidRDefault="000A7DF6" w:rsidP="000A7DF6">
      <w:pPr>
        <w:numPr>
          <w:ilvl w:val="0"/>
          <w:numId w:val="21"/>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Klient a/nebo Příjemce Výstupu použije Výstup pouze pro účely specifikované ve Smlouvě nebo Výstupu, přičemž není zejména oprávněn</w:t>
      </w:r>
      <w:r w:rsidRPr="009D5B7E" w:rsidDel="00D9489A">
        <w:rPr>
          <w:rFonts w:ascii="Calibri" w:hAnsi="Calibri" w:cs="Calibri"/>
          <w:sz w:val="20"/>
          <w:szCs w:val="18"/>
          <w:lang w:val="cs-CZ"/>
        </w:rPr>
        <w:t xml:space="preserve"> </w:t>
      </w:r>
      <w:r w:rsidRPr="009D5B7E">
        <w:rPr>
          <w:rFonts w:ascii="Calibri" w:hAnsi="Calibri" w:cs="Calibri"/>
          <w:sz w:val="20"/>
          <w:szCs w:val="18"/>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w:t>
      </w:r>
      <w:r w:rsidRPr="009D5B7E">
        <w:rPr>
          <w:rFonts w:ascii="Calibri" w:hAnsi="Calibri" w:cs="Calibri"/>
          <w:sz w:val="20"/>
          <w:szCs w:val="18"/>
          <w:lang w:val="cs-CZ"/>
        </w:rPr>
        <w:t xml:space="preserve">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0E46F9C5" w14:textId="77777777" w:rsidR="000A7DF6" w:rsidRPr="009D5B7E" w:rsidRDefault="000A7DF6" w:rsidP="000A7DF6">
      <w:pPr>
        <w:numPr>
          <w:ilvl w:val="0"/>
          <w:numId w:val="21"/>
        </w:numPr>
        <w:spacing w:after="120" w:line="120" w:lineRule="atLeast"/>
        <w:ind w:left="568" w:hanging="284"/>
        <w:jc w:val="both"/>
        <w:rPr>
          <w:rFonts w:ascii="Calibri" w:hAnsi="Calibri" w:cs="Calibri"/>
          <w:sz w:val="20"/>
          <w:szCs w:val="18"/>
          <w:shd w:val="clear" w:color="auto" w:fill="FFFFFF"/>
          <w:lang w:val="cs-CZ"/>
        </w:rPr>
      </w:pPr>
      <w:r w:rsidRPr="009D5B7E">
        <w:rPr>
          <w:rFonts w:ascii="Calibri" w:hAnsi="Calibri" w:cs="Calibri"/>
          <w:sz w:val="20"/>
          <w:szCs w:val="18"/>
          <w:shd w:val="clear" w:color="auto" w:fill="FFFFFF"/>
          <w:lang w:val="cs-CZ"/>
        </w:rPr>
        <w:t xml:space="preserve">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 </w:t>
      </w:r>
    </w:p>
    <w:p w14:paraId="53E8BE13" w14:textId="77777777" w:rsidR="000A7DF6" w:rsidRPr="009D5B7E" w:rsidRDefault="000A7DF6" w:rsidP="000A7DF6">
      <w:pPr>
        <w:numPr>
          <w:ilvl w:val="0"/>
          <w:numId w:val="21"/>
        </w:numPr>
        <w:spacing w:after="120" w:line="120" w:lineRule="atLeast"/>
        <w:ind w:left="568" w:right="70" w:hanging="284"/>
        <w:jc w:val="both"/>
        <w:rPr>
          <w:rFonts w:ascii="Calibri" w:hAnsi="Calibri" w:cs="Calibri"/>
          <w:sz w:val="20"/>
          <w:szCs w:val="18"/>
          <w:shd w:val="clear" w:color="auto" w:fill="FFFFFF"/>
          <w:lang w:val="cs-CZ"/>
        </w:rPr>
      </w:pPr>
      <w:r w:rsidRPr="009D5B7E">
        <w:rPr>
          <w:rFonts w:ascii="Calibri" w:hAnsi="Calibri" w:cs="Calibri"/>
          <w:sz w:val="20"/>
          <w:szCs w:val="18"/>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22D0D1FF" w14:textId="77777777" w:rsidR="000A7DF6" w:rsidRPr="009D5B7E" w:rsidRDefault="000A7DF6" w:rsidP="000A7DF6">
      <w:pPr>
        <w:numPr>
          <w:ilvl w:val="0"/>
          <w:numId w:val="21"/>
        </w:numPr>
        <w:spacing w:after="120" w:line="120" w:lineRule="atLeast"/>
        <w:ind w:left="568" w:right="70" w:hanging="284"/>
        <w:jc w:val="both"/>
        <w:rPr>
          <w:rFonts w:ascii="Calibri" w:hAnsi="Calibri" w:cs="Calibri"/>
          <w:sz w:val="20"/>
          <w:szCs w:val="18"/>
          <w:shd w:val="clear" w:color="auto" w:fill="FFFFFF"/>
          <w:lang w:val="cs-CZ"/>
        </w:rPr>
      </w:pPr>
      <w:r w:rsidRPr="009D5B7E">
        <w:rPr>
          <w:rFonts w:ascii="Calibri" w:hAnsi="Calibri" w:cs="Calibri"/>
          <w:sz w:val="20"/>
          <w:szCs w:val="18"/>
          <w:shd w:val="clear" w:color="auto" w:fill="FFFFFF"/>
          <w:lang w:val="cs-CZ"/>
        </w:rPr>
        <w:t xml:space="preserve">Klient je oprávněn požadovat, aby určité části Výstupu byly staženy od Příjemců Výstupu, kterým byl Výstup vydán na základě Smlouvy za podmínky, že Klient informuje takové Příjemce Výstupu o skutečnosti, že vydaný Výstup byl editován nebo je neúplný. </w:t>
      </w:r>
    </w:p>
    <w:p w14:paraId="4014D71D"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Platnost</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výklad</w:t>
      </w:r>
      <w:proofErr w:type="spellEnd"/>
      <w:r w:rsidRPr="009D5B7E">
        <w:rPr>
          <w:rFonts w:ascii="Calibri" w:hAnsi="Calibri" w:cs="Calibri"/>
          <w:b/>
          <w:kern w:val="28"/>
          <w:sz w:val="20"/>
          <w:szCs w:val="18"/>
        </w:rPr>
        <w:t xml:space="preserve"> </w:t>
      </w:r>
    </w:p>
    <w:p w14:paraId="7A8D4534" w14:textId="77777777" w:rsidR="000A7DF6" w:rsidRPr="009D5B7E" w:rsidRDefault="000A7DF6" w:rsidP="000A7DF6">
      <w:pPr>
        <w:pStyle w:val="Odstavecseseznamem"/>
        <w:keepLines w:val="0"/>
        <w:numPr>
          <w:ilvl w:val="0"/>
          <w:numId w:val="22"/>
        </w:numPr>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18A4DBA5" w14:textId="6687976D" w:rsidR="000A7DF6" w:rsidRPr="009D5B7E" w:rsidRDefault="000A7DF6" w:rsidP="000A7DF6">
      <w:pPr>
        <w:numPr>
          <w:ilvl w:val="0"/>
          <w:numId w:val="22"/>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lastRenderedPageBreak/>
        <w:t xml:space="preserve">Pokud příslušný soud nebo jiný kompetentní úřad shledá jakékoli ustanovení této </w:t>
      </w:r>
      <w:r w:rsidR="0051349F">
        <w:rPr>
          <w:rFonts w:ascii="Calibri" w:hAnsi="Calibri" w:cs="Calibri"/>
          <w:sz w:val="20"/>
          <w:szCs w:val="18"/>
          <w:lang w:val="cs-CZ"/>
        </w:rPr>
        <w:t>S</w:t>
      </w:r>
      <w:r w:rsidRPr="009D5B7E">
        <w:rPr>
          <w:rFonts w:ascii="Calibri" w:hAnsi="Calibri" w:cs="Calibri"/>
          <w:sz w:val="20"/>
          <w:szCs w:val="18"/>
          <w:lang w:val="cs-CZ"/>
        </w:rPr>
        <w:t xml:space="preserve">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078B173F" w14:textId="77777777" w:rsidR="000A7DF6" w:rsidRPr="009D5B7E" w:rsidRDefault="000A7DF6" w:rsidP="000A7DF6">
      <w:pPr>
        <w:numPr>
          <w:ilvl w:val="0"/>
          <w:numId w:val="22"/>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Společnosti skupiny Deloitte jiné než Deloitte jsou považovány za třetí strany, v jejichž prospěch je tato Smlouva sjednána. Každá taková Společnost skupiny Deloitte, včetně Subdodavatele, je oprávněna vymáhat ustanovení této Smlouvy. </w:t>
      </w:r>
    </w:p>
    <w:p w14:paraId="7E07783E"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Postoupení</w:t>
      </w:r>
      <w:proofErr w:type="spellEnd"/>
      <w:r w:rsidRPr="009D5B7E">
        <w:rPr>
          <w:rFonts w:ascii="Calibri" w:hAnsi="Calibri" w:cs="Calibri"/>
          <w:b/>
          <w:kern w:val="28"/>
          <w:sz w:val="20"/>
          <w:szCs w:val="18"/>
        </w:rPr>
        <w:t xml:space="preserve"> </w:t>
      </w:r>
    </w:p>
    <w:p w14:paraId="7F9CD0BD" w14:textId="77777777" w:rsidR="000A7DF6" w:rsidRPr="009D5B7E" w:rsidRDefault="000A7DF6" w:rsidP="000A7DF6">
      <w:pPr>
        <w:spacing w:after="120" w:line="120" w:lineRule="atLeast"/>
        <w:ind w:left="568" w:right="68"/>
        <w:jc w:val="both"/>
        <w:rPr>
          <w:rFonts w:ascii="Calibri" w:hAnsi="Calibri" w:cs="Calibri"/>
          <w:sz w:val="20"/>
          <w:szCs w:val="18"/>
        </w:rPr>
      </w:pPr>
      <w:r w:rsidRPr="009D5B7E">
        <w:rPr>
          <w:rFonts w:ascii="Calibri" w:hAnsi="Calibri" w:cs="Calibri"/>
          <w:sz w:val="20"/>
          <w:szCs w:val="18"/>
        </w:rPr>
        <w:t xml:space="preserve">Bez </w:t>
      </w:r>
      <w:proofErr w:type="spellStart"/>
      <w:r w:rsidRPr="009D5B7E">
        <w:rPr>
          <w:rFonts w:ascii="Calibri" w:hAnsi="Calibri" w:cs="Calibri"/>
          <w:sz w:val="20"/>
          <w:szCs w:val="18"/>
        </w:rPr>
        <w:t>předchozího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prostřednictvím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emailu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nesmí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postoupit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převést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vyjma</w:t>
      </w:r>
      <w:proofErr w:type="spellEnd"/>
      <w:r w:rsidRPr="009D5B7E">
        <w:rPr>
          <w:rFonts w:ascii="Calibri" w:hAnsi="Calibri" w:cs="Calibri"/>
          <w:sz w:val="20"/>
          <w:szCs w:val="18"/>
        </w:rPr>
        <w:t xml:space="preserve"> toho,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smí</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předchozím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řádném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upozornění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postoupit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jakákoli</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svých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závazků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svému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nástupci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Žádná</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stran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přímo</w:t>
      </w:r>
      <w:proofErr w:type="spellEnd"/>
      <w:r w:rsidRPr="009D5B7E">
        <w:rPr>
          <w:rFonts w:ascii="Calibri" w:hAnsi="Calibri" w:cs="Calibri"/>
          <w:sz w:val="20"/>
          <w:szCs w:val="18"/>
        </w:rPr>
        <w:t xml:space="preserve"> ani </w:t>
      </w:r>
      <w:proofErr w:type="spellStart"/>
      <w:r w:rsidRPr="009D5B7E">
        <w:rPr>
          <w:rFonts w:ascii="Calibri" w:hAnsi="Calibri" w:cs="Calibri"/>
          <w:sz w:val="20"/>
          <w:szCs w:val="18"/>
        </w:rPr>
        <w:t>nepřímo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neschválí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postoupení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převod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jakéhokoli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vyplývající</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třetí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straně</w:t>
      </w:r>
      <w:proofErr w:type="spellEnd"/>
      <w:r w:rsidRPr="009D5B7E">
        <w:rPr>
          <w:rFonts w:ascii="Calibri" w:hAnsi="Calibri" w:cs="Calibri"/>
          <w:sz w:val="20"/>
          <w:szCs w:val="18"/>
        </w:rPr>
        <w:t xml:space="preserve">, to </w:t>
      </w:r>
      <w:proofErr w:type="spellStart"/>
      <w:r w:rsidRPr="009D5B7E">
        <w:rPr>
          <w:rFonts w:ascii="Calibri" w:hAnsi="Calibri" w:cs="Calibri"/>
          <w:sz w:val="20"/>
          <w:szCs w:val="18"/>
        </w:rPr>
        <w:t>však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neplatí</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vydáno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rozhodnutí</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úpadku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
    <w:p w14:paraId="3E00EA5B" w14:textId="77777777" w:rsidR="000A7DF6" w:rsidRPr="009D5B7E" w:rsidRDefault="000A7DF6" w:rsidP="000A7DF6">
      <w:pPr>
        <w:numPr>
          <w:ilvl w:val="0"/>
          <w:numId w:val="12"/>
        </w:numPr>
        <w:spacing w:after="120" w:line="120" w:lineRule="atLeast"/>
        <w:ind w:left="568" w:right="70" w:hanging="284"/>
        <w:jc w:val="both"/>
        <w:rPr>
          <w:rFonts w:ascii="Calibri" w:hAnsi="Calibri" w:cs="Calibri"/>
          <w:b/>
          <w:kern w:val="28"/>
          <w:sz w:val="20"/>
          <w:szCs w:val="18"/>
        </w:rPr>
      </w:pPr>
      <w:proofErr w:type="spellStart"/>
      <w:r w:rsidRPr="009D5B7E">
        <w:rPr>
          <w:rFonts w:ascii="Calibri" w:hAnsi="Calibri" w:cs="Calibri"/>
          <w:b/>
          <w:kern w:val="28"/>
          <w:sz w:val="20"/>
          <w:szCs w:val="18"/>
        </w:rPr>
        <w:t>Odškodnění</w:t>
      </w:r>
      <w:proofErr w:type="spellEnd"/>
      <w:r w:rsidRPr="009D5B7E">
        <w:rPr>
          <w:rFonts w:ascii="Calibri" w:hAnsi="Calibri" w:cs="Calibri"/>
          <w:b/>
          <w:kern w:val="28"/>
          <w:sz w:val="20"/>
          <w:szCs w:val="18"/>
        </w:rPr>
        <w:t xml:space="preserve"> </w:t>
      </w:r>
    </w:p>
    <w:p w14:paraId="442B7D19" w14:textId="77777777" w:rsidR="000A7DF6" w:rsidRPr="009D5B7E" w:rsidRDefault="000A7DF6" w:rsidP="000A7DF6">
      <w:pPr>
        <w:pStyle w:val="Odstavecseseznamem"/>
        <w:keepLines w:val="0"/>
        <w:numPr>
          <w:ilvl w:val="0"/>
          <w:numId w:val="23"/>
        </w:numPr>
        <w:tabs>
          <w:tab w:val="clear" w:pos="851"/>
        </w:tabs>
        <w:spacing w:before="0" w:after="120" w:line="120" w:lineRule="atLeast"/>
        <w:ind w:left="568" w:right="70" w:hanging="284"/>
        <w:rPr>
          <w:rFonts w:ascii="Calibri" w:hAnsi="Calibri" w:cs="Calibri"/>
          <w:spacing w:val="-3"/>
          <w:sz w:val="20"/>
        </w:rPr>
      </w:pPr>
      <w:r w:rsidRPr="009D5B7E">
        <w:rPr>
          <w:rFonts w:ascii="Calibri" w:hAnsi="Calibri" w:cs="Calibri"/>
          <w:spacing w:val="-3"/>
          <w:sz w:val="20"/>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536B1254" w14:textId="77777777" w:rsidR="000A7DF6" w:rsidRPr="009D5B7E" w:rsidRDefault="000A7DF6" w:rsidP="000A7DF6">
      <w:pPr>
        <w:numPr>
          <w:ilvl w:val="0"/>
          <w:numId w:val="23"/>
        </w:numPr>
        <w:spacing w:after="120" w:line="120" w:lineRule="atLeast"/>
        <w:ind w:left="568" w:right="70" w:hanging="284"/>
        <w:jc w:val="both"/>
        <w:rPr>
          <w:rFonts w:ascii="Calibri" w:hAnsi="Calibri" w:cs="Calibri"/>
          <w:spacing w:val="-3"/>
          <w:sz w:val="20"/>
          <w:szCs w:val="18"/>
          <w:lang w:val="cs-CZ"/>
        </w:rPr>
      </w:pPr>
      <w:r w:rsidRPr="009D5B7E">
        <w:rPr>
          <w:rFonts w:ascii="Calibri" w:hAnsi="Calibri" w:cs="Calibri"/>
          <w:spacing w:val="-3"/>
          <w:sz w:val="20"/>
          <w:szCs w:val="18"/>
          <w:lang w:val="cs-CZ"/>
        </w:rPr>
        <w:t xml:space="preserve">Za okolností, kdy jsou všechna nebo část ustanovení tohoto článku podle pravomocného rozhodnutí soudu považována za neplatná, celková odpovědnost Deloitte a všech dalších </w:t>
      </w:r>
      <w:r w:rsidRPr="009D5B7E">
        <w:rPr>
          <w:rFonts w:ascii="Calibri" w:hAnsi="Calibri" w:cs="Calibri"/>
          <w:spacing w:val="-3"/>
          <w:sz w:val="20"/>
          <w:szCs w:val="18"/>
          <w:lang w:val="cs-CZ"/>
        </w:rPr>
        <w:t xml:space="preserve">Společností skupiny Deloitte (včetně příslušného personálu) za veškeré Nároky nepřekročí částku, která odpovídá míře jejich zavinění v poměru k veškerým dalším příčinám vzniku takového Nároku. </w:t>
      </w:r>
    </w:p>
    <w:p w14:paraId="4DAB1015"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Elektronická</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komunikace</w:t>
      </w:r>
      <w:proofErr w:type="spellEnd"/>
      <w:r w:rsidRPr="009D5B7E">
        <w:rPr>
          <w:rFonts w:ascii="Calibri" w:hAnsi="Calibri" w:cs="Calibri"/>
          <w:b/>
          <w:kern w:val="28"/>
          <w:sz w:val="20"/>
          <w:szCs w:val="18"/>
        </w:rPr>
        <w:t xml:space="preserve"> </w:t>
      </w:r>
    </w:p>
    <w:p w14:paraId="3694E13A" w14:textId="77777777" w:rsidR="000A7DF6" w:rsidRPr="009D5B7E" w:rsidRDefault="000A7DF6" w:rsidP="000A7DF6">
      <w:pPr>
        <w:pStyle w:val="Odstavecseseznamem"/>
        <w:keepLines w:val="0"/>
        <w:numPr>
          <w:ilvl w:val="0"/>
          <w:numId w:val="24"/>
        </w:numPr>
        <w:tabs>
          <w:tab w:val="clear" w:pos="851"/>
        </w:tabs>
        <w:spacing w:before="0" w:after="120" w:line="120" w:lineRule="atLeast"/>
        <w:ind w:left="568" w:hanging="284"/>
        <w:rPr>
          <w:rFonts w:ascii="Calibri" w:hAnsi="Calibri" w:cs="Calibri"/>
          <w:sz w:val="20"/>
        </w:rPr>
      </w:pPr>
      <w:r w:rsidRPr="009D5B7E">
        <w:rPr>
          <w:rFonts w:ascii="Calibri" w:hAnsi="Calibri" w:cs="Calibri"/>
          <w:sz w:val="20"/>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0891419E" w14:textId="77777777" w:rsidR="000A7DF6" w:rsidRPr="009D5B7E" w:rsidRDefault="000A7DF6" w:rsidP="000A7DF6">
      <w:pPr>
        <w:numPr>
          <w:ilvl w:val="0"/>
          <w:numId w:val="24"/>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Personál společnosti Deloitte může potřebovat přístup k vlastním systémům a údajům společnosti Deloitte. Klient souhlasí, že povolí (na základě vlastního rozhodnutí) personálu Deloitte používat místní síť Deloitte (</w:t>
      </w:r>
      <w:proofErr w:type="spellStart"/>
      <w:r w:rsidRPr="009D5B7E">
        <w:rPr>
          <w:rFonts w:ascii="Calibri" w:hAnsi="Calibri" w:cs="Calibri"/>
          <w:sz w:val="20"/>
          <w:szCs w:val="18"/>
          <w:lang w:val="cs-CZ"/>
        </w:rPr>
        <w:t>Local</w:t>
      </w:r>
      <w:proofErr w:type="spellEnd"/>
      <w:r w:rsidRPr="009D5B7E">
        <w:rPr>
          <w:rFonts w:ascii="Calibri" w:hAnsi="Calibri" w:cs="Calibri"/>
          <w:sz w:val="20"/>
          <w:szCs w:val="18"/>
          <w:lang w:val="cs-CZ"/>
        </w:rPr>
        <w:t xml:space="preserve">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478F122E" w14:textId="7AC91C44" w:rsidR="000A7DF6" w:rsidRPr="009D5B7E" w:rsidRDefault="000A7DF6" w:rsidP="000A7DF6">
      <w:pPr>
        <w:numPr>
          <w:ilvl w:val="0"/>
          <w:numId w:val="24"/>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Obě strany berou na vědomí, že internet je ze své povahy nechráněný prostředek komunikace a že data mohou být znehodnocena, sdělení nejsou vždy </w:t>
      </w:r>
      <w:r w:rsidRPr="009D5B7E">
        <w:rPr>
          <w:rFonts w:ascii="Calibri" w:hAnsi="Calibri" w:cs="Calibri"/>
          <w:sz w:val="20"/>
          <w:szCs w:val="18"/>
          <w:lang w:val="cs-CZ"/>
        </w:rPr>
        <w:lastRenderedPageBreak/>
        <w:t xml:space="preserve">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w:t>
      </w:r>
      <w:r w:rsidR="00174FFA">
        <w:rPr>
          <w:rFonts w:ascii="Calibri" w:hAnsi="Calibri" w:cs="Calibri"/>
          <w:sz w:val="20"/>
          <w:szCs w:val="18"/>
          <w:lang w:val="cs-CZ"/>
        </w:rPr>
        <w:t>s</w:t>
      </w:r>
      <w:r w:rsidRPr="009D5B7E">
        <w:rPr>
          <w:rFonts w:ascii="Calibri" w:hAnsi="Calibri" w:cs="Calibri"/>
          <w:sz w:val="20"/>
          <w:szCs w:val="18"/>
          <w:lang w:val="cs-CZ"/>
        </w:rPr>
        <w:t xml:space="preserve">kupiny Klienta. </w:t>
      </w:r>
    </w:p>
    <w:p w14:paraId="56B94900" w14:textId="77777777" w:rsidR="000A7DF6" w:rsidRPr="009D5B7E" w:rsidRDefault="000A7DF6" w:rsidP="000A7DF6">
      <w:pPr>
        <w:pStyle w:val="Odstavecseseznamem"/>
        <w:keepNext/>
        <w:keepLines w:val="0"/>
        <w:numPr>
          <w:ilvl w:val="0"/>
          <w:numId w:val="12"/>
        </w:numPr>
        <w:tabs>
          <w:tab w:val="clear" w:pos="851"/>
        </w:tabs>
        <w:spacing w:before="0" w:after="120" w:line="120" w:lineRule="atLeast"/>
        <w:ind w:left="568" w:hanging="284"/>
        <w:outlineLvl w:val="0"/>
        <w:rPr>
          <w:rFonts w:ascii="Calibri" w:hAnsi="Calibri" w:cs="Calibri"/>
          <w:b/>
          <w:kern w:val="28"/>
          <w:sz w:val="20"/>
        </w:rPr>
      </w:pPr>
      <w:r w:rsidRPr="009D5B7E">
        <w:rPr>
          <w:rFonts w:ascii="Calibri" w:hAnsi="Calibri" w:cs="Calibri"/>
          <w:b/>
          <w:kern w:val="28"/>
          <w:sz w:val="20"/>
        </w:rPr>
        <w:t xml:space="preserve">Úplná smlouva, úprava a účinnost </w:t>
      </w:r>
    </w:p>
    <w:p w14:paraId="1D325A1F" w14:textId="77777777" w:rsidR="000A7DF6" w:rsidRPr="009D5B7E" w:rsidRDefault="000A7DF6" w:rsidP="000A7DF6">
      <w:pPr>
        <w:spacing w:after="120" w:line="120" w:lineRule="atLeast"/>
        <w:ind w:left="568"/>
        <w:jc w:val="both"/>
        <w:rPr>
          <w:rFonts w:ascii="Calibri" w:hAnsi="Calibri" w:cs="Calibri"/>
          <w:sz w:val="20"/>
          <w:szCs w:val="18"/>
          <w:lang w:val="cs-CZ"/>
        </w:rPr>
      </w:pPr>
      <w:r w:rsidRPr="009D5B7E">
        <w:rPr>
          <w:rFonts w:ascii="Calibri" w:hAnsi="Calibri" w:cs="Calibri"/>
          <w:sz w:val="20"/>
          <w:szCs w:val="18"/>
          <w:lang w:val="cs-CZ"/>
        </w:rPr>
        <w:t>Žádná skutečnost diskutovaná před podpisem této Smlouvy</w:t>
      </w:r>
      <w:r w:rsidRPr="009D5B7E" w:rsidDel="00227A07">
        <w:rPr>
          <w:rFonts w:ascii="Calibri" w:hAnsi="Calibri" w:cs="Calibri"/>
          <w:sz w:val="20"/>
          <w:szCs w:val="18"/>
          <w:lang w:val="cs-CZ"/>
        </w:rPr>
        <w:t xml:space="preserve"> </w:t>
      </w:r>
      <w:r w:rsidRPr="009D5B7E">
        <w:rPr>
          <w:rFonts w:ascii="Calibri" w:hAnsi="Calibri" w:cs="Calibri"/>
          <w:sz w:val="20"/>
          <w:szCs w:val="18"/>
          <w:lang w:val="cs-CZ"/>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2FB817ED"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Ostatní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klienti</w:t>
      </w:r>
      <w:proofErr w:type="spellEnd"/>
      <w:r w:rsidRPr="009D5B7E">
        <w:rPr>
          <w:rFonts w:ascii="Calibri" w:hAnsi="Calibri" w:cs="Calibri"/>
          <w:b/>
          <w:kern w:val="28"/>
          <w:sz w:val="20"/>
          <w:szCs w:val="18"/>
        </w:rPr>
        <w:t xml:space="preserve"> </w:t>
      </w:r>
    </w:p>
    <w:p w14:paraId="447AAF92" w14:textId="2968E0CA" w:rsidR="000A7DF6" w:rsidRPr="009D5B7E" w:rsidRDefault="000A7DF6" w:rsidP="000A7DF6">
      <w:pPr>
        <w:keepNext/>
        <w:spacing w:after="120" w:line="120" w:lineRule="atLeast"/>
        <w:ind w:left="568" w:right="68"/>
        <w:jc w:val="both"/>
        <w:outlineLvl w:val="0"/>
        <w:rPr>
          <w:rFonts w:ascii="Calibri" w:hAnsi="Calibri" w:cs="Calibri"/>
          <w:sz w:val="20"/>
          <w:szCs w:val="18"/>
          <w:lang w:val="cs-CZ"/>
        </w:rPr>
      </w:pPr>
      <w:r w:rsidRPr="009D5B7E">
        <w:rPr>
          <w:rFonts w:ascii="Calibri" w:hAnsi="Calibri" w:cs="Calibri"/>
          <w:sz w:val="20"/>
          <w:szCs w:val="18"/>
          <w:lang w:val="cs-CZ"/>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w:t>
      </w:r>
      <w:r w:rsidRPr="009D5B7E">
        <w:rPr>
          <w:rFonts w:ascii="Calibri" w:hAnsi="Calibri" w:cs="Calibri"/>
          <w:sz w:val="20"/>
          <w:szCs w:val="18"/>
          <w:lang w:val="cs-CZ"/>
        </w:rPr>
        <w:t xml:space="preserve">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w:t>
      </w:r>
      <w:r w:rsidR="00C90294">
        <w:rPr>
          <w:rFonts w:ascii="Calibri" w:hAnsi="Calibri" w:cs="Calibri"/>
          <w:sz w:val="20"/>
          <w:szCs w:val="18"/>
          <w:lang w:val="cs-CZ"/>
        </w:rPr>
        <w:t>s</w:t>
      </w:r>
      <w:r w:rsidRPr="009D5B7E">
        <w:rPr>
          <w:rFonts w:ascii="Calibri" w:hAnsi="Calibri" w:cs="Calibri"/>
          <w:sz w:val="20"/>
          <w:szCs w:val="18"/>
          <w:lang w:val="cs-CZ"/>
        </w:rPr>
        <w:t xml:space="preserve">kupiny Klienta nebo je použít ve prospěch </w:t>
      </w:r>
      <w:r w:rsidR="00C90294">
        <w:rPr>
          <w:rFonts w:ascii="Calibri" w:hAnsi="Calibri" w:cs="Calibri"/>
          <w:sz w:val="20"/>
          <w:szCs w:val="18"/>
          <w:lang w:val="cs-CZ"/>
        </w:rPr>
        <w:t>s</w:t>
      </w:r>
      <w:r w:rsidRPr="009D5B7E">
        <w:rPr>
          <w:rFonts w:ascii="Calibri" w:hAnsi="Calibri" w:cs="Calibri"/>
          <w:sz w:val="20"/>
          <w:szCs w:val="18"/>
          <w:lang w:val="cs-CZ"/>
        </w:rPr>
        <w:t xml:space="preserve">kupiny Klienta, i když by mohly být ke Službám relevantní. </w:t>
      </w:r>
    </w:p>
    <w:p w14:paraId="31AE5107"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Personál</w:t>
      </w:r>
      <w:proofErr w:type="spellEnd"/>
      <w:r w:rsidRPr="009D5B7E">
        <w:rPr>
          <w:rFonts w:ascii="Calibri" w:hAnsi="Calibri" w:cs="Calibri"/>
          <w:b/>
          <w:kern w:val="28"/>
          <w:sz w:val="20"/>
          <w:szCs w:val="18"/>
        </w:rPr>
        <w:t xml:space="preserve"> </w:t>
      </w:r>
    </w:p>
    <w:p w14:paraId="07673CFB" w14:textId="77777777" w:rsidR="000A7DF6" w:rsidRPr="009D5B7E" w:rsidRDefault="000A7DF6" w:rsidP="000A7DF6">
      <w:pPr>
        <w:spacing w:after="120" w:line="120" w:lineRule="atLeast"/>
        <w:ind w:left="568" w:right="70" w:hanging="284"/>
        <w:jc w:val="both"/>
        <w:rPr>
          <w:rFonts w:ascii="Calibri" w:hAnsi="Calibri" w:cs="Calibri"/>
          <w:sz w:val="20"/>
          <w:szCs w:val="18"/>
        </w:rPr>
      </w:pPr>
      <w:r w:rsidRPr="009D5B7E">
        <w:rPr>
          <w:rFonts w:ascii="Calibri" w:hAnsi="Calibri" w:cs="Calibri"/>
          <w:sz w:val="20"/>
          <w:szCs w:val="18"/>
        </w:rPr>
        <w:t>a)</w:t>
      </w:r>
      <w:r w:rsidRPr="009D5B7E">
        <w:rPr>
          <w:rFonts w:ascii="Calibri" w:hAnsi="Calibri" w:cs="Calibri"/>
          <w:sz w:val="20"/>
          <w:szCs w:val="18"/>
        </w:rPr>
        <w:tab/>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nevyžadují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stálou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přítomnost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personálu</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používat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personál</w:t>
      </w:r>
      <w:proofErr w:type="spellEnd"/>
      <w:r w:rsidRPr="009D5B7E">
        <w:rPr>
          <w:rFonts w:ascii="Calibri" w:hAnsi="Calibri" w:cs="Calibri"/>
          <w:sz w:val="20"/>
          <w:szCs w:val="18"/>
        </w:rPr>
        <w:t xml:space="preserve"> Deloitte pro </w:t>
      </w:r>
      <w:proofErr w:type="spellStart"/>
      <w:r w:rsidRPr="009D5B7E">
        <w:rPr>
          <w:rFonts w:ascii="Calibri" w:hAnsi="Calibri" w:cs="Calibri"/>
          <w:sz w:val="20"/>
          <w:szCs w:val="18"/>
        </w:rPr>
        <w:t>další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činnosti</w:t>
      </w:r>
      <w:proofErr w:type="spellEnd"/>
      <w:r w:rsidRPr="009D5B7E">
        <w:rPr>
          <w:rFonts w:ascii="Calibri" w:hAnsi="Calibri" w:cs="Calibri"/>
          <w:sz w:val="20"/>
          <w:szCs w:val="18"/>
        </w:rPr>
        <w:t xml:space="preserve">. </w:t>
      </w:r>
    </w:p>
    <w:p w14:paraId="1E9B2EF2" w14:textId="77777777" w:rsidR="000A7DF6" w:rsidRPr="009D5B7E" w:rsidRDefault="000A7DF6" w:rsidP="000A7DF6">
      <w:pPr>
        <w:pStyle w:val="Odstavecseseznamem"/>
        <w:keepLines w:val="0"/>
        <w:tabs>
          <w:tab w:val="clear" w:pos="851"/>
        </w:tabs>
        <w:spacing w:before="0" w:after="120" w:line="120" w:lineRule="atLeast"/>
        <w:ind w:left="568" w:right="70" w:hanging="284"/>
        <w:rPr>
          <w:rFonts w:ascii="Calibri" w:hAnsi="Calibri" w:cs="Calibri"/>
          <w:sz w:val="20"/>
        </w:rPr>
      </w:pPr>
      <w:r w:rsidRPr="009D5B7E">
        <w:rPr>
          <w:rFonts w:ascii="Calibri" w:hAnsi="Calibri" w:cs="Calibri"/>
          <w:sz w:val="20"/>
        </w:rPr>
        <w:t>b)</w:t>
      </w:r>
      <w:r w:rsidRPr="009D5B7E">
        <w:rPr>
          <w:rFonts w:ascii="Calibri" w:hAnsi="Calibri" w:cs="Calibri"/>
          <w:sz w:val="20"/>
        </w:rPr>
        <w:tab/>
        <w:t xml:space="preserve">Deloitte si vyhrazuje právo nahradit jakýkoli personál Deloitte. </w:t>
      </w:r>
    </w:p>
    <w:p w14:paraId="4264B183" w14:textId="77777777" w:rsidR="000A7DF6" w:rsidRPr="009D5B7E" w:rsidRDefault="000A7DF6" w:rsidP="000A7DF6">
      <w:pPr>
        <w:numPr>
          <w:ilvl w:val="0"/>
          <w:numId w:val="23"/>
        </w:numPr>
        <w:spacing w:after="120" w:line="120" w:lineRule="atLeast"/>
        <w:ind w:left="568" w:right="70" w:hanging="284"/>
        <w:jc w:val="both"/>
        <w:rPr>
          <w:rFonts w:ascii="Calibri" w:hAnsi="Calibri" w:cs="Calibri"/>
          <w:sz w:val="20"/>
          <w:szCs w:val="18"/>
          <w:lang w:val="cs-CZ"/>
        </w:rPr>
      </w:pPr>
      <w:r w:rsidRPr="009D5B7E">
        <w:rPr>
          <w:rFonts w:ascii="Calibri" w:hAnsi="Calibri" w:cs="Calibri"/>
          <w:sz w:val="20"/>
          <w:szCs w:val="18"/>
          <w:lang w:val="cs-CZ"/>
        </w:rPr>
        <w:t xml:space="preserve">Personál Deloitte zůstane neustále pod dohledem a kontrolou Deloitte, pokud Klientovi nebude uděleno pověření dávat personálu Deloitte pokyny. V takovém případě Deloitte nenese žádnou odpovědnost za poskytování Služeb, které nebyly schváleny a/nebo revidovány společností Deloitte. </w:t>
      </w:r>
    </w:p>
    <w:p w14:paraId="2BFABFE3"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Likvidace</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pracovní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dokumentace</w:t>
      </w:r>
      <w:proofErr w:type="spellEnd"/>
      <w:r w:rsidRPr="009D5B7E">
        <w:rPr>
          <w:rFonts w:ascii="Calibri" w:hAnsi="Calibri" w:cs="Calibri"/>
          <w:b/>
          <w:kern w:val="28"/>
          <w:sz w:val="20"/>
          <w:szCs w:val="18"/>
        </w:rPr>
        <w:t xml:space="preserve"> </w:t>
      </w:r>
    </w:p>
    <w:p w14:paraId="4DA04460"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r w:rsidRPr="009D5B7E">
        <w:rPr>
          <w:rFonts w:ascii="Calibri" w:hAnsi="Calibri" w:cs="Calibri"/>
          <w:sz w:val="20"/>
          <w:szCs w:val="18"/>
        </w:rPr>
        <w:t xml:space="preserve">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ponechat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kopie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dokumentů</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složek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Službami</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splnění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příslušných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profesionálních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standardů</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interních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postupů</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uchovávání</w:t>
      </w:r>
      <w:proofErr w:type="spellEnd"/>
      <w:r w:rsidRPr="009D5B7E">
        <w:rPr>
          <w:rFonts w:ascii="Calibri" w:hAnsi="Calibri" w:cs="Calibri"/>
          <w:sz w:val="20"/>
          <w:szCs w:val="18"/>
        </w:rPr>
        <w:t xml:space="preserve"> </w:t>
      </w:r>
      <w:r w:rsidRPr="009D5B7E">
        <w:rPr>
          <w:rFonts w:ascii="Calibri" w:hAnsi="Calibri" w:cs="Calibri"/>
          <w:sz w:val="20"/>
          <w:szCs w:val="18"/>
          <w:lang w:val="cs-CZ"/>
        </w:rPr>
        <w:t>údajů</w:t>
      </w:r>
      <w:r w:rsidRPr="009D5B7E">
        <w:rPr>
          <w:rFonts w:ascii="Calibri" w:hAnsi="Calibri" w:cs="Calibri"/>
          <w:sz w:val="20"/>
          <w:szCs w:val="18"/>
        </w:rPr>
        <w:t xml:space="preserve">. </w:t>
      </w:r>
      <w:proofErr w:type="spellStart"/>
      <w:r w:rsidRPr="009D5B7E">
        <w:rPr>
          <w:rFonts w:ascii="Calibri" w:hAnsi="Calibri" w:cs="Calibri"/>
          <w:sz w:val="20"/>
          <w:szCs w:val="18"/>
        </w:rPr>
        <w:t>Dokumentace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související</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zakázkou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údajů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w:t>
      </w:r>
      <w:proofErr w:type="spellEnd"/>
      <w:r w:rsidRPr="009D5B7E">
        <w:rPr>
          <w:rFonts w:ascii="Calibri" w:hAnsi="Calibri" w:cs="Calibri"/>
          <w:sz w:val="20"/>
          <w:szCs w:val="18"/>
        </w:rPr>
        <w:t xml:space="preserve"> jak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definovány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článku</w:t>
      </w:r>
      <w:proofErr w:type="spellEnd"/>
      <w:r w:rsidRPr="009D5B7E">
        <w:rPr>
          <w:rFonts w:ascii="Calibri" w:hAnsi="Calibri" w:cs="Calibri"/>
          <w:sz w:val="20"/>
          <w:szCs w:val="18"/>
        </w:rPr>
        <w:t xml:space="preserve"> 21 </w:t>
      </w:r>
      <w:proofErr w:type="spellStart"/>
      <w:r w:rsidRPr="009D5B7E">
        <w:rPr>
          <w:rFonts w:ascii="Calibri" w:hAnsi="Calibri" w:cs="Calibri"/>
          <w:sz w:val="20"/>
          <w:szCs w:val="18"/>
        </w:rPr>
        <w:t>těchto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Důvěrných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uchovávána</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dobu</w:t>
      </w:r>
      <w:proofErr w:type="spellEnd"/>
      <w:r w:rsidRPr="009D5B7E">
        <w:rPr>
          <w:rFonts w:ascii="Calibri" w:hAnsi="Calibri" w:cs="Calibri"/>
          <w:sz w:val="20"/>
          <w:szCs w:val="18"/>
        </w:rPr>
        <w:t xml:space="preserve"> 10 let </w:t>
      </w:r>
      <w:proofErr w:type="spellStart"/>
      <w:r w:rsidRPr="009D5B7E">
        <w:rPr>
          <w:rFonts w:ascii="Calibri" w:hAnsi="Calibri" w:cs="Calibri"/>
          <w:sz w:val="20"/>
          <w:szCs w:val="18"/>
        </w:rPr>
        <w:t>následujících</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skončení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tohoto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dobu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která</w:t>
      </w:r>
      <w:proofErr w:type="spellEnd"/>
      <w:r w:rsidRPr="009D5B7E">
        <w:rPr>
          <w:rFonts w:ascii="Calibri" w:hAnsi="Calibri" w:cs="Calibri"/>
          <w:sz w:val="20"/>
          <w:szCs w:val="18"/>
        </w:rPr>
        <w:t xml:space="preserve"> je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požadavky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legalizaci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výnosů</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trestné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činnosti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příslušených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předpisů</w:t>
      </w:r>
      <w:proofErr w:type="spellEnd"/>
      <w:r w:rsidRPr="009D5B7E">
        <w:rPr>
          <w:rFonts w:ascii="Calibri" w:hAnsi="Calibri" w:cs="Calibri"/>
          <w:sz w:val="20"/>
          <w:szCs w:val="18"/>
        </w:rPr>
        <w:t>.</w:t>
      </w:r>
    </w:p>
    <w:p w14:paraId="186BF9B5" w14:textId="77777777" w:rsidR="000A7DF6" w:rsidRPr="009D5B7E" w:rsidRDefault="000A7DF6" w:rsidP="000A7DF6">
      <w:pPr>
        <w:keepNext/>
        <w:numPr>
          <w:ilvl w:val="0"/>
          <w:numId w:val="12"/>
        </w:numPr>
        <w:spacing w:after="120" w:line="120" w:lineRule="atLeast"/>
        <w:ind w:left="568" w:right="68" w:hanging="284"/>
        <w:jc w:val="both"/>
        <w:outlineLvl w:val="0"/>
        <w:rPr>
          <w:rFonts w:ascii="Calibri" w:hAnsi="Calibri" w:cs="Calibri"/>
          <w:b/>
          <w:kern w:val="28"/>
          <w:sz w:val="20"/>
          <w:szCs w:val="18"/>
        </w:rPr>
      </w:pPr>
      <w:r w:rsidRPr="009D5B7E">
        <w:rPr>
          <w:rFonts w:ascii="Calibri" w:hAnsi="Calibri" w:cs="Calibri"/>
          <w:b/>
          <w:kern w:val="28"/>
          <w:sz w:val="20"/>
          <w:szCs w:val="18"/>
        </w:rPr>
        <w:t xml:space="preserve">Marketing a </w:t>
      </w:r>
      <w:proofErr w:type="spellStart"/>
      <w:r w:rsidRPr="009D5B7E">
        <w:rPr>
          <w:rFonts w:ascii="Calibri" w:hAnsi="Calibri" w:cs="Calibri"/>
          <w:b/>
          <w:kern w:val="28"/>
          <w:sz w:val="20"/>
          <w:szCs w:val="18"/>
        </w:rPr>
        <w:t>použití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jména</w:t>
      </w:r>
      <w:proofErr w:type="spellEnd"/>
      <w:r w:rsidRPr="009D5B7E">
        <w:rPr>
          <w:rFonts w:ascii="Calibri" w:hAnsi="Calibri" w:cs="Calibri"/>
          <w:b/>
          <w:kern w:val="28"/>
          <w:sz w:val="20"/>
          <w:szCs w:val="18"/>
        </w:rPr>
        <w:t xml:space="preserve"> </w:t>
      </w:r>
    </w:p>
    <w:p w14:paraId="01575EA3"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ani </w:t>
      </w:r>
      <w:proofErr w:type="spellStart"/>
      <w:r w:rsidRPr="009D5B7E">
        <w:rPr>
          <w:rFonts w:ascii="Calibri" w:hAnsi="Calibri" w:cs="Calibri"/>
          <w:sz w:val="20"/>
          <w:szCs w:val="18"/>
        </w:rPr>
        <w:t>skupina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nebudou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používat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ochrannou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známku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označení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logo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firmu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externích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publikačních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materiálech</w:t>
      </w:r>
      <w:proofErr w:type="spellEnd"/>
      <w:r w:rsidRPr="009D5B7E">
        <w:rPr>
          <w:rFonts w:ascii="Calibri" w:hAnsi="Calibri" w:cs="Calibri"/>
          <w:sz w:val="20"/>
          <w:szCs w:val="18"/>
        </w:rPr>
        <w:t xml:space="preserve"> bez </w:t>
      </w:r>
      <w:proofErr w:type="spellStart"/>
      <w:r w:rsidRPr="009D5B7E">
        <w:rPr>
          <w:rFonts w:ascii="Calibri" w:hAnsi="Calibri" w:cs="Calibri"/>
          <w:sz w:val="20"/>
          <w:szCs w:val="18"/>
        </w:rPr>
        <w:t>předchozího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písemného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prostřednictvím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emailu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odkazovat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jména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poskytování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používat</w:t>
      </w:r>
      <w:proofErr w:type="spellEnd"/>
      <w:r w:rsidRPr="009D5B7E">
        <w:rPr>
          <w:rFonts w:ascii="Calibri" w:hAnsi="Calibri" w:cs="Calibri"/>
          <w:sz w:val="20"/>
          <w:szCs w:val="18"/>
        </w:rPr>
        <w:t xml:space="preserve"> logo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w:t>
      </w:r>
      <w:r w:rsidRPr="009D5B7E">
        <w:rPr>
          <w:rFonts w:ascii="Calibri" w:hAnsi="Calibri" w:cs="Calibri"/>
          <w:sz w:val="20"/>
          <w:szCs w:val="18"/>
        </w:rPr>
        <w:lastRenderedPageBreak/>
        <w:t>v </w:t>
      </w:r>
      <w:proofErr w:type="spellStart"/>
      <w:r w:rsidRPr="009D5B7E">
        <w:rPr>
          <w:rFonts w:ascii="Calibri" w:hAnsi="Calibri" w:cs="Calibri"/>
          <w:sz w:val="20"/>
          <w:szCs w:val="18"/>
        </w:rPr>
        <w:t>marketingu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publikačních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materiálech</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nabídkách</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doložení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svých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zkušeností</w:t>
      </w:r>
      <w:proofErr w:type="spellEnd"/>
      <w:r w:rsidRPr="009D5B7E">
        <w:rPr>
          <w:rFonts w:ascii="Calibri" w:hAnsi="Calibri" w:cs="Calibri"/>
          <w:sz w:val="20"/>
          <w:szCs w:val="18"/>
        </w:rPr>
        <w:t xml:space="preserve"> a (ii) v </w:t>
      </w:r>
      <w:proofErr w:type="spellStart"/>
      <w:r w:rsidRPr="009D5B7E">
        <w:rPr>
          <w:rFonts w:ascii="Calibri" w:hAnsi="Calibri" w:cs="Calibri"/>
          <w:sz w:val="20"/>
          <w:szCs w:val="18"/>
        </w:rPr>
        <w:t>interních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datových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systémech</w:t>
      </w:r>
      <w:proofErr w:type="spellEnd"/>
      <w:r w:rsidRPr="009D5B7E">
        <w:rPr>
          <w:rFonts w:ascii="Calibri" w:hAnsi="Calibri" w:cs="Calibri"/>
          <w:sz w:val="20"/>
          <w:szCs w:val="18"/>
        </w:rPr>
        <w:t xml:space="preserve">. </w:t>
      </w:r>
    </w:p>
    <w:p w14:paraId="0FD64A71"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Sestavy</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modely</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nástroje</w:t>
      </w:r>
      <w:proofErr w:type="spellEnd"/>
      <w:r w:rsidRPr="009D5B7E">
        <w:rPr>
          <w:rFonts w:ascii="Calibri" w:hAnsi="Calibri" w:cs="Calibri"/>
          <w:b/>
          <w:kern w:val="28"/>
          <w:sz w:val="20"/>
          <w:szCs w:val="18"/>
        </w:rPr>
        <w:t xml:space="preserve"> </w:t>
      </w:r>
    </w:p>
    <w:p w14:paraId="2AF27F82"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r w:rsidRPr="009D5B7E">
        <w:rPr>
          <w:rFonts w:ascii="Calibri" w:hAnsi="Calibri" w:cs="Calibri"/>
          <w:sz w:val="20"/>
          <w:szCs w:val="18"/>
        </w:rPr>
        <w:t xml:space="preserve">V </w:t>
      </w:r>
      <w:proofErr w:type="spellStart"/>
      <w:r w:rsidRPr="009D5B7E">
        <w:rPr>
          <w:rFonts w:ascii="Calibri" w:hAnsi="Calibri" w:cs="Calibri"/>
          <w:sz w:val="20"/>
          <w:szCs w:val="18"/>
        </w:rPr>
        <w:t>průběhu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odkazovat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sestavy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nástroje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společnosti</w:t>
      </w:r>
      <w:proofErr w:type="spellEnd"/>
      <w:r w:rsidRPr="009D5B7E">
        <w:rPr>
          <w:rFonts w:ascii="Calibri" w:hAnsi="Calibri" w:cs="Calibri"/>
          <w:sz w:val="20"/>
          <w:szCs w:val="18"/>
        </w:rPr>
        <w:t xml:space="preserve"> </w:t>
      </w:r>
      <w:r w:rsidRPr="009D5B7E">
        <w:rPr>
          <w:rFonts w:ascii="Calibri" w:hAnsi="Calibri" w:cs="Calibri"/>
          <w:sz w:val="20"/>
          <w:szCs w:val="18"/>
          <w:lang w:val="cs-CZ"/>
        </w:rPr>
        <w:t>Deloitte</w:t>
      </w:r>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u </w:t>
      </w:r>
      <w:proofErr w:type="spellStart"/>
      <w:r w:rsidRPr="009D5B7E">
        <w:rPr>
          <w:rFonts w:ascii="Calibri" w:hAnsi="Calibri" w:cs="Calibri"/>
          <w:sz w:val="20"/>
          <w:szCs w:val="18"/>
        </w:rPr>
        <w:t>nichž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žádá</w:t>
      </w:r>
      <w:proofErr w:type="spellEnd"/>
      <w:r w:rsidRPr="009D5B7E">
        <w:rPr>
          <w:rFonts w:ascii="Calibri" w:hAnsi="Calibri" w:cs="Calibri"/>
          <w:sz w:val="20"/>
          <w:szCs w:val="18"/>
        </w:rPr>
        <w:t>, aby z </w:t>
      </w:r>
      <w:proofErr w:type="spellStart"/>
      <w:r w:rsidRPr="009D5B7E">
        <w:rPr>
          <w:rFonts w:ascii="Calibri" w:hAnsi="Calibri" w:cs="Calibri"/>
          <w:sz w:val="20"/>
          <w:szCs w:val="18"/>
        </w:rPr>
        <w:t>nich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vycházela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jinak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používá</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Službami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Veškeré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omezení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nemusí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produkovat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validní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výsledky</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možné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kombinace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vstupních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dat</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tím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skutečné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potenciální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chyby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nemusí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zjištěny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Není</w:t>
      </w:r>
      <w:proofErr w:type="spellEnd"/>
      <w:r w:rsidRPr="009D5B7E">
        <w:rPr>
          <w:rFonts w:ascii="Calibri" w:hAnsi="Calibri" w:cs="Calibri"/>
          <w:sz w:val="20"/>
          <w:szCs w:val="18"/>
        </w:rPr>
        <w:t xml:space="preserve">-li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sjednáno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jinak</w:t>
      </w:r>
      <w:proofErr w:type="spellEnd"/>
      <w:r w:rsidRPr="009D5B7E">
        <w:rPr>
          <w:rFonts w:ascii="Calibri" w:hAnsi="Calibri" w:cs="Calibri"/>
          <w:sz w:val="20"/>
          <w:szCs w:val="18"/>
        </w:rPr>
        <w:t>: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odpovědná</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revizi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testování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detekci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chyb</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Modelech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(ii) </w:t>
      </w:r>
      <w:proofErr w:type="spellStart"/>
      <w:r w:rsidRPr="009D5B7E">
        <w:rPr>
          <w:rFonts w:ascii="Calibri" w:hAnsi="Calibri" w:cs="Calibri"/>
          <w:sz w:val="20"/>
          <w:szCs w:val="18"/>
        </w:rPr>
        <w:t>žádný</w:t>
      </w:r>
      <w:proofErr w:type="spellEnd"/>
      <w:r w:rsidRPr="009D5B7E">
        <w:rPr>
          <w:rFonts w:ascii="Calibri" w:hAnsi="Calibri" w:cs="Calibri"/>
          <w:sz w:val="20"/>
          <w:szCs w:val="18"/>
        </w:rPr>
        <w:t xml:space="preserve"> Model Deloitte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používán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w:t>
      </w:r>
      <w:proofErr w:type="spellEnd"/>
      <w:r w:rsidRPr="009D5B7E">
        <w:rPr>
          <w:rFonts w:ascii="Calibri" w:hAnsi="Calibri" w:cs="Calibri"/>
          <w:sz w:val="20"/>
          <w:szCs w:val="18"/>
        </w:rPr>
        <w:t xml:space="preserve">, a (iii)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poskytne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jakýkoli</w:t>
      </w:r>
      <w:proofErr w:type="spellEnd"/>
      <w:r w:rsidRPr="009D5B7E">
        <w:rPr>
          <w:rFonts w:ascii="Calibri" w:hAnsi="Calibri" w:cs="Calibri"/>
          <w:sz w:val="20"/>
          <w:szCs w:val="18"/>
        </w:rPr>
        <w:t xml:space="preserve"> Model Deloitte pro </w:t>
      </w:r>
      <w:proofErr w:type="spellStart"/>
      <w:r w:rsidRPr="009D5B7E">
        <w:rPr>
          <w:rFonts w:ascii="Calibri" w:hAnsi="Calibri" w:cs="Calibri"/>
          <w:sz w:val="20"/>
          <w:szCs w:val="18"/>
        </w:rPr>
        <w:t>vysvětlení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ilustraci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neposkytuje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tvrzení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záruku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implicitní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jakéhokoli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druhu</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přesnosti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udržitelnosti</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přiměřenosti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Modelu</w:t>
      </w:r>
      <w:proofErr w:type="spellEnd"/>
      <w:r w:rsidRPr="009D5B7E">
        <w:rPr>
          <w:rFonts w:ascii="Calibri" w:hAnsi="Calibri" w:cs="Calibri"/>
          <w:sz w:val="20"/>
          <w:szCs w:val="18"/>
        </w:rPr>
        <w:t xml:space="preserve"> Deloitte pro </w:t>
      </w:r>
      <w:proofErr w:type="spellStart"/>
      <w:r w:rsidRPr="009D5B7E">
        <w:rPr>
          <w:rFonts w:ascii="Calibri" w:hAnsi="Calibri" w:cs="Calibri"/>
          <w:sz w:val="20"/>
          <w:szCs w:val="18"/>
        </w:rPr>
        <w:t>vlastní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potřeby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
    <w:p w14:paraId="341274E2"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Ochrana</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osobních</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údajů</w:t>
      </w:r>
      <w:proofErr w:type="spellEnd"/>
    </w:p>
    <w:p w14:paraId="431ACB58" w14:textId="77777777" w:rsidR="000A7DF6" w:rsidRPr="009D5B7E" w:rsidRDefault="000A7DF6" w:rsidP="000A7DF6">
      <w:pPr>
        <w:pStyle w:val="Odstavecseseznamem"/>
        <w:keepNext/>
        <w:keepLines w:val="0"/>
        <w:numPr>
          <w:ilvl w:val="0"/>
          <w:numId w:val="25"/>
        </w:numPr>
        <w:tabs>
          <w:tab w:val="clear" w:pos="851"/>
        </w:tabs>
        <w:spacing w:before="0" w:after="120" w:line="120" w:lineRule="atLeast"/>
        <w:ind w:left="568" w:hanging="284"/>
        <w:outlineLvl w:val="0"/>
        <w:rPr>
          <w:rFonts w:ascii="Calibri" w:hAnsi="Calibri" w:cs="Calibri"/>
          <w:b/>
          <w:sz w:val="20"/>
        </w:rPr>
      </w:pPr>
      <w:r w:rsidRPr="009D5B7E">
        <w:rPr>
          <w:rFonts w:ascii="Calibri" w:hAnsi="Calibri" w:cs="Calibri"/>
          <w:b/>
          <w:sz w:val="20"/>
        </w:rPr>
        <w:t>Definice</w:t>
      </w:r>
    </w:p>
    <w:p w14:paraId="75F7CADE" w14:textId="77777777" w:rsidR="000A7DF6" w:rsidRPr="009D5B7E" w:rsidRDefault="000A7DF6" w:rsidP="000A7DF6">
      <w:pPr>
        <w:keepNext/>
        <w:spacing w:after="120" w:line="120" w:lineRule="atLeast"/>
        <w:ind w:left="568" w:right="70" w:hanging="284"/>
        <w:jc w:val="both"/>
        <w:outlineLvl w:val="0"/>
        <w:rPr>
          <w:rFonts w:ascii="Calibri" w:hAnsi="Calibri" w:cs="Calibri"/>
          <w:sz w:val="20"/>
          <w:szCs w:val="18"/>
          <w:lang w:val="cs-CZ"/>
        </w:rPr>
      </w:pPr>
      <w:r w:rsidRPr="009D5B7E">
        <w:rPr>
          <w:rFonts w:ascii="Calibri" w:hAnsi="Calibri" w:cs="Calibri"/>
          <w:sz w:val="20"/>
          <w:szCs w:val="18"/>
          <w:lang w:val="cs-CZ"/>
        </w:rPr>
        <w:tab/>
        <w:t xml:space="preserve">„Osobní údaje“ označují jakékoliv osobní údaje, jak jsou definovány Právními předpisy v oblasti ochrany osobních údajů, které jsou zpracovávány v rámci poskytování Služeb nebo v souvislosti s poskytováním Služeb. </w:t>
      </w:r>
    </w:p>
    <w:p w14:paraId="3E2E8B5A" w14:textId="77777777" w:rsidR="000A7DF6" w:rsidRPr="009D5B7E" w:rsidRDefault="000A7DF6" w:rsidP="000A7DF6">
      <w:pPr>
        <w:spacing w:after="120" w:line="120" w:lineRule="atLeast"/>
        <w:ind w:left="568" w:right="70" w:hanging="284"/>
        <w:jc w:val="both"/>
        <w:outlineLvl w:val="0"/>
        <w:rPr>
          <w:rFonts w:ascii="Calibri" w:hAnsi="Calibri" w:cs="Calibri"/>
          <w:sz w:val="20"/>
          <w:szCs w:val="18"/>
          <w:lang w:val="cs-CZ"/>
        </w:rPr>
      </w:pPr>
      <w:r w:rsidRPr="009D5B7E">
        <w:rPr>
          <w:rFonts w:ascii="Calibri" w:hAnsi="Calibri" w:cs="Calibri"/>
          <w:sz w:val="20"/>
          <w:szCs w:val="18"/>
          <w:lang w:val="cs-CZ"/>
        </w:rPr>
        <w:tab/>
        <w:t xml:space="preserve">„Právní předpisy v oblasti ochrany osobních údajů“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1AA4DA55" w14:textId="77777777" w:rsidR="000A7DF6" w:rsidRPr="009D5B7E" w:rsidRDefault="000A7DF6" w:rsidP="000A7DF6">
      <w:pPr>
        <w:pStyle w:val="Odstavecseseznamem"/>
        <w:spacing w:before="0" w:after="120" w:line="120" w:lineRule="atLeast"/>
        <w:ind w:left="568" w:right="70" w:hanging="284"/>
        <w:outlineLvl w:val="0"/>
        <w:rPr>
          <w:rFonts w:ascii="Calibri" w:hAnsi="Calibri" w:cs="Calibri"/>
          <w:sz w:val="20"/>
        </w:rPr>
      </w:pPr>
      <w:r w:rsidRPr="009D5B7E">
        <w:rPr>
          <w:rFonts w:ascii="Calibri" w:hAnsi="Calibri" w:cs="Calibri"/>
          <w:sz w:val="20"/>
        </w:rPr>
        <w:tab/>
        <w:t xml:space="preserve"> „Příjemce Osobních údajů“ označuje fyzickou nebo právnickou osobu, orgán veřejné moci, agenturu nebo jiný subjekt, jemuž jsou osobní údaje poskytnuty, jak je dále </w:t>
      </w:r>
      <w:r w:rsidRPr="009D5B7E">
        <w:rPr>
          <w:rFonts w:ascii="Calibri" w:hAnsi="Calibri" w:cs="Calibri"/>
          <w:bCs/>
          <w:sz w:val="20"/>
        </w:rPr>
        <w:t xml:space="preserve">definován </w:t>
      </w:r>
      <w:r w:rsidRPr="009D5B7E">
        <w:rPr>
          <w:rFonts w:ascii="Calibri" w:hAnsi="Calibri" w:cs="Calibri"/>
          <w:sz w:val="20"/>
        </w:rPr>
        <w:t>Právními předpisy v oblasti ochrany osobních údajů.</w:t>
      </w:r>
    </w:p>
    <w:p w14:paraId="4158B22A" w14:textId="77777777" w:rsidR="000A7DF6" w:rsidRPr="009D5B7E" w:rsidRDefault="000A7DF6" w:rsidP="000A7DF6">
      <w:pPr>
        <w:pStyle w:val="Odstavecseseznamem"/>
        <w:spacing w:before="0" w:after="120" w:line="120" w:lineRule="atLeast"/>
        <w:ind w:left="568" w:right="70" w:hanging="1"/>
        <w:outlineLvl w:val="0"/>
        <w:rPr>
          <w:rFonts w:ascii="Calibri" w:hAnsi="Calibri" w:cs="Calibri"/>
          <w:sz w:val="20"/>
        </w:rPr>
      </w:pPr>
      <w:r w:rsidRPr="009D5B7E">
        <w:rPr>
          <w:rFonts w:ascii="Calibri" w:hAnsi="Calibri" w:cs="Calibri"/>
          <w:sz w:val="20"/>
        </w:rPr>
        <w:t>„Správce Osobních údajů“ označuje správce nebo správce údajů, jak je definován Právními předpisy v oblasti ochrany osobních údajů.</w:t>
      </w:r>
    </w:p>
    <w:p w14:paraId="02B7D372" w14:textId="77777777" w:rsidR="000A7DF6" w:rsidRPr="009D5B7E" w:rsidRDefault="000A7DF6" w:rsidP="000A7DF6">
      <w:pPr>
        <w:pStyle w:val="Odstavecseseznamem"/>
        <w:keepLines w:val="0"/>
        <w:tabs>
          <w:tab w:val="clear" w:pos="851"/>
          <w:tab w:val="left" w:pos="709"/>
        </w:tabs>
        <w:spacing w:before="0" w:after="120" w:line="120" w:lineRule="atLeast"/>
        <w:ind w:left="567" w:right="70" w:hanging="283"/>
        <w:outlineLvl w:val="0"/>
        <w:rPr>
          <w:rFonts w:ascii="Calibri" w:hAnsi="Calibri" w:cs="Calibri"/>
          <w:sz w:val="20"/>
        </w:rPr>
      </w:pPr>
      <w:r w:rsidRPr="009D5B7E">
        <w:rPr>
          <w:rFonts w:ascii="Calibri" w:hAnsi="Calibri" w:cs="Calibri"/>
          <w:sz w:val="20"/>
        </w:rPr>
        <w:tab/>
        <w:t>„Zpracovatel Osobních údajů“ označuje zpracovatele nebo zpracovatele údajů, jak je definován Právními předpisy v oblasti ochrany osobních údajů.</w:t>
      </w:r>
    </w:p>
    <w:p w14:paraId="61377C40" w14:textId="77777777" w:rsidR="000A7DF6" w:rsidRPr="009D5B7E" w:rsidRDefault="000A7DF6" w:rsidP="000A7DF6">
      <w:pPr>
        <w:pStyle w:val="Odstavecseseznamem"/>
        <w:numPr>
          <w:ilvl w:val="0"/>
          <w:numId w:val="25"/>
        </w:numPr>
        <w:spacing w:after="120" w:line="120" w:lineRule="atLeast"/>
        <w:ind w:left="567" w:hanging="283"/>
        <w:rPr>
          <w:rFonts w:ascii="Calibri" w:hAnsi="Calibri" w:cs="Calibri"/>
          <w:b/>
          <w:sz w:val="20"/>
        </w:rPr>
      </w:pPr>
      <w:r w:rsidRPr="009D5B7E">
        <w:rPr>
          <w:rFonts w:ascii="Calibri" w:hAnsi="Calibri" w:cs="Calibri"/>
          <w:b/>
          <w:sz w:val="20"/>
        </w:rPr>
        <w:t>Informace o zpracování Osobních údajů</w:t>
      </w:r>
    </w:p>
    <w:p w14:paraId="28A69A2A" w14:textId="77777777" w:rsidR="000A7DF6" w:rsidRPr="009D5B7E" w:rsidRDefault="000A7DF6" w:rsidP="000A7DF6">
      <w:pPr>
        <w:pStyle w:val="Odstavecseseznamem"/>
        <w:tabs>
          <w:tab w:val="clear" w:pos="851"/>
          <w:tab w:val="left" w:pos="567"/>
        </w:tabs>
        <w:spacing w:after="120" w:line="120" w:lineRule="atLeast"/>
        <w:ind w:left="567" w:right="70"/>
        <w:rPr>
          <w:rFonts w:ascii="Calibri" w:hAnsi="Calibri" w:cs="Calibri"/>
          <w:sz w:val="20"/>
        </w:rPr>
      </w:pPr>
      <w:r w:rsidRPr="009D5B7E">
        <w:rPr>
          <w:rFonts w:ascii="Calibri" w:hAnsi="Calibri" w:cs="Calibri"/>
          <w:sz w:val="20"/>
        </w:rPr>
        <w:t>Smluvní strany berou na vědomí, že Osobní údaje poskytnuté Klientem, jeho personálem či zástupci budou zpracovány společností Deloitte jakožto Správcem Osobních údajů pro následující účely, resp. v souvislosti s následujícím: (i) poskytnutí Služeb; (</w:t>
      </w:r>
      <w:proofErr w:type="spellStart"/>
      <w:r w:rsidRPr="009D5B7E">
        <w:rPr>
          <w:rFonts w:ascii="Calibri" w:hAnsi="Calibri" w:cs="Calibri"/>
          <w:sz w:val="20"/>
        </w:rPr>
        <w:t>ii</w:t>
      </w:r>
      <w:proofErr w:type="spellEnd"/>
      <w:r w:rsidRPr="009D5B7E">
        <w:rPr>
          <w:rFonts w:ascii="Calibri" w:hAnsi="Calibri" w:cs="Calibri"/>
          <w:sz w:val="20"/>
        </w:rPr>
        <w:t>) zajištění souladu s příslušnými právními, regulatorními nebo profesními požadavky; (</w:t>
      </w:r>
      <w:proofErr w:type="spellStart"/>
      <w:r w:rsidRPr="009D5B7E">
        <w:rPr>
          <w:rFonts w:ascii="Calibri" w:hAnsi="Calibri" w:cs="Calibri"/>
          <w:sz w:val="20"/>
        </w:rPr>
        <w:t>iii</w:t>
      </w:r>
      <w:proofErr w:type="spellEnd"/>
      <w:r w:rsidRPr="009D5B7E">
        <w:rPr>
          <w:rFonts w:ascii="Calibri" w:hAnsi="Calibri" w:cs="Calibri"/>
          <w:sz w:val="20"/>
        </w:rPr>
        <w:t>) řešení požadavků nebo komunikací od příslušných orgánů; (</w:t>
      </w:r>
      <w:proofErr w:type="spellStart"/>
      <w:r w:rsidRPr="009D5B7E">
        <w:rPr>
          <w:rFonts w:ascii="Calibri" w:hAnsi="Calibri" w:cs="Calibri"/>
          <w:sz w:val="20"/>
        </w:rPr>
        <w:t>iv</w:t>
      </w:r>
      <w:proofErr w:type="spellEnd"/>
      <w:r w:rsidRPr="009D5B7E">
        <w:rPr>
          <w:rFonts w:ascii="Calibri" w:hAnsi="Calibri" w:cs="Calibri"/>
          <w:sz w:val="20"/>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1A7511DB" w14:textId="77777777" w:rsidR="000A7DF6" w:rsidRPr="009D5B7E" w:rsidRDefault="000A7DF6" w:rsidP="000A7DF6">
      <w:pPr>
        <w:pStyle w:val="Odstavecseseznamem"/>
        <w:spacing w:before="0" w:after="120" w:line="120" w:lineRule="atLeast"/>
        <w:ind w:left="567" w:right="70"/>
        <w:rPr>
          <w:rFonts w:ascii="Calibri" w:hAnsi="Calibri" w:cs="Calibri"/>
          <w:sz w:val="20"/>
        </w:rPr>
      </w:pPr>
      <w:r w:rsidRPr="009D5B7E">
        <w:rPr>
          <w:rFonts w:ascii="Calibri" w:hAnsi="Calibri" w:cs="Calibri"/>
          <w:sz w:val="20"/>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183AB4CF" w14:textId="77777777" w:rsidR="000A7DF6" w:rsidRPr="009D5B7E" w:rsidRDefault="000A7DF6" w:rsidP="000A7DF6">
      <w:pPr>
        <w:pStyle w:val="Odstavecseseznamem"/>
        <w:numPr>
          <w:ilvl w:val="0"/>
          <w:numId w:val="25"/>
        </w:numPr>
        <w:spacing w:before="0" w:after="120" w:line="120" w:lineRule="atLeast"/>
        <w:ind w:left="567" w:right="70" w:hanging="283"/>
        <w:rPr>
          <w:rFonts w:ascii="Calibri" w:hAnsi="Calibri" w:cs="Calibri"/>
          <w:sz w:val="20"/>
        </w:rPr>
      </w:pPr>
      <w:r w:rsidRPr="009D5B7E">
        <w:rPr>
          <w:rFonts w:ascii="Calibri" w:hAnsi="Calibri" w:cs="Calibri"/>
          <w:sz w:val="20"/>
        </w:rPr>
        <w:t>Článek 21 b)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1F373029" w14:textId="77777777" w:rsidR="000A7DF6" w:rsidRPr="009D5B7E" w:rsidRDefault="000A7DF6" w:rsidP="000A7DF6">
      <w:pPr>
        <w:pStyle w:val="Odstavecseseznamem"/>
        <w:numPr>
          <w:ilvl w:val="0"/>
          <w:numId w:val="25"/>
        </w:numPr>
        <w:spacing w:before="0" w:line="120" w:lineRule="atLeast"/>
        <w:ind w:left="568" w:right="68" w:hanging="284"/>
        <w:rPr>
          <w:rFonts w:ascii="Calibri" w:hAnsi="Calibri" w:cs="Calibri"/>
          <w:sz w:val="20"/>
        </w:rPr>
      </w:pPr>
      <w:r w:rsidRPr="009D5B7E">
        <w:rPr>
          <w:rFonts w:ascii="Calibri" w:hAnsi="Calibri" w:cs="Calibri"/>
          <w:sz w:val="20"/>
        </w:rPr>
        <w:t>Každá smluvní strana musí při zpracování Osobních údajů dodržovat Právní předpisy v oblasti ochrany osobních údajů.</w:t>
      </w:r>
    </w:p>
    <w:p w14:paraId="233F48E6" w14:textId="77777777" w:rsidR="000A7DF6" w:rsidRPr="004052D4" w:rsidRDefault="000A7DF6" w:rsidP="00532F96">
      <w:pPr>
        <w:pStyle w:val="Contacttext"/>
        <w:rPr>
          <w:sz w:val="20"/>
          <w:lang w:val="cs-CZ"/>
        </w:rPr>
      </w:pPr>
    </w:p>
    <w:p w14:paraId="4DDC5547" w14:textId="77777777" w:rsidR="000A7DF6" w:rsidRPr="009D5B7E" w:rsidRDefault="000A7DF6" w:rsidP="000A7DF6">
      <w:pPr>
        <w:keepNext/>
        <w:numPr>
          <w:ilvl w:val="0"/>
          <w:numId w:val="12"/>
        </w:numPr>
        <w:spacing w:after="120" w:line="120" w:lineRule="atLeast"/>
        <w:ind w:left="568" w:right="70"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Stejnopisy</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jazyk</w:t>
      </w:r>
      <w:proofErr w:type="spellEnd"/>
      <w:r w:rsidRPr="009D5B7E">
        <w:rPr>
          <w:rFonts w:ascii="Calibri" w:hAnsi="Calibri" w:cs="Calibri"/>
          <w:b/>
          <w:kern w:val="28"/>
          <w:sz w:val="20"/>
          <w:szCs w:val="18"/>
        </w:rPr>
        <w:t xml:space="preserve"> </w:t>
      </w:r>
    </w:p>
    <w:p w14:paraId="18C067B3"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r w:rsidRPr="009D5B7E">
        <w:rPr>
          <w:rFonts w:ascii="Calibri" w:hAnsi="Calibri" w:cs="Calibri"/>
          <w:sz w:val="20"/>
          <w:szCs w:val="18"/>
        </w:rPr>
        <w:t xml:space="preserve">Tato </w:t>
      </w:r>
      <w:proofErr w:type="spellStart"/>
      <w:r w:rsidRPr="009D5B7E">
        <w:rPr>
          <w:rFonts w:ascii="Calibri" w:hAnsi="Calibri" w:cs="Calibri"/>
          <w:sz w:val="20"/>
          <w:szCs w:val="18"/>
        </w:rPr>
        <w:t>Smlouva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podepsána</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jakémkoli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počtu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stejnopisů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ať</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jde</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stejnopisy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originálu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faksimile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lastRenderedPageBreak/>
        <w:t>nebo</w:t>
      </w:r>
      <w:proofErr w:type="spellEnd"/>
      <w:r w:rsidRPr="009D5B7E">
        <w:rPr>
          <w:rFonts w:ascii="Calibri" w:hAnsi="Calibri" w:cs="Calibri"/>
          <w:sz w:val="20"/>
          <w:szCs w:val="18"/>
        </w:rPr>
        <w:t xml:space="preserve"> .pdf </w:t>
      </w:r>
      <w:proofErr w:type="spellStart"/>
      <w:r w:rsidRPr="009D5B7E">
        <w:rPr>
          <w:rFonts w:ascii="Calibri" w:hAnsi="Calibri" w:cs="Calibri"/>
          <w:sz w:val="20"/>
          <w:szCs w:val="18"/>
        </w:rPr>
        <w:t>přílohy</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emailu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Každý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podepsaný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stejnopis</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považován</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originál</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ale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stejnopisy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tvoří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jeden</w:t>
      </w:r>
      <w:proofErr w:type="spellEnd"/>
      <w:r w:rsidRPr="009D5B7E">
        <w:rPr>
          <w:rFonts w:ascii="Calibri" w:hAnsi="Calibri" w:cs="Calibri"/>
          <w:sz w:val="20"/>
          <w:szCs w:val="18"/>
        </w:rPr>
        <w:t xml:space="preserve"> a ten </w:t>
      </w:r>
      <w:proofErr w:type="spellStart"/>
      <w:r w:rsidRPr="009D5B7E">
        <w:rPr>
          <w:rFonts w:ascii="Calibri" w:hAnsi="Calibri" w:cs="Calibri"/>
          <w:sz w:val="20"/>
          <w:szCs w:val="18"/>
        </w:rPr>
        <w:t>samý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nástroj</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existují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verze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angličtině</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jiném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jazyce</w:t>
      </w:r>
      <w:proofErr w:type="spellEnd"/>
      <w:r w:rsidRPr="009D5B7E">
        <w:rPr>
          <w:rFonts w:ascii="Calibri" w:hAnsi="Calibri" w:cs="Calibri"/>
          <w:sz w:val="20"/>
          <w:szCs w:val="18"/>
        </w:rPr>
        <w:t>, v </w:t>
      </w:r>
      <w:proofErr w:type="spellStart"/>
      <w:r w:rsidRPr="009D5B7E">
        <w:rPr>
          <w:rFonts w:ascii="Calibri" w:hAnsi="Calibri" w:cs="Calibri"/>
          <w:sz w:val="20"/>
          <w:szCs w:val="18"/>
        </w:rPr>
        <w:t>případě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nesouladu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verzemi</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rozhodující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verze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anglická</w:t>
      </w:r>
      <w:proofErr w:type="spellEnd"/>
      <w:r w:rsidRPr="009D5B7E">
        <w:rPr>
          <w:rFonts w:ascii="Calibri" w:hAnsi="Calibri" w:cs="Calibri"/>
          <w:sz w:val="20"/>
          <w:szCs w:val="18"/>
        </w:rPr>
        <w:t xml:space="preserve">. </w:t>
      </w:r>
    </w:p>
    <w:p w14:paraId="28570EE0" w14:textId="77777777" w:rsidR="000A7DF6" w:rsidRPr="009D5B7E" w:rsidRDefault="000A7DF6" w:rsidP="000A7DF6">
      <w:pPr>
        <w:numPr>
          <w:ilvl w:val="0"/>
          <w:numId w:val="12"/>
        </w:numPr>
        <w:spacing w:after="120" w:line="120" w:lineRule="atLeast"/>
        <w:ind w:left="568" w:right="70" w:hanging="284"/>
        <w:jc w:val="both"/>
        <w:rPr>
          <w:rFonts w:ascii="Calibri" w:hAnsi="Calibri" w:cs="Calibri"/>
          <w:b/>
          <w:kern w:val="28"/>
          <w:sz w:val="20"/>
          <w:szCs w:val="18"/>
        </w:rPr>
      </w:pPr>
      <w:proofErr w:type="spellStart"/>
      <w:r w:rsidRPr="009D5B7E">
        <w:rPr>
          <w:rFonts w:ascii="Calibri" w:hAnsi="Calibri" w:cs="Calibri"/>
          <w:b/>
          <w:kern w:val="28"/>
          <w:sz w:val="20"/>
          <w:szCs w:val="18"/>
        </w:rPr>
        <w:t>Řešení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sporů</w:t>
      </w:r>
      <w:proofErr w:type="spellEnd"/>
      <w:r w:rsidRPr="009D5B7E">
        <w:rPr>
          <w:rFonts w:ascii="Calibri" w:hAnsi="Calibri" w:cs="Calibri"/>
          <w:b/>
          <w:kern w:val="28"/>
          <w:sz w:val="20"/>
          <w:szCs w:val="18"/>
        </w:rPr>
        <w:t xml:space="preserve"> </w:t>
      </w:r>
    </w:p>
    <w:p w14:paraId="2EE280D7"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souhlasí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pokusí</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dobré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víře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vyřešit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spor</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zápočet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pohledávek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nároků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souvisejících</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jakoukoli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fakturovanou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částkou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protinároků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vzniknout</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souvislosti</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platností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účinkem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výkladem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plněním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založeného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touto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spojení</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touto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Smlouvou</w:t>
      </w:r>
      <w:proofErr w:type="spellEnd"/>
      <w:r w:rsidRPr="009D5B7E">
        <w:rPr>
          <w:rFonts w:ascii="Calibri" w:hAnsi="Calibri" w:cs="Calibri"/>
          <w:sz w:val="20"/>
          <w:szCs w:val="18"/>
        </w:rPr>
        <w:t xml:space="preserve">, a to </w:t>
      </w:r>
      <w:proofErr w:type="spellStart"/>
      <w:r w:rsidRPr="009D5B7E">
        <w:rPr>
          <w:rFonts w:ascii="Calibri" w:hAnsi="Calibri" w:cs="Calibri"/>
          <w:sz w:val="20"/>
          <w:szCs w:val="18"/>
        </w:rPr>
        <w:t>okamžitě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pomocí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jednání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mezi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vyšším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vedením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záležitost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vyřešena</w:t>
      </w:r>
      <w:proofErr w:type="spellEnd"/>
      <w:r w:rsidRPr="009D5B7E">
        <w:rPr>
          <w:rFonts w:ascii="Calibri" w:hAnsi="Calibri" w:cs="Calibri"/>
          <w:sz w:val="20"/>
          <w:szCs w:val="18"/>
        </w:rPr>
        <w:t xml:space="preserve"> do 60 </w:t>
      </w:r>
      <w:proofErr w:type="spellStart"/>
      <w:r w:rsidRPr="009D5B7E">
        <w:rPr>
          <w:rFonts w:ascii="Calibri" w:hAnsi="Calibri" w:cs="Calibri"/>
          <w:sz w:val="20"/>
          <w:szCs w:val="18"/>
        </w:rPr>
        <w:t>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okamžiku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kdy</w:t>
      </w:r>
      <w:proofErr w:type="spellEnd"/>
      <w:r w:rsidRPr="009D5B7E">
        <w:rPr>
          <w:rFonts w:ascii="Calibri" w:hAnsi="Calibri" w:cs="Calibri"/>
          <w:sz w:val="20"/>
          <w:szCs w:val="18"/>
        </w:rPr>
        <w:t xml:space="preserve"> ji </w:t>
      </w:r>
      <w:proofErr w:type="spellStart"/>
      <w:r w:rsidRPr="009D5B7E">
        <w:rPr>
          <w:rFonts w:ascii="Calibri" w:hAnsi="Calibri" w:cs="Calibri"/>
          <w:sz w:val="20"/>
          <w:szCs w:val="18"/>
        </w:rPr>
        <w:t>projednalo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vyšší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pak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dané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záležitosti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zahájeno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Nic v </w:t>
      </w:r>
      <w:proofErr w:type="spellStart"/>
      <w:r w:rsidRPr="009D5B7E">
        <w:rPr>
          <w:rFonts w:ascii="Calibri" w:hAnsi="Calibri" w:cs="Calibri"/>
          <w:sz w:val="20"/>
          <w:szCs w:val="18"/>
        </w:rPr>
        <w:t>tomto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ustanovení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nezabrání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žádné</w:t>
      </w:r>
      <w:proofErr w:type="spellEnd"/>
      <w:r w:rsidRPr="009D5B7E">
        <w:rPr>
          <w:rFonts w:ascii="Calibri" w:hAnsi="Calibri" w:cs="Calibri"/>
          <w:sz w:val="20"/>
          <w:szCs w:val="18"/>
        </w:rPr>
        <w:t xml:space="preserve"> ze </w:t>
      </w:r>
      <w:proofErr w:type="spellStart"/>
      <w:r w:rsidRPr="009D5B7E">
        <w:rPr>
          <w:rFonts w:ascii="Calibri" w:hAnsi="Calibri" w:cs="Calibri"/>
          <w:sz w:val="20"/>
          <w:szCs w:val="18"/>
        </w:rPr>
        <w:t>stran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kdykoli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během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zahájení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procesu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řešení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sporu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zahájit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ochranu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duševního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vlastnictví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tajemství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důvěrných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zachování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jakéhokoli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opravného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prostředku</w:t>
      </w:r>
      <w:proofErr w:type="spellEnd"/>
      <w:r w:rsidRPr="009D5B7E">
        <w:rPr>
          <w:rFonts w:ascii="Calibri" w:hAnsi="Calibri" w:cs="Calibri"/>
          <w:sz w:val="20"/>
          <w:szCs w:val="18"/>
        </w:rPr>
        <w:t xml:space="preserve">. </w:t>
      </w:r>
    </w:p>
    <w:p w14:paraId="42758D4D" w14:textId="77777777" w:rsidR="000A7DF6" w:rsidRPr="009D5B7E" w:rsidRDefault="000A7DF6" w:rsidP="000A7DF6">
      <w:pPr>
        <w:numPr>
          <w:ilvl w:val="0"/>
          <w:numId w:val="12"/>
        </w:numPr>
        <w:spacing w:after="120" w:line="120" w:lineRule="atLeast"/>
        <w:ind w:left="568" w:right="70" w:hanging="284"/>
        <w:jc w:val="both"/>
        <w:rPr>
          <w:rFonts w:ascii="Calibri" w:hAnsi="Calibri" w:cs="Calibri"/>
          <w:b/>
          <w:kern w:val="28"/>
          <w:sz w:val="20"/>
          <w:szCs w:val="18"/>
        </w:rPr>
      </w:pPr>
      <w:proofErr w:type="spellStart"/>
      <w:r w:rsidRPr="009D5B7E">
        <w:rPr>
          <w:rFonts w:ascii="Calibri" w:hAnsi="Calibri" w:cs="Calibri"/>
          <w:b/>
          <w:kern w:val="28"/>
          <w:sz w:val="20"/>
          <w:szCs w:val="18"/>
        </w:rPr>
        <w:t>Rozhodné</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právo</w:t>
      </w:r>
      <w:proofErr w:type="spellEnd"/>
      <w:r w:rsidRPr="009D5B7E">
        <w:rPr>
          <w:rFonts w:ascii="Calibri" w:hAnsi="Calibri" w:cs="Calibri"/>
          <w:b/>
          <w:kern w:val="28"/>
          <w:sz w:val="20"/>
          <w:szCs w:val="18"/>
        </w:rPr>
        <w:t xml:space="preserve"> a </w:t>
      </w:r>
      <w:proofErr w:type="spellStart"/>
      <w:r w:rsidRPr="009D5B7E">
        <w:rPr>
          <w:rFonts w:ascii="Calibri" w:hAnsi="Calibri" w:cs="Calibri"/>
          <w:b/>
          <w:kern w:val="28"/>
          <w:sz w:val="20"/>
          <w:szCs w:val="18"/>
        </w:rPr>
        <w:t>místní</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příslušnost</w:t>
      </w:r>
      <w:proofErr w:type="spellEnd"/>
      <w:r w:rsidRPr="009D5B7E">
        <w:rPr>
          <w:rFonts w:ascii="Calibri" w:hAnsi="Calibri" w:cs="Calibri"/>
          <w:b/>
          <w:kern w:val="28"/>
          <w:sz w:val="20"/>
          <w:szCs w:val="18"/>
        </w:rPr>
        <w:t xml:space="preserve"> </w:t>
      </w:r>
    </w:p>
    <w:p w14:paraId="32BA8A9B"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r w:rsidRPr="009D5B7E">
        <w:rPr>
          <w:rFonts w:ascii="Calibri" w:hAnsi="Calibri" w:cs="Calibri"/>
          <w:sz w:val="20"/>
          <w:szCs w:val="18"/>
        </w:rPr>
        <w:t xml:space="preserve">Tato </w:t>
      </w:r>
      <w:proofErr w:type="spellStart"/>
      <w:r w:rsidRPr="009D5B7E">
        <w:rPr>
          <w:rFonts w:ascii="Calibri" w:hAnsi="Calibri" w:cs="Calibri"/>
          <w:sz w:val="20"/>
          <w:szCs w:val="18"/>
        </w:rPr>
        <w:t>Smlouva</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veškeré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záležitosti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se k </w:t>
      </w:r>
      <w:proofErr w:type="spellStart"/>
      <w:r w:rsidRPr="009D5B7E">
        <w:rPr>
          <w:rFonts w:ascii="Calibri" w:hAnsi="Calibri" w:cs="Calibri"/>
          <w:sz w:val="20"/>
          <w:szCs w:val="18"/>
        </w:rPr>
        <w: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včetně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mimosmluvních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závazků</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řídí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vykládány</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zákony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země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uzavírající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sídlo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Jakákoli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vztahující</w:t>
      </w:r>
      <w:proofErr w:type="spellEnd"/>
      <w:r w:rsidRPr="009D5B7E">
        <w:rPr>
          <w:rFonts w:ascii="Calibri" w:hAnsi="Calibri" w:cs="Calibri"/>
          <w:sz w:val="20"/>
          <w:szCs w:val="18"/>
        </w:rPr>
        <w:t xml:space="preserve"> se k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z </w:t>
      </w:r>
      <w:proofErr w:type="spellStart"/>
      <w:r w:rsidRPr="009D5B7E">
        <w:rPr>
          <w:rFonts w:ascii="Calibri" w:hAnsi="Calibri" w:cs="Calibri"/>
          <w:sz w:val="20"/>
          <w:szCs w:val="18"/>
        </w:rPr>
        <w:t>nich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vyplývající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podána</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vedeno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výlučně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výhradně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soudy</w:t>
      </w:r>
      <w:proofErr w:type="spellEnd"/>
      <w:r w:rsidRPr="009D5B7E">
        <w:rPr>
          <w:rFonts w:ascii="Calibri" w:hAnsi="Calibri" w:cs="Calibri"/>
          <w:sz w:val="20"/>
          <w:szCs w:val="18"/>
        </w:rPr>
        <w:t xml:space="preserve"> v zemi, </w:t>
      </w:r>
      <w:proofErr w:type="spellStart"/>
      <w:r w:rsidRPr="009D5B7E">
        <w:rPr>
          <w:rFonts w:ascii="Calibri" w:hAnsi="Calibri" w:cs="Calibri"/>
          <w:sz w:val="20"/>
          <w:szCs w:val="18"/>
        </w:rPr>
        <w:t>kde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sídlo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skupiny</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která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uzavřela</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uvedené</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článku</w:t>
      </w:r>
      <w:proofErr w:type="spellEnd"/>
      <w:r w:rsidRPr="009D5B7E">
        <w:rPr>
          <w:rFonts w:ascii="Calibri" w:hAnsi="Calibri" w:cs="Calibri"/>
          <w:sz w:val="20"/>
          <w:szCs w:val="18"/>
        </w:rPr>
        <w:t xml:space="preserve"> 23 se </w:t>
      </w:r>
      <w:proofErr w:type="spellStart"/>
      <w:r w:rsidRPr="009D5B7E">
        <w:rPr>
          <w:rFonts w:ascii="Calibri" w:hAnsi="Calibri" w:cs="Calibri"/>
          <w:sz w:val="20"/>
          <w:szCs w:val="18"/>
        </w:rPr>
        <w:t>smluvní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tímto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výslovně</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neodvolatelně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podřizují</w:t>
      </w:r>
      <w:proofErr w:type="spellEnd"/>
      <w:r w:rsidRPr="009D5B7E">
        <w:rPr>
          <w:rFonts w:ascii="Calibri" w:hAnsi="Calibri" w:cs="Calibri"/>
          <w:b/>
          <w:sz w:val="20"/>
          <w:szCs w:val="18"/>
        </w:rPr>
        <w:t xml:space="preserve"> </w:t>
      </w:r>
      <w:proofErr w:type="spellStart"/>
      <w:r w:rsidRPr="009D5B7E">
        <w:rPr>
          <w:rFonts w:ascii="Calibri" w:hAnsi="Calibri" w:cs="Calibri"/>
          <w:sz w:val="20"/>
          <w:szCs w:val="18"/>
        </w:rPr>
        <w:t>výhradní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jurisdikci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těchto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soudů</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účely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řízení</w:t>
      </w:r>
      <w:proofErr w:type="spellEnd"/>
      <w:r w:rsidRPr="009D5B7E">
        <w:rPr>
          <w:rFonts w:ascii="Calibri" w:hAnsi="Calibri" w:cs="Calibri"/>
          <w:sz w:val="20"/>
          <w:szCs w:val="18"/>
        </w:rPr>
        <w:t xml:space="preserve"> a (ii) v </w:t>
      </w:r>
      <w:proofErr w:type="spellStart"/>
      <w:r w:rsidRPr="009D5B7E">
        <w:rPr>
          <w:rFonts w:ascii="Calibri" w:hAnsi="Calibri" w:cs="Calibri"/>
          <w:sz w:val="20"/>
          <w:szCs w:val="18"/>
        </w:rPr>
        <w:t>maximálním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rozsahu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povoluje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zákon</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vzdávají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jakýchkoliv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námitek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nepříslušnosti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projednávání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žaloby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příslušnými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soudy</w:t>
      </w:r>
      <w:proofErr w:type="spellEnd"/>
      <w:r w:rsidRPr="009D5B7E">
        <w:rPr>
          <w:rFonts w:ascii="Calibri" w:hAnsi="Calibri" w:cs="Calibri"/>
          <w:sz w:val="20"/>
          <w:szCs w:val="18"/>
        </w:rPr>
        <w:t>.</w:t>
      </w:r>
    </w:p>
    <w:p w14:paraId="396428A9" w14:textId="77777777" w:rsidR="000A7DF6" w:rsidRPr="009D5B7E" w:rsidRDefault="000A7DF6" w:rsidP="000A7DF6">
      <w:pPr>
        <w:numPr>
          <w:ilvl w:val="0"/>
          <w:numId w:val="12"/>
        </w:numPr>
        <w:spacing w:after="120" w:line="120" w:lineRule="atLeast"/>
        <w:ind w:left="568" w:hanging="284"/>
        <w:jc w:val="both"/>
        <w:rPr>
          <w:rFonts w:ascii="Calibri" w:hAnsi="Calibri" w:cs="Calibri"/>
          <w:b/>
          <w:kern w:val="28"/>
          <w:sz w:val="20"/>
          <w:szCs w:val="18"/>
        </w:rPr>
      </w:pPr>
      <w:proofErr w:type="spellStart"/>
      <w:r w:rsidRPr="009D5B7E">
        <w:rPr>
          <w:rFonts w:ascii="Calibri" w:hAnsi="Calibri" w:cs="Calibri"/>
          <w:b/>
          <w:kern w:val="28"/>
          <w:sz w:val="20"/>
          <w:szCs w:val="18"/>
        </w:rPr>
        <w:t>Oprávněné</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osoby</w:t>
      </w:r>
      <w:proofErr w:type="spellEnd"/>
      <w:r w:rsidRPr="009D5B7E">
        <w:rPr>
          <w:rFonts w:ascii="Calibri" w:hAnsi="Calibri" w:cs="Calibri"/>
          <w:b/>
          <w:kern w:val="28"/>
          <w:sz w:val="20"/>
          <w:szCs w:val="18"/>
        </w:rPr>
        <w:t xml:space="preserve"> </w:t>
      </w:r>
    </w:p>
    <w:p w14:paraId="5278B8C1"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jakákoli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třetí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spoléhat</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Výstup</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návrhy</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stát</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Oprávněnou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definovanou</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taková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třetí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musí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nejprve</w:t>
      </w:r>
      <w:proofErr w:type="spellEnd"/>
      <w:r w:rsidRPr="009D5B7E">
        <w:rPr>
          <w:rFonts w:ascii="Calibri" w:hAnsi="Calibri" w:cs="Calibri"/>
          <w:sz w:val="20"/>
          <w:szCs w:val="18"/>
        </w:rPr>
        <w:t xml:space="preserve"> </w:t>
      </w:r>
      <w:r w:rsidRPr="009D5B7E">
        <w:rPr>
          <w:rFonts w:ascii="Calibri" w:hAnsi="Calibri" w:cs="Calibri"/>
          <w:sz w:val="20"/>
          <w:szCs w:val="18"/>
          <w:lang w:val="cs-CZ"/>
        </w:rPr>
        <w:t>uzavřít</w:t>
      </w:r>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formě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přijatelné</w:t>
      </w:r>
      <w:proofErr w:type="spellEnd"/>
      <w:r w:rsidRPr="009D5B7E">
        <w:rPr>
          <w:rFonts w:ascii="Calibri" w:hAnsi="Calibri" w:cs="Calibri"/>
          <w:sz w:val="20"/>
          <w:szCs w:val="18"/>
        </w:rPr>
        <w:t xml:space="preserve"> pro Deloitte,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níž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tato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přijímá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podléhají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změnám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odsouhlaseným</w:t>
      </w:r>
      <w:proofErr w:type="spellEnd"/>
      <w:r w:rsidRPr="009D5B7E">
        <w:rPr>
          <w:rFonts w:ascii="Calibri" w:hAnsi="Calibri" w:cs="Calibri"/>
          <w:sz w:val="20"/>
          <w:szCs w:val="18"/>
        </w:rPr>
        <w:t xml:space="preserve"> Deloitte se </w:t>
      </w:r>
      <w:proofErr w:type="spellStart"/>
      <w:r w:rsidRPr="009D5B7E">
        <w:rPr>
          <w:rFonts w:ascii="Calibri" w:hAnsi="Calibri" w:cs="Calibri"/>
          <w:sz w:val="20"/>
          <w:szCs w:val="18"/>
        </w:rPr>
        <w:t>třetí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stranou</w:t>
      </w:r>
      <w:proofErr w:type="spellEnd"/>
      <w:r w:rsidRPr="009D5B7E">
        <w:rPr>
          <w:rFonts w:ascii="Calibri" w:hAnsi="Calibri" w:cs="Calibri"/>
          <w:sz w:val="20"/>
          <w:szCs w:val="18"/>
        </w:rPr>
        <w:t xml:space="preserve">), Deloitte se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této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chovat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jako</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Oprávněné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osobě</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souladu</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touto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Smlouvou</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přijme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povinnost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péče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vztahu</w:t>
      </w:r>
      <w:proofErr w:type="spellEnd"/>
      <w:r w:rsidRPr="009D5B7E">
        <w:rPr>
          <w:rFonts w:ascii="Calibri" w:hAnsi="Calibri" w:cs="Calibri"/>
          <w:sz w:val="20"/>
          <w:szCs w:val="18"/>
        </w:rPr>
        <w:t xml:space="preserve"> k </w:t>
      </w:r>
      <w:proofErr w:type="spellStart"/>
      <w:r w:rsidRPr="009D5B7E">
        <w:rPr>
          <w:rFonts w:ascii="Calibri" w:hAnsi="Calibri" w:cs="Calibri"/>
          <w:sz w:val="20"/>
          <w:szCs w:val="18"/>
        </w:rPr>
        <w:t>Výstupu</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návrhům</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neponese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odpovědnost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vůči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jakékoli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straně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která</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společností</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neuzavře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výše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uvedenou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smlouvu</w:t>
      </w:r>
      <w:proofErr w:type="spellEnd"/>
      <w:r w:rsidRPr="009D5B7E">
        <w:rPr>
          <w:rFonts w:ascii="Calibri" w:hAnsi="Calibri" w:cs="Calibri"/>
          <w:sz w:val="20"/>
          <w:szCs w:val="18"/>
        </w:rPr>
        <w:t xml:space="preserve">. </w:t>
      </w:r>
    </w:p>
    <w:p w14:paraId="7C54AA63" w14:textId="77777777" w:rsidR="000A7DF6" w:rsidRPr="009D5B7E" w:rsidRDefault="000A7DF6" w:rsidP="000A7DF6">
      <w:pPr>
        <w:numPr>
          <w:ilvl w:val="0"/>
          <w:numId w:val="12"/>
        </w:numPr>
        <w:spacing w:after="120" w:line="120" w:lineRule="atLeast"/>
        <w:ind w:left="568" w:hanging="284"/>
        <w:jc w:val="both"/>
        <w:rPr>
          <w:rFonts w:ascii="Calibri" w:hAnsi="Calibri" w:cs="Calibri"/>
          <w:b/>
          <w:kern w:val="28"/>
          <w:sz w:val="20"/>
          <w:szCs w:val="18"/>
        </w:rPr>
      </w:pPr>
      <w:proofErr w:type="spellStart"/>
      <w:r w:rsidRPr="009D5B7E">
        <w:rPr>
          <w:rFonts w:ascii="Calibri" w:hAnsi="Calibri" w:cs="Calibri"/>
          <w:b/>
          <w:kern w:val="28"/>
          <w:sz w:val="20"/>
          <w:szCs w:val="18"/>
        </w:rPr>
        <w:t>Školení</w:t>
      </w:r>
      <w:proofErr w:type="spellEnd"/>
      <w:r w:rsidRPr="009D5B7E">
        <w:rPr>
          <w:rFonts w:ascii="Calibri" w:hAnsi="Calibri" w:cs="Calibri"/>
          <w:b/>
          <w:kern w:val="28"/>
          <w:sz w:val="20"/>
          <w:szCs w:val="18"/>
        </w:rPr>
        <w:t xml:space="preserve"> </w:t>
      </w:r>
    </w:p>
    <w:p w14:paraId="571995D8" w14:textId="77777777" w:rsidR="000A7DF6" w:rsidRPr="009D5B7E" w:rsidRDefault="000A7DF6" w:rsidP="000A7DF6">
      <w:pPr>
        <w:pStyle w:val="Odstavecseseznamem"/>
        <w:keepLines w:val="0"/>
        <w:numPr>
          <w:ilvl w:val="0"/>
          <w:numId w:val="26"/>
        </w:numPr>
        <w:tabs>
          <w:tab w:val="clear" w:pos="851"/>
        </w:tabs>
        <w:spacing w:before="0" w:after="120" w:line="120" w:lineRule="atLeast"/>
        <w:ind w:left="568" w:hanging="284"/>
        <w:rPr>
          <w:rFonts w:ascii="Calibri" w:hAnsi="Calibri" w:cs="Calibri"/>
          <w:sz w:val="20"/>
        </w:rPr>
      </w:pPr>
      <w:r w:rsidRPr="009D5B7E">
        <w:rPr>
          <w:rFonts w:ascii="Calibri" w:hAnsi="Calibri" w:cs="Calibri"/>
          <w:sz w:val="20"/>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0B965F4E" w14:textId="77777777" w:rsidR="000A7DF6" w:rsidRPr="009D5B7E" w:rsidRDefault="000A7DF6" w:rsidP="000A7DF6">
      <w:pPr>
        <w:pStyle w:val="Odstavecseseznamem"/>
        <w:keepLines w:val="0"/>
        <w:numPr>
          <w:ilvl w:val="0"/>
          <w:numId w:val="26"/>
        </w:numPr>
        <w:tabs>
          <w:tab w:val="clear" w:pos="851"/>
        </w:tabs>
        <w:spacing w:before="0" w:after="120" w:line="120" w:lineRule="atLeast"/>
        <w:ind w:left="568" w:hanging="284"/>
        <w:rPr>
          <w:rFonts w:ascii="Calibri" w:hAnsi="Calibri" w:cs="Calibri"/>
          <w:sz w:val="20"/>
        </w:rPr>
      </w:pPr>
      <w:r w:rsidRPr="009D5B7E">
        <w:rPr>
          <w:rFonts w:ascii="Calibri" w:hAnsi="Calibri" w:cs="Calibri"/>
          <w:sz w:val="20"/>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22D2F307" w14:textId="77777777" w:rsidR="000A7DF6" w:rsidRPr="009D5B7E" w:rsidRDefault="000A7DF6" w:rsidP="000A7DF6">
      <w:pPr>
        <w:numPr>
          <w:ilvl w:val="0"/>
          <w:numId w:val="26"/>
        </w:numPr>
        <w:spacing w:after="120" w:line="120" w:lineRule="atLeast"/>
        <w:ind w:left="568" w:hanging="284"/>
        <w:jc w:val="both"/>
        <w:rPr>
          <w:rFonts w:ascii="Calibri" w:hAnsi="Calibri" w:cs="Calibri"/>
          <w:sz w:val="20"/>
          <w:szCs w:val="18"/>
          <w:lang w:val="cs-CZ"/>
        </w:rPr>
      </w:pPr>
      <w:r w:rsidRPr="009D5B7E">
        <w:rPr>
          <w:rFonts w:ascii="Calibri" w:hAnsi="Calibri" w:cs="Calibri"/>
          <w:sz w:val="20"/>
          <w:szCs w:val="18"/>
          <w:lang w:val="cs-CZ"/>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11C21628" w14:textId="77777777" w:rsidR="000A7DF6" w:rsidRPr="009D5B7E" w:rsidRDefault="000A7DF6" w:rsidP="000A7DF6">
      <w:pPr>
        <w:numPr>
          <w:ilvl w:val="0"/>
          <w:numId w:val="12"/>
        </w:numPr>
        <w:spacing w:after="120" w:line="120" w:lineRule="atLeast"/>
        <w:ind w:left="568" w:hanging="284"/>
        <w:jc w:val="both"/>
        <w:rPr>
          <w:rFonts w:ascii="Calibri" w:hAnsi="Calibri" w:cs="Calibri"/>
          <w:b/>
          <w:kern w:val="28"/>
          <w:sz w:val="20"/>
          <w:szCs w:val="18"/>
        </w:rPr>
      </w:pPr>
      <w:proofErr w:type="spellStart"/>
      <w:r w:rsidRPr="009D5B7E">
        <w:rPr>
          <w:rFonts w:ascii="Calibri" w:hAnsi="Calibri" w:cs="Calibri"/>
          <w:b/>
          <w:kern w:val="28"/>
          <w:sz w:val="20"/>
          <w:szCs w:val="18"/>
        </w:rPr>
        <w:t>Objednávky</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prací</w:t>
      </w:r>
      <w:proofErr w:type="spellEnd"/>
      <w:r w:rsidRPr="009D5B7E">
        <w:rPr>
          <w:rFonts w:ascii="Calibri" w:hAnsi="Calibri" w:cs="Calibri"/>
          <w:b/>
          <w:kern w:val="28"/>
          <w:sz w:val="20"/>
          <w:szCs w:val="18"/>
        </w:rPr>
        <w:t xml:space="preserve"> </w:t>
      </w:r>
    </w:p>
    <w:p w14:paraId="5DD8C25D" w14:textId="77777777" w:rsidR="000A7DF6" w:rsidRPr="009D5B7E" w:rsidRDefault="000A7DF6" w:rsidP="000A7DF6">
      <w:pPr>
        <w:pStyle w:val="Odstavecseseznamem"/>
        <w:numPr>
          <w:ilvl w:val="0"/>
          <w:numId w:val="29"/>
        </w:numPr>
        <w:spacing w:after="120" w:line="120" w:lineRule="atLeast"/>
        <w:rPr>
          <w:rFonts w:ascii="Calibri" w:hAnsi="Calibri" w:cs="Calibri"/>
          <w:sz w:val="20"/>
        </w:rPr>
      </w:pPr>
      <w:r w:rsidRPr="009D5B7E">
        <w:rPr>
          <w:rFonts w:ascii="Calibri" w:hAnsi="Calibri" w:cs="Calibri"/>
          <w:sz w:val="20"/>
        </w:rPr>
        <w:t>Služby, nebo jejich část, budou poskytovány na základně pokynů obsahujících popis požadovaných Služeb dodaných Klientem společnosti Deloitte („Objednávka prací“). Objednávka prací</w:t>
      </w:r>
      <w:r w:rsidRPr="009D5B7E" w:rsidDel="00FB393F">
        <w:rPr>
          <w:rFonts w:ascii="Calibri" w:hAnsi="Calibri" w:cs="Calibri"/>
          <w:sz w:val="20"/>
        </w:rPr>
        <w:t xml:space="preserve"> </w:t>
      </w:r>
      <w:r w:rsidRPr="009D5B7E">
        <w:rPr>
          <w:rFonts w:ascii="Calibri" w:hAnsi="Calibri" w:cs="Calibri"/>
          <w:sz w:val="20"/>
        </w:rPr>
        <w:t xml:space="preserve">může být provedena písemně, faxem, emailem nebo ústně. </w:t>
      </w:r>
    </w:p>
    <w:p w14:paraId="5FA54EB6" w14:textId="77777777" w:rsidR="000A7DF6" w:rsidRPr="009D5B7E" w:rsidRDefault="000A7DF6" w:rsidP="000A7DF6">
      <w:pPr>
        <w:pStyle w:val="Odstavecseseznamem"/>
        <w:numPr>
          <w:ilvl w:val="0"/>
          <w:numId w:val="29"/>
        </w:numPr>
        <w:spacing w:after="120" w:line="120" w:lineRule="atLeast"/>
        <w:rPr>
          <w:rFonts w:ascii="Calibri" w:hAnsi="Calibri" w:cs="Calibri"/>
          <w:sz w:val="20"/>
        </w:rPr>
      </w:pPr>
      <w:r w:rsidRPr="009D5B7E">
        <w:rPr>
          <w:rFonts w:ascii="Calibri" w:hAnsi="Calibri" w:cs="Calibri"/>
          <w:sz w:val="20"/>
        </w:rPr>
        <w:t>Objednávka prací je přijata a potvrzena tou z následujících událostí, která nastane dříve: (i) společnost Deloitte doručí potvrzení Objednávky prací Klientovi nebo (</w:t>
      </w:r>
      <w:proofErr w:type="spellStart"/>
      <w:r w:rsidRPr="009D5B7E">
        <w:rPr>
          <w:rFonts w:ascii="Calibri" w:hAnsi="Calibri" w:cs="Calibri"/>
          <w:sz w:val="20"/>
        </w:rPr>
        <w:t>ii</w:t>
      </w:r>
      <w:proofErr w:type="spellEnd"/>
      <w:r w:rsidRPr="009D5B7E">
        <w:rPr>
          <w:rFonts w:ascii="Calibri" w:hAnsi="Calibri" w:cs="Calibri"/>
          <w:sz w:val="20"/>
        </w:rPr>
        <w:t xml:space="preserve">)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14:paraId="63C98FA8" w14:textId="77777777" w:rsidR="000A7DF6" w:rsidRPr="009D5B7E" w:rsidRDefault="000A7DF6" w:rsidP="000A7DF6">
      <w:pPr>
        <w:pStyle w:val="Odstavecseseznamem"/>
        <w:numPr>
          <w:ilvl w:val="0"/>
          <w:numId w:val="29"/>
        </w:numPr>
        <w:spacing w:after="120" w:line="120" w:lineRule="atLeast"/>
        <w:rPr>
          <w:rFonts w:ascii="Calibri" w:hAnsi="Calibri" w:cs="Calibri"/>
          <w:sz w:val="20"/>
        </w:rPr>
      </w:pPr>
      <w:r w:rsidRPr="009D5B7E">
        <w:rPr>
          <w:rFonts w:ascii="Calibri" w:hAnsi="Calibri" w:cs="Calibri"/>
          <w:sz w:val="20"/>
        </w:rPr>
        <w:lastRenderedPageBreak/>
        <w:t xml:space="preserve">Klient může zrušit Objednávku prací pouze písemně, faxem nebo emailem. Klient společnosti Deloitte poskytne náhradu za realizované Služby a výdaje vzniklé do data účinnosti zrušení Objednávky prací. </w:t>
      </w:r>
    </w:p>
    <w:p w14:paraId="4698FD51"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Střet</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zájmů</w:t>
      </w:r>
      <w:proofErr w:type="spellEnd"/>
      <w:r w:rsidRPr="009D5B7E">
        <w:rPr>
          <w:rFonts w:ascii="Calibri" w:hAnsi="Calibri" w:cs="Calibri"/>
          <w:b/>
          <w:kern w:val="28"/>
          <w:sz w:val="20"/>
          <w:szCs w:val="18"/>
        </w:rPr>
        <w:t xml:space="preserve"> </w:t>
      </w:r>
    </w:p>
    <w:p w14:paraId="763AEBBB" w14:textId="77777777" w:rsidR="000A7DF6" w:rsidRPr="009D5B7E" w:rsidRDefault="000A7DF6" w:rsidP="000A7DF6">
      <w:pPr>
        <w:keepNext/>
        <w:spacing w:after="120" w:line="120" w:lineRule="atLeast"/>
        <w:ind w:left="568" w:right="68"/>
        <w:jc w:val="both"/>
        <w:outlineLvl w:val="0"/>
        <w:rPr>
          <w:rFonts w:ascii="Calibri" w:hAnsi="Calibri" w:cs="Calibri"/>
          <w:sz w:val="20"/>
          <w:szCs w:val="18"/>
        </w:rPr>
      </w:pP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v </w:t>
      </w:r>
      <w:proofErr w:type="spellStart"/>
      <w:r w:rsidRPr="009D5B7E">
        <w:rPr>
          <w:rFonts w:ascii="Calibri" w:hAnsi="Calibri" w:cs="Calibri"/>
          <w:sz w:val="20"/>
          <w:szCs w:val="18"/>
        </w:rPr>
        <w:t>přiměřené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míře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kontroluje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možné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střety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zájmů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poskytnutím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Jelikož</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však</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poskytuje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řadu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různých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odborných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služeb</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mnoha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klientům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nemůže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určit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všechny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situace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kde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mohlo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dojít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střetu</w:t>
      </w:r>
      <w:proofErr w:type="spellEnd"/>
      <w:r w:rsidRPr="009D5B7E">
        <w:rPr>
          <w:rFonts w:ascii="Calibri" w:hAnsi="Calibri" w:cs="Calibri"/>
          <w:sz w:val="20"/>
          <w:szCs w:val="18"/>
        </w:rPr>
        <w:t xml:space="preserve"> se </w:t>
      </w:r>
      <w:proofErr w:type="spellStart"/>
      <w:r w:rsidRPr="009D5B7E">
        <w:rPr>
          <w:rFonts w:ascii="Calibri" w:hAnsi="Calibri" w:cs="Calibri"/>
          <w:sz w:val="20"/>
          <w:szCs w:val="18"/>
        </w:rPr>
        <w:t>zájmy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proto </w:t>
      </w:r>
      <w:proofErr w:type="spellStart"/>
      <w:r w:rsidRPr="009D5B7E">
        <w:rPr>
          <w:rFonts w:ascii="Calibri" w:hAnsi="Calibri" w:cs="Calibri"/>
          <w:sz w:val="20"/>
          <w:szCs w:val="18"/>
        </w:rPr>
        <w:t>bude</w:t>
      </w:r>
      <w:proofErr w:type="spellEnd"/>
      <w:r w:rsidRPr="009D5B7E">
        <w:rPr>
          <w:rFonts w:ascii="Calibri" w:hAnsi="Calibri" w:cs="Calibri"/>
          <w:sz w:val="20"/>
          <w:szCs w:val="18"/>
        </w:rPr>
        <w:t xml:space="preserve"> bez </w:t>
      </w:r>
      <w:proofErr w:type="spellStart"/>
      <w:r w:rsidRPr="009D5B7E">
        <w:rPr>
          <w:rFonts w:ascii="Calibri" w:hAnsi="Calibri" w:cs="Calibri"/>
          <w:sz w:val="20"/>
          <w:szCs w:val="18"/>
        </w:rPr>
        <w:t>zbytečného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odkladu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informovat</w:t>
      </w:r>
      <w:proofErr w:type="spellEnd"/>
      <w:r w:rsidRPr="009D5B7E">
        <w:rPr>
          <w:rFonts w:ascii="Calibri" w:hAnsi="Calibri" w:cs="Calibri"/>
          <w:sz w:val="20"/>
          <w:szCs w:val="18"/>
        </w:rPr>
        <w:t xml:space="preserve"> </w:t>
      </w:r>
      <w:r w:rsidRPr="009D5B7E">
        <w:rPr>
          <w:rFonts w:ascii="Calibri" w:hAnsi="Calibri" w:cs="Calibri"/>
          <w:sz w:val="20"/>
          <w:szCs w:val="18"/>
          <w:lang w:val="cs-CZ"/>
        </w:rPr>
        <w:t>společnost</w:t>
      </w:r>
      <w:r w:rsidRPr="009D5B7E">
        <w:rPr>
          <w:rFonts w:ascii="Calibri" w:hAnsi="Calibri" w:cs="Calibri"/>
          <w:sz w:val="20"/>
          <w:szCs w:val="18"/>
        </w:rPr>
        <w:t xml:space="preserve"> Deloitte o </w:t>
      </w:r>
      <w:proofErr w:type="spellStart"/>
      <w:r w:rsidRPr="009D5B7E">
        <w:rPr>
          <w:rFonts w:ascii="Calibri" w:hAnsi="Calibri" w:cs="Calibri"/>
          <w:sz w:val="20"/>
          <w:szCs w:val="18"/>
        </w:rPr>
        <w:t>jakémkoli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možném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střetu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zájmů</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ovlivňujícím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poskytované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Klientovi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Pokud</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odhalí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možný</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střet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zájmů</w:t>
      </w:r>
      <w:proofErr w:type="spellEnd"/>
      <w:r w:rsidRPr="009D5B7E">
        <w:rPr>
          <w:rFonts w:ascii="Calibri" w:hAnsi="Calibri" w:cs="Calibri"/>
          <w:sz w:val="20"/>
          <w:szCs w:val="18"/>
        </w:rPr>
        <w:t xml:space="preserve"> a Deloitte </w:t>
      </w:r>
      <w:proofErr w:type="spellStart"/>
      <w:r w:rsidRPr="009D5B7E">
        <w:rPr>
          <w:rFonts w:ascii="Calibri" w:hAnsi="Calibri" w:cs="Calibri"/>
          <w:sz w:val="20"/>
          <w:szCs w:val="18"/>
        </w:rPr>
        <w:t>předpokládá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že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zájmy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mohou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být</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řádně</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chráněny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implementací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vhodných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postupů</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postupy</w:t>
      </w:r>
      <w:proofErr w:type="spellEnd"/>
      <w:r w:rsidRPr="009D5B7E">
        <w:rPr>
          <w:rFonts w:ascii="Calibri" w:hAnsi="Calibri" w:cs="Calibri"/>
          <w:sz w:val="20"/>
          <w:szCs w:val="18"/>
        </w:rPr>
        <w:t xml:space="preserve"> s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projedná</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odsouhlasí</w:t>
      </w:r>
      <w:proofErr w:type="spellEnd"/>
      <w:r w:rsidRPr="009D5B7E">
        <w:rPr>
          <w:rFonts w:ascii="Calibri" w:hAnsi="Calibri" w:cs="Calibri"/>
          <w:sz w:val="20"/>
          <w:szCs w:val="18"/>
        </w:rPr>
        <w:t xml:space="preserve">. </w:t>
      </w:r>
    </w:p>
    <w:p w14:paraId="4D7266EF" w14:textId="77777777" w:rsidR="000A7DF6" w:rsidRPr="009D5B7E" w:rsidRDefault="000A7DF6" w:rsidP="000A7DF6">
      <w:pPr>
        <w:keepNext/>
        <w:numPr>
          <w:ilvl w:val="0"/>
          <w:numId w:val="12"/>
        </w:numPr>
        <w:spacing w:after="120" w:line="120" w:lineRule="atLeast"/>
        <w:ind w:left="568" w:hanging="284"/>
        <w:jc w:val="both"/>
        <w:outlineLvl w:val="0"/>
        <w:rPr>
          <w:rFonts w:ascii="Calibri" w:hAnsi="Calibri" w:cs="Calibri"/>
          <w:b/>
          <w:kern w:val="28"/>
          <w:sz w:val="20"/>
          <w:szCs w:val="18"/>
        </w:rPr>
      </w:pPr>
      <w:proofErr w:type="spellStart"/>
      <w:r w:rsidRPr="009D5B7E">
        <w:rPr>
          <w:rFonts w:ascii="Calibri" w:hAnsi="Calibri" w:cs="Calibri"/>
          <w:b/>
          <w:kern w:val="28"/>
          <w:sz w:val="20"/>
          <w:szCs w:val="18"/>
        </w:rPr>
        <w:t>Závěrečná</w:t>
      </w:r>
      <w:proofErr w:type="spellEnd"/>
      <w:r w:rsidRPr="009D5B7E">
        <w:rPr>
          <w:rFonts w:ascii="Calibri" w:hAnsi="Calibri" w:cs="Calibri"/>
          <w:b/>
          <w:kern w:val="28"/>
          <w:sz w:val="20"/>
          <w:szCs w:val="18"/>
        </w:rPr>
        <w:t xml:space="preserve"> </w:t>
      </w:r>
      <w:proofErr w:type="spellStart"/>
      <w:r w:rsidRPr="009D5B7E">
        <w:rPr>
          <w:rFonts w:ascii="Calibri" w:hAnsi="Calibri" w:cs="Calibri"/>
          <w:b/>
          <w:kern w:val="28"/>
          <w:sz w:val="20"/>
          <w:szCs w:val="18"/>
        </w:rPr>
        <w:t>ustanovení</w:t>
      </w:r>
      <w:proofErr w:type="spellEnd"/>
      <w:r w:rsidRPr="009D5B7E">
        <w:rPr>
          <w:rFonts w:ascii="Calibri" w:hAnsi="Calibri" w:cs="Calibri"/>
          <w:b/>
          <w:kern w:val="28"/>
          <w:sz w:val="20"/>
          <w:szCs w:val="18"/>
        </w:rPr>
        <w:t xml:space="preserve"> </w:t>
      </w:r>
    </w:p>
    <w:p w14:paraId="38E3BE5C" w14:textId="7FEDB1F3" w:rsidR="000A7DF6" w:rsidRPr="009D5B7E" w:rsidRDefault="000A7DF6" w:rsidP="000A7DF6">
      <w:pPr>
        <w:keepNext/>
        <w:spacing w:after="120" w:line="120" w:lineRule="atLeast"/>
        <w:ind w:left="568" w:right="68"/>
        <w:jc w:val="both"/>
        <w:outlineLvl w:val="0"/>
        <w:rPr>
          <w:rFonts w:ascii="Calibri" w:hAnsi="Calibri" w:cs="Calibri"/>
          <w:sz w:val="20"/>
          <w:szCs w:val="18"/>
        </w:rPr>
      </w:pPr>
      <w:r w:rsidRPr="009D5B7E">
        <w:rPr>
          <w:rFonts w:ascii="Calibri" w:hAnsi="Calibri" w:cs="Calibri"/>
          <w:sz w:val="20"/>
          <w:szCs w:val="18"/>
        </w:rPr>
        <w:t xml:space="preserve">Tyto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platné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účinné</w:t>
      </w:r>
      <w:proofErr w:type="spellEnd"/>
      <w:r w:rsidRPr="009D5B7E">
        <w:rPr>
          <w:rFonts w:ascii="Calibri" w:hAnsi="Calibri" w:cs="Calibri"/>
          <w:sz w:val="20"/>
          <w:szCs w:val="18"/>
        </w:rPr>
        <w:t xml:space="preserve"> k 1. </w:t>
      </w:r>
      <w:proofErr w:type="spellStart"/>
      <w:r w:rsidR="00361898" w:rsidRPr="009D5B7E">
        <w:rPr>
          <w:rFonts w:ascii="Calibri" w:hAnsi="Calibri" w:cs="Calibri"/>
          <w:sz w:val="20"/>
          <w:szCs w:val="18"/>
        </w:rPr>
        <w:t>dubnu</w:t>
      </w:r>
      <w:proofErr w:type="spellEnd"/>
      <w:r w:rsidRPr="009D5B7E">
        <w:rPr>
          <w:rFonts w:ascii="Calibri" w:hAnsi="Calibri" w:cs="Calibri"/>
          <w:sz w:val="20"/>
          <w:szCs w:val="18"/>
        </w:rPr>
        <w:t xml:space="preserve"> 2019. Pro </w:t>
      </w:r>
      <w:proofErr w:type="spellStart"/>
      <w:r w:rsidRPr="009D5B7E">
        <w:rPr>
          <w:rFonts w:ascii="Calibri" w:hAnsi="Calibri" w:cs="Calibri"/>
          <w:sz w:val="20"/>
          <w:szCs w:val="18"/>
        </w:rPr>
        <w:t>odstranění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pochybností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jsou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účinné</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závazné</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Klienta</w:t>
      </w:r>
      <w:proofErr w:type="spellEnd"/>
      <w:r w:rsidRPr="009D5B7E">
        <w:rPr>
          <w:rFonts w:ascii="Calibri" w:hAnsi="Calibri" w:cs="Calibri"/>
          <w:sz w:val="20"/>
          <w:szCs w:val="18"/>
        </w:rPr>
        <w:t xml:space="preserve"> od data </w:t>
      </w:r>
      <w:proofErr w:type="spellStart"/>
      <w:r w:rsidRPr="009D5B7E">
        <w:rPr>
          <w:rFonts w:ascii="Calibri" w:hAnsi="Calibri" w:cs="Calibri"/>
          <w:sz w:val="20"/>
          <w:szCs w:val="18"/>
        </w:rPr>
        <w:t>účinnosti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Smluvního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dopisu</w:t>
      </w:r>
      <w:proofErr w:type="spellEnd"/>
      <w:r w:rsidRPr="009D5B7E">
        <w:rPr>
          <w:rFonts w:ascii="Calibri" w:hAnsi="Calibri" w:cs="Calibri"/>
          <w:sz w:val="20"/>
          <w:szCs w:val="18"/>
        </w:rPr>
        <w:t xml:space="preserve">. Tato </w:t>
      </w:r>
      <w:proofErr w:type="spellStart"/>
      <w:r w:rsidRPr="009D5B7E">
        <w:rPr>
          <w:rFonts w:ascii="Calibri" w:hAnsi="Calibri" w:cs="Calibri"/>
          <w:sz w:val="20"/>
          <w:szCs w:val="18"/>
        </w:rPr>
        <w:t>verze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předcházející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verze</w:t>
      </w:r>
      <w:proofErr w:type="spellEnd"/>
      <w:r w:rsidRPr="009D5B7E">
        <w:rPr>
          <w:rFonts w:ascii="Calibri" w:hAnsi="Calibri" w:cs="Calibri"/>
          <w:sz w:val="20"/>
          <w:szCs w:val="18"/>
        </w:rPr>
        <w:t xml:space="preserve"> bez </w:t>
      </w:r>
      <w:proofErr w:type="spellStart"/>
      <w:r w:rsidRPr="009D5B7E">
        <w:rPr>
          <w:rFonts w:ascii="Calibri" w:hAnsi="Calibri" w:cs="Calibri"/>
          <w:sz w:val="20"/>
          <w:szCs w:val="18"/>
        </w:rPr>
        <w:t>ohledu</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jiné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obsažené</w:t>
      </w:r>
      <w:proofErr w:type="spellEnd"/>
      <w:r w:rsidRPr="009D5B7E">
        <w:rPr>
          <w:rFonts w:ascii="Calibri" w:hAnsi="Calibri" w:cs="Calibri"/>
          <w:sz w:val="20"/>
          <w:szCs w:val="18"/>
        </w:rPr>
        <w:t xml:space="preserve"> v </w:t>
      </w:r>
      <w:proofErr w:type="spellStart"/>
      <w:r w:rsidRPr="009D5B7E">
        <w:rPr>
          <w:rFonts w:ascii="Calibri" w:hAnsi="Calibri" w:cs="Calibri"/>
          <w:sz w:val="20"/>
          <w:szCs w:val="18"/>
        </w:rPr>
        <w:t>jakýchkoli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nabídkách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podobných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dokumentech</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si</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vyhrazuje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právo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tyto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podle</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potřeby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aktualizovat</w:t>
      </w:r>
      <w:proofErr w:type="spellEnd"/>
      <w:r w:rsidRPr="009D5B7E">
        <w:rPr>
          <w:rFonts w:ascii="Calibri" w:hAnsi="Calibri" w:cs="Calibri"/>
          <w:sz w:val="20"/>
          <w:szCs w:val="18"/>
        </w:rPr>
        <w:t xml:space="preserve"> a/</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doplňovat</w:t>
      </w:r>
      <w:proofErr w:type="spellEnd"/>
      <w:r w:rsidRPr="009D5B7E">
        <w:rPr>
          <w:rFonts w:ascii="Calibri" w:hAnsi="Calibri" w:cs="Calibri"/>
          <w:sz w:val="20"/>
          <w:szCs w:val="18"/>
        </w:rPr>
        <w:t xml:space="preserve"> o </w:t>
      </w:r>
      <w:proofErr w:type="spellStart"/>
      <w:r w:rsidRPr="009D5B7E">
        <w:rPr>
          <w:rFonts w:ascii="Calibri" w:hAnsi="Calibri" w:cs="Calibri"/>
          <w:sz w:val="20"/>
          <w:szCs w:val="18"/>
        </w:rPr>
        <w:t>dodatečné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podmínky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specifické</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jednotlivé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poradenské</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Služby</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Jakákoliv</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Objednávka</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prací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schválená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nebo</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podepsaná</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 xml:space="preserve"> pro </w:t>
      </w:r>
      <w:proofErr w:type="spellStart"/>
      <w:r w:rsidRPr="009D5B7E">
        <w:rPr>
          <w:rFonts w:ascii="Calibri" w:hAnsi="Calibri" w:cs="Calibri"/>
          <w:sz w:val="20"/>
          <w:szCs w:val="18"/>
        </w:rPr>
        <w:t>společnost</w:t>
      </w:r>
      <w:proofErr w:type="spellEnd"/>
      <w:r w:rsidRPr="009D5B7E">
        <w:rPr>
          <w:rFonts w:ascii="Calibri" w:hAnsi="Calibri" w:cs="Calibri"/>
          <w:sz w:val="20"/>
          <w:szCs w:val="18"/>
        </w:rPr>
        <w:t xml:space="preserve"> Deloitte </w:t>
      </w:r>
      <w:proofErr w:type="spellStart"/>
      <w:r w:rsidRPr="009D5B7E">
        <w:rPr>
          <w:rFonts w:ascii="Calibri" w:hAnsi="Calibri" w:cs="Calibri"/>
          <w:sz w:val="20"/>
          <w:szCs w:val="18"/>
        </w:rPr>
        <w:t>následující</w:t>
      </w:r>
      <w:proofErr w:type="spellEnd"/>
      <w:r w:rsidRPr="009D5B7E">
        <w:rPr>
          <w:rFonts w:ascii="Calibri" w:hAnsi="Calibri" w:cs="Calibri"/>
          <w:sz w:val="20"/>
          <w:szCs w:val="18"/>
        </w:rPr>
        <w:t xml:space="preserve"> po </w:t>
      </w:r>
      <w:proofErr w:type="spellStart"/>
      <w:r w:rsidRPr="009D5B7E">
        <w:rPr>
          <w:rFonts w:ascii="Calibri" w:hAnsi="Calibri" w:cs="Calibri"/>
          <w:sz w:val="20"/>
          <w:szCs w:val="18"/>
        </w:rPr>
        <w:t>předchozím</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včasném</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dodání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aktualizovaných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je </w:t>
      </w:r>
      <w:proofErr w:type="spellStart"/>
      <w:r w:rsidRPr="009D5B7E">
        <w:rPr>
          <w:rFonts w:ascii="Calibri" w:hAnsi="Calibri" w:cs="Calibri"/>
          <w:sz w:val="20"/>
          <w:szCs w:val="18"/>
        </w:rPr>
        <w:t>považováno</w:t>
      </w:r>
      <w:proofErr w:type="spellEnd"/>
      <w:r w:rsidRPr="009D5B7E">
        <w:rPr>
          <w:rFonts w:ascii="Calibri" w:hAnsi="Calibri" w:cs="Calibri"/>
          <w:sz w:val="20"/>
          <w:szCs w:val="18"/>
        </w:rPr>
        <w:t xml:space="preserve"> za </w:t>
      </w:r>
      <w:proofErr w:type="spellStart"/>
      <w:r w:rsidRPr="009D5B7E">
        <w:rPr>
          <w:rFonts w:ascii="Calibri" w:hAnsi="Calibri" w:cs="Calibri"/>
          <w:sz w:val="20"/>
          <w:szCs w:val="18"/>
        </w:rPr>
        <w:t>potvrzení</w:t>
      </w:r>
      <w:proofErr w:type="spellEnd"/>
      <w:r w:rsidRPr="009D5B7E">
        <w:rPr>
          <w:rFonts w:ascii="Calibri" w:hAnsi="Calibri" w:cs="Calibri"/>
          <w:sz w:val="20"/>
          <w:szCs w:val="18"/>
        </w:rPr>
        <w:t xml:space="preserve"> a </w:t>
      </w:r>
      <w:proofErr w:type="spellStart"/>
      <w:r w:rsidRPr="009D5B7E">
        <w:rPr>
          <w:rFonts w:ascii="Calibri" w:hAnsi="Calibri" w:cs="Calibri"/>
          <w:sz w:val="20"/>
          <w:szCs w:val="18"/>
        </w:rPr>
        <w:t>odsouhlasení</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změn</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Obchodních</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podmínek</w:t>
      </w:r>
      <w:proofErr w:type="spellEnd"/>
      <w:r w:rsidRPr="009D5B7E">
        <w:rPr>
          <w:rFonts w:ascii="Calibri" w:hAnsi="Calibri" w:cs="Calibri"/>
          <w:sz w:val="20"/>
          <w:szCs w:val="18"/>
        </w:rPr>
        <w:t xml:space="preserve"> </w:t>
      </w:r>
      <w:proofErr w:type="spellStart"/>
      <w:r w:rsidRPr="009D5B7E">
        <w:rPr>
          <w:rFonts w:ascii="Calibri" w:hAnsi="Calibri" w:cs="Calibri"/>
          <w:sz w:val="20"/>
          <w:szCs w:val="18"/>
        </w:rPr>
        <w:t>Klientem</w:t>
      </w:r>
      <w:proofErr w:type="spellEnd"/>
      <w:r w:rsidRPr="009D5B7E">
        <w:rPr>
          <w:rFonts w:ascii="Calibri" w:hAnsi="Calibri" w:cs="Calibri"/>
          <w:sz w:val="20"/>
          <w:szCs w:val="18"/>
        </w:rPr>
        <w:t>.</w:t>
      </w:r>
    </w:p>
    <w:p w14:paraId="140A999B" w14:textId="77777777" w:rsidR="000A7DF6" w:rsidRPr="009D5B7E" w:rsidRDefault="000A7DF6" w:rsidP="000A7DF6">
      <w:pPr>
        <w:rPr>
          <w:rFonts w:ascii="Calibri" w:hAnsi="Calibri" w:cs="Calibri"/>
          <w:sz w:val="20"/>
          <w:szCs w:val="18"/>
          <w:lang w:val="cs-CZ"/>
        </w:rPr>
      </w:pPr>
    </w:p>
    <w:p w14:paraId="01C81088" w14:textId="1FDAB396" w:rsidR="00E50FBB" w:rsidRDefault="00E50FBB" w:rsidP="000A7DF6">
      <w:pPr>
        <w:pStyle w:val="Zkladntext"/>
        <w:jc w:val="center"/>
        <w:rPr>
          <w:rFonts w:ascii="Calibri" w:hAnsi="Calibri" w:cs="Calibri"/>
          <w:sz w:val="20"/>
          <w:lang w:val="cs-CZ"/>
        </w:rPr>
      </w:pPr>
    </w:p>
    <w:p w14:paraId="242854AA" w14:textId="64B6FBAA" w:rsidR="001C1920" w:rsidRDefault="001C1920" w:rsidP="000A7DF6">
      <w:pPr>
        <w:pStyle w:val="Zkladntext"/>
        <w:jc w:val="center"/>
        <w:rPr>
          <w:rFonts w:ascii="Calibri" w:hAnsi="Calibri" w:cs="Calibri"/>
          <w:sz w:val="20"/>
          <w:lang w:val="cs-CZ"/>
        </w:rPr>
      </w:pPr>
    </w:p>
    <w:p w14:paraId="5AE18E82" w14:textId="599FD0D8" w:rsidR="001C1920" w:rsidRDefault="001C1920" w:rsidP="000A7DF6">
      <w:pPr>
        <w:pStyle w:val="Zkladntext"/>
        <w:jc w:val="center"/>
        <w:rPr>
          <w:rFonts w:ascii="Calibri" w:hAnsi="Calibri" w:cs="Calibri"/>
          <w:sz w:val="20"/>
          <w:lang w:val="cs-CZ"/>
        </w:rPr>
      </w:pPr>
    </w:p>
    <w:p w14:paraId="631BC89B" w14:textId="154ADD8F" w:rsidR="001C1920" w:rsidRDefault="001C1920" w:rsidP="000A7DF6">
      <w:pPr>
        <w:pStyle w:val="Zkladntext"/>
        <w:jc w:val="center"/>
        <w:rPr>
          <w:rFonts w:ascii="Calibri" w:hAnsi="Calibri" w:cs="Calibri"/>
          <w:sz w:val="20"/>
          <w:lang w:val="cs-CZ"/>
        </w:rPr>
      </w:pPr>
    </w:p>
    <w:p w14:paraId="74228300" w14:textId="71AD2AF5" w:rsidR="001C1920" w:rsidRDefault="001C1920" w:rsidP="000A7DF6">
      <w:pPr>
        <w:pStyle w:val="Zkladntext"/>
        <w:jc w:val="center"/>
        <w:rPr>
          <w:rFonts w:ascii="Calibri" w:hAnsi="Calibri" w:cs="Calibri"/>
          <w:sz w:val="20"/>
          <w:lang w:val="cs-CZ"/>
        </w:rPr>
      </w:pPr>
    </w:p>
    <w:p w14:paraId="1B55DF0F" w14:textId="6386E453" w:rsidR="001C1920" w:rsidRDefault="001C1920" w:rsidP="000A7DF6">
      <w:pPr>
        <w:pStyle w:val="Zkladntext"/>
        <w:jc w:val="center"/>
        <w:rPr>
          <w:rFonts w:ascii="Calibri" w:hAnsi="Calibri" w:cs="Calibri"/>
          <w:sz w:val="20"/>
          <w:lang w:val="cs-CZ"/>
        </w:rPr>
      </w:pPr>
    </w:p>
    <w:p w14:paraId="48F22A48" w14:textId="0F480B83" w:rsidR="001C1920" w:rsidRDefault="001C1920" w:rsidP="000A7DF6">
      <w:pPr>
        <w:pStyle w:val="Zkladntext"/>
        <w:jc w:val="center"/>
        <w:rPr>
          <w:rFonts w:ascii="Calibri" w:hAnsi="Calibri" w:cs="Calibri"/>
          <w:sz w:val="20"/>
          <w:lang w:val="cs-CZ"/>
        </w:rPr>
      </w:pPr>
    </w:p>
    <w:p w14:paraId="59EE562A" w14:textId="637CB473" w:rsidR="001C1920" w:rsidRDefault="001C1920" w:rsidP="000A7DF6">
      <w:pPr>
        <w:pStyle w:val="Zkladntext"/>
        <w:jc w:val="center"/>
        <w:rPr>
          <w:rFonts w:ascii="Calibri" w:hAnsi="Calibri" w:cs="Calibri"/>
          <w:sz w:val="20"/>
          <w:lang w:val="cs-CZ"/>
        </w:rPr>
      </w:pPr>
    </w:p>
    <w:p w14:paraId="4223908B" w14:textId="460663FE" w:rsidR="001C1920" w:rsidRDefault="001C1920" w:rsidP="000A7DF6">
      <w:pPr>
        <w:pStyle w:val="Zkladntext"/>
        <w:jc w:val="center"/>
        <w:rPr>
          <w:rFonts w:ascii="Calibri" w:hAnsi="Calibri" w:cs="Calibri"/>
          <w:sz w:val="20"/>
          <w:lang w:val="cs-CZ"/>
        </w:rPr>
      </w:pPr>
    </w:p>
    <w:p w14:paraId="7E36E2E8" w14:textId="7CB345EC" w:rsidR="001C1920" w:rsidRDefault="001C1920" w:rsidP="000A7DF6">
      <w:pPr>
        <w:pStyle w:val="Zkladntext"/>
        <w:jc w:val="center"/>
        <w:rPr>
          <w:rFonts w:ascii="Calibri" w:hAnsi="Calibri" w:cs="Calibri"/>
          <w:sz w:val="20"/>
          <w:lang w:val="cs-CZ"/>
        </w:rPr>
      </w:pPr>
    </w:p>
    <w:p w14:paraId="048E766F" w14:textId="6FC53007" w:rsidR="001C1920" w:rsidRDefault="001C1920" w:rsidP="000A7DF6">
      <w:pPr>
        <w:pStyle w:val="Zkladntext"/>
        <w:jc w:val="center"/>
        <w:rPr>
          <w:rFonts w:ascii="Calibri" w:hAnsi="Calibri" w:cs="Calibri"/>
          <w:sz w:val="20"/>
          <w:lang w:val="cs-CZ"/>
        </w:rPr>
      </w:pPr>
    </w:p>
    <w:p w14:paraId="7AD06D4F" w14:textId="36A1CDF5" w:rsidR="001C1920" w:rsidRDefault="001C1920" w:rsidP="000A7DF6">
      <w:pPr>
        <w:pStyle w:val="Zkladntext"/>
        <w:jc w:val="center"/>
        <w:rPr>
          <w:rFonts w:ascii="Calibri" w:hAnsi="Calibri" w:cs="Calibri"/>
          <w:sz w:val="20"/>
          <w:lang w:val="cs-CZ"/>
        </w:rPr>
      </w:pPr>
    </w:p>
    <w:p w14:paraId="78671335" w14:textId="2100DB95" w:rsidR="001C1920" w:rsidRDefault="001C1920" w:rsidP="000A7DF6">
      <w:pPr>
        <w:pStyle w:val="Zkladntext"/>
        <w:jc w:val="center"/>
        <w:rPr>
          <w:rFonts w:ascii="Calibri" w:hAnsi="Calibri" w:cs="Calibri"/>
          <w:sz w:val="20"/>
          <w:lang w:val="cs-CZ"/>
        </w:rPr>
      </w:pPr>
    </w:p>
    <w:p w14:paraId="38F4999A" w14:textId="52FD3FB6" w:rsidR="001C1920" w:rsidRDefault="001C1920" w:rsidP="000A7DF6">
      <w:pPr>
        <w:pStyle w:val="Zkladntext"/>
        <w:jc w:val="center"/>
        <w:rPr>
          <w:rFonts w:ascii="Calibri" w:hAnsi="Calibri" w:cs="Calibri"/>
          <w:sz w:val="20"/>
          <w:lang w:val="cs-CZ"/>
        </w:rPr>
      </w:pPr>
    </w:p>
    <w:p w14:paraId="588217A3" w14:textId="208456E7" w:rsidR="001C1920" w:rsidRDefault="001C1920" w:rsidP="000A7DF6">
      <w:pPr>
        <w:pStyle w:val="Zkladntext"/>
        <w:jc w:val="center"/>
        <w:rPr>
          <w:rFonts w:ascii="Calibri" w:hAnsi="Calibri" w:cs="Calibri"/>
          <w:sz w:val="20"/>
          <w:lang w:val="cs-CZ"/>
        </w:rPr>
      </w:pPr>
    </w:p>
    <w:p w14:paraId="1006A4FA" w14:textId="39DAD277" w:rsidR="001C1920" w:rsidRDefault="001C1920" w:rsidP="000A7DF6">
      <w:pPr>
        <w:pStyle w:val="Zkladntext"/>
        <w:jc w:val="center"/>
        <w:rPr>
          <w:rFonts w:ascii="Calibri" w:hAnsi="Calibri" w:cs="Calibri"/>
          <w:sz w:val="20"/>
          <w:lang w:val="cs-CZ"/>
        </w:rPr>
      </w:pPr>
    </w:p>
    <w:p w14:paraId="1AC903B6" w14:textId="0EF9EC7B" w:rsidR="001C1920" w:rsidRDefault="001C1920" w:rsidP="000A7DF6">
      <w:pPr>
        <w:pStyle w:val="Zkladntext"/>
        <w:jc w:val="center"/>
        <w:rPr>
          <w:rFonts w:ascii="Calibri" w:hAnsi="Calibri" w:cs="Calibri"/>
          <w:sz w:val="20"/>
          <w:lang w:val="cs-CZ"/>
        </w:rPr>
      </w:pPr>
    </w:p>
    <w:p w14:paraId="24F1EDF9" w14:textId="500F1A48" w:rsidR="001C1920" w:rsidRDefault="001C1920" w:rsidP="000A7DF6">
      <w:pPr>
        <w:pStyle w:val="Zkladntext"/>
        <w:jc w:val="center"/>
        <w:rPr>
          <w:rFonts w:ascii="Calibri" w:hAnsi="Calibri" w:cs="Calibri"/>
          <w:sz w:val="20"/>
          <w:lang w:val="cs-CZ"/>
        </w:rPr>
      </w:pPr>
    </w:p>
    <w:p w14:paraId="6E70220E" w14:textId="2D6F5E4E" w:rsidR="001C1920" w:rsidRDefault="001C1920" w:rsidP="000A7DF6">
      <w:pPr>
        <w:pStyle w:val="Zkladntext"/>
        <w:jc w:val="center"/>
        <w:rPr>
          <w:rFonts w:ascii="Calibri" w:hAnsi="Calibri" w:cs="Calibri"/>
          <w:sz w:val="20"/>
          <w:lang w:val="cs-CZ"/>
        </w:rPr>
      </w:pPr>
    </w:p>
    <w:p w14:paraId="2481B2A6" w14:textId="1C6167B0" w:rsidR="001C1920" w:rsidRDefault="001C1920" w:rsidP="000A7DF6">
      <w:pPr>
        <w:pStyle w:val="Zkladntext"/>
        <w:jc w:val="center"/>
        <w:rPr>
          <w:rFonts w:ascii="Calibri" w:hAnsi="Calibri" w:cs="Calibri"/>
          <w:sz w:val="20"/>
          <w:lang w:val="cs-CZ"/>
        </w:rPr>
      </w:pPr>
    </w:p>
    <w:p w14:paraId="5FD39770" w14:textId="1441891C" w:rsidR="001C1920" w:rsidRDefault="001C1920" w:rsidP="000A7DF6">
      <w:pPr>
        <w:pStyle w:val="Zkladntext"/>
        <w:jc w:val="center"/>
        <w:rPr>
          <w:rFonts w:ascii="Calibri" w:hAnsi="Calibri" w:cs="Calibri"/>
          <w:sz w:val="20"/>
          <w:lang w:val="cs-CZ"/>
        </w:rPr>
      </w:pPr>
    </w:p>
    <w:p w14:paraId="3135A1F5" w14:textId="7852EDC4" w:rsidR="001C1920" w:rsidRDefault="001C1920" w:rsidP="000A7DF6">
      <w:pPr>
        <w:pStyle w:val="Zkladntext"/>
        <w:jc w:val="center"/>
        <w:rPr>
          <w:rFonts w:ascii="Calibri" w:hAnsi="Calibri" w:cs="Calibri"/>
          <w:sz w:val="20"/>
          <w:lang w:val="cs-CZ"/>
        </w:rPr>
      </w:pPr>
    </w:p>
    <w:p w14:paraId="20788213" w14:textId="1F5C6032" w:rsidR="001C1920" w:rsidRDefault="001C1920" w:rsidP="000A7DF6">
      <w:pPr>
        <w:pStyle w:val="Zkladntext"/>
        <w:jc w:val="center"/>
        <w:rPr>
          <w:rFonts w:ascii="Calibri" w:hAnsi="Calibri" w:cs="Calibri"/>
          <w:sz w:val="20"/>
          <w:lang w:val="cs-CZ"/>
        </w:rPr>
      </w:pPr>
    </w:p>
    <w:p w14:paraId="35E3268C" w14:textId="66120A43" w:rsidR="001C1920" w:rsidRDefault="001C1920" w:rsidP="000A7DF6">
      <w:pPr>
        <w:pStyle w:val="Zkladntext"/>
        <w:jc w:val="center"/>
        <w:rPr>
          <w:rFonts w:ascii="Calibri" w:hAnsi="Calibri" w:cs="Calibri"/>
          <w:sz w:val="20"/>
          <w:lang w:val="cs-CZ"/>
        </w:rPr>
      </w:pPr>
    </w:p>
    <w:p w14:paraId="5D209DDB" w14:textId="5E758F5D" w:rsidR="001C1920" w:rsidRDefault="001C1920" w:rsidP="000A7DF6">
      <w:pPr>
        <w:pStyle w:val="Zkladntext"/>
        <w:jc w:val="center"/>
        <w:rPr>
          <w:rFonts w:ascii="Calibri" w:hAnsi="Calibri" w:cs="Calibri"/>
          <w:sz w:val="20"/>
          <w:lang w:val="cs-CZ"/>
        </w:rPr>
      </w:pPr>
    </w:p>
    <w:p w14:paraId="5F09DBA5" w14:textId="0E331BB3" w:rsidR="001C1920" w:rsidRDefault="001C1920" w:rsidP="000A7DF6">
      <w:pPr>
        <w:pStyle w:val="Zkladntext"/>
        <w:jc w:val="center"/>
        <w:rPr>
          <w:rFonts w:ascii="Calibri" w:hAnsi="Calibri" w:cs="Calibri"/>
          <w:sz w:val="20"/>
          <w:lang w:val="cs-CZ"/>
        </w:rPr>
      </w:pPr>
    </w:p>
    <w:p w14:paraId="59BA58E0" w14:textId="74CC9E0E" w:rsidR="001C1920" w:rsidRDefault="001C1920" w:rsidP="000A7DF6">
      <w:pPr>
        <w:pStyle w:val="Zkladntext"/>
        <w:jc w:val="center"/>
        <w:rPr>
          <w:rFonts w:ascii="Calibri" w:hAnsi="Calibri" w:cs="Calibri"/>
          <w:sz w:val="20"/>
          <w:lang w:val="cs-CZ"/>
        </w:rPr>
      </w:pPr>
    </w:p>
    <w:p w14:paraId="68D87505" w14:textId="4DCBB94C" w:rsidR="001C1920" w:rsidRDefault="001C1920" w:rsidP="000A7DF6">
      <w:pPr>
        <w:pStyle w:val="Zkladntext"/>
        <w:jc w:val="center"/>
        <w:rPr>
          <w:rFonts w:ascii="Calibri" w:hAnsi="Calibri" w:cs="Calibri"/>
          <w:sz w:val="20"/>
          <w:lang w:val="cs-CZ"/>
        </w:rPr>
      </w:pPr>
    </w:p>
    <w:p w14:paraId="1B906CC2" w14:textId="01B87600" w:rsidR="001C1920" w:rsidRDefault="001C1920" w:rsidP="000A7DF6">
      <w:pPr>
        <w:pStyle w:val="Zkladntext"/>
        <w:jc w:val="center"/>
        <w:rPr>
          <w:rFonts w:ascii="Calibri" w:hAnsi="Calibri" w:cs="Calibri"/>
          <w:sz w:val="20"/>
          <w:lang w:val="cs-CZ"/>
        </w:rPr>
      </w:pPr>
    </w:p>
    <w:p w14:paraId="1C939B98" w14:textId="330000E5" w:rsidR="001C1920" w:rsidRDefault="001C1920" w:rsidP="000A7DF6">
      <w:pPr>
        <w:pStyle w:val="Zkladntext"/>
        <w:jc w:val="center"/>
        <w:rPr>
          <w:rFonts w:ascii="Calibri" w:hAnsi="Calibri" w:cs="Calibri"/>
          <w:sz w:val="20"/>
          <w:lang w:val="cs-CZ"/>
        </w:rPr>
      </w:pPr>
    </w:p>
    <w:p w14:paraId="222F2783" w14:textId="36029D2F" w:rsidR="001C1920" w:rsidRDefault="001C1920" w:rsidP="000A7DF6">
      <w:pPr>
        <w:pStyle w:val="Zkladntext"/>
        <w:jc w:val="center"/>
        <w:rPr>
          <w:rFonts w:ascii="Calibri" w:hAnsi="Calibri" w:cs="Calibri"/>
          <w:sz w:val="20"/>
          <w:lang w:val="cs-CZ"/>
        </w:rPr>
      </w:pPr>
    </w:p>
    <w:p w14:paraId="1D54DCFB" w14:textId="59638424" w:rsidR="001C1920" w:rsidRDefault="001C1920" w:rsidP="000A7DF6">
      <w:pPr>
        <w:pStyle w:val="Zkladntext"/>
        <w:jc w:val="center"/>
        <w:rPr>
          <w:rFonts w:ascii="Calibri" w:hAnsi="Calibri" w:cs="Calibri"/>
          <w:sz w:val="20"/>
          <w:lang w:val="cs-CZ"/>
        </w:rPr>
      </w:pPr>
    </w:p>
    <w:p w14:paraId="59D13E3B" w14:textId="68856F7B" w:rsidR="001C1920" w:rsidRDefault="001C1920" w:rsidP="000A7DF6">
      <w:pPr>
        <w:pStyle w:val="Zkladntext"/>
        <w:jc w:val="center"/>
        <w:rPr>
          <w:rFonts w:ascii="Calibri" w:hAnsi="Calibri" w:cs="Calibri"/>
          <w:sz w:val="20"/>
          <w:lang w:val="cs-CZ"/>
        </w:rPr>
      </w:pPr>
    </w:p>
    <w:p w14:paraId="6212C149" w14:textId="6621051E" w:rsidR="001C1920" w:rsidRDefault="001C1920" w:rsidP="000A7DF6">
      <w:pPr>
        <w:pStyle w:val="Zkladntext"/>
        <w:jc w:val="center"/>
        <w:rPr>
          <w:rFonts w:ascii="Calibri" w:hAnsi="Calibri" w:cs="Calibri"/>
          <w:sz w:val="20"/>
          <w:lang w:val="cs-CZ"/>
        </w:rPr>
      </w:pPr>
    </w:p>
    <w:p w14:paraId="1BCE30A2" w14:textId="420BC9D9" w:rsidR="001C1920" w:rsidRDefault="001C1920" w:rsidP="000A7DF6">
      <w:pPr>
        <w:pStyle w:val="Zkladntext"/>
        <w:jc w:val="center"/>
        <w:rPr>
          <w:rFonts w:ascii="Calibri" w:hAnsi="Calibri" w:cs="Calibri"/>
          <w:sz w:val="20"/>
          <w:lang w:val="cs-CZ"/>
        </w:rPr>
      </w:pPr>
    </w:p>
    <w:p w14:paraId="67C1AC75" w14:textId="77777777" w:rsidR="001C1920" w:rsidRDefault="001C1920" w:rsidP="001C1920">
      <w:pPr>
        <w:pStyle w:val="Zkladntext"/>
        <w:jc w:val="center"/>
        <w:rPr>
          <w:rFonts w:ascii="Calibri" w:hAnsi="Calibri" w:cs="Calibri"/>
          <w:b/>
          <w:sz w:val="20"/>
          <w:lang w:val="cs-CZ"/>
        </w:rPr>
        <w:sectPr w:rsidR="001C1920" w:rsidSect="000F0DFC">
          <w:headerReference w:type="default" r:id="rId23"/>
          <w:type w:val="continuous"/>
          <w:pgSz w:w="11906" w:h="16838" w:code="9"/>
          <w:pgMar w:top="1417" w:right="1417" w:bottom="1417" w:left="1417" w:header="680" w:footer="567" w:gutter="0"/>
          <w:cols w:num="2" w:space="709"/>
          <w:titlePg/>
          <w:docGrid w:linePitch="360"/>
        </w:sectPr>
      </w:pPr>
    </w:p>
    <w:p w14:paraId="4FB98603" w14:textId="0EAFE53B" w:rsidR="001C1920" w:rsidRDefault="001C1920" w:rsidP="001C1920">
      <w:pPr>
        <w:pStyle w:val="Zkladntext"/>
        <w:jc w:val="center"/>
        <w:rPr>
          <w:rFonts w:ascii="Calibri" w:hAnsi="Calibri" w:cs="Calibri"/>
          <w:b/>
          <w:sz w:val="20"/>
          <w:lang w:val="cs-CZ"/>
        </w:rPr>
      </w:pPr>
      <w:r w:rsidRPr="009D5B7E">
        <w:rPr>
          <w:rFonts w:ascii="Calibri" w:hAnsi="Calibri" w:cs="Calibri"/>
          <w:b/>
          <w:sz w:val="20"/>
          <w:lang w:val="cs-CZ"/>
        </w:rPr>
        <w:lastRenderedPageBreak/>
        <w:t xml:space="preserve">Příloha č. </w:t>
      </w:r>
      <w:r>
        <w:rPr>
          <w:rFonts w:ascii="Calibri" w:hAnsi="Calibri" w:cs="Calibri"/>
          <w:b/>
          <w:sz w:val="20"/>
          <w:lang w:val="cs-CZ"/>
        </w:rPr>
        <w:t>4</w:t>
      </w:r>
      <w:r w:rsidRPr="009D5B7E">
        <w:rPr>
          <w:rFonts w:ascii="Calibri" w:hAnsi="Calibri" w:cs="Calibri"/>
          <w:b/>
          <w:sz w:val="20"/>
          <w:lang w:val="cs-CZ"/>
        </w:rPr>
        <w:br/>
      </w:r>
      <w:r w:rsidR="00D16E1E">
        <w:rPr>
          <w:rFonts w:ascii="Calibri" w:hAnsi="Calibri" w:cs="Calibri"/>
          <w:b/>
          <w:sz w:val="20"/>
          <w:lang w:val="cs-CZ"/>
        </w:rPr>
        <w:t>Požadované dokumenty</w:t>
      </w:r>
    </w:p>
    <w:p w14:paraId="0CF9B47F" w14:textId="07D7EBB1" w:rsidR="001D5A7C" w:rsidRPr="001D5A7C" w:rsidRDefault="001D5A7C" w:rsidP="001D5A7C">
      <w:pPr>
        <w:pStyle w:val="Zkladntext"/>
        <w:spacing w:after="0"/>
        <w:jc w:val="left"/>
        <w:rPr>
          <w:rFonts w:ascii="Calibri" w:hAnsi="Calibri" w:cs="Calibri"/>
          <w:bCs/>
          <w:sz w:val="20"/>
          <w:lang w:val="cs-CZ"/>
        </w:rPr>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0"/>
      </w:tblGrid>
      <w:tr w:rsidR="00D16E1E" w14:paraId="014F0429" w14:textId="77777777" w:rsidTr="0014576C">
        <w:trPr>
          <w:cnfStyle w:val="100000000000" w:firstRow="1" w:lastRow="0" w:firstColumn="0" w:lastColumn="0" w:oddVBand="0" w:evenVBand="0" w:oddHBand="0" w:evenHBand="0" w:firstRowFirstColumn="0" w:firstRowLastColumn="0" w:lastRowFirstColumn="0" w:lastRowLastColumn="0"/>
          <w:trHeight w:hRule="exact" w:val="284"/>
        </w:trPr>
        <w:tc>
          <w:tcPr>
            <w:tcW w:w="5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61C17A" w14:textId="77777777" w:rsidR="00D16E1E" w:rsidRPr="006C6B8E" w:rsidRDefault="00D16E1E" w:rsidP="0014576C">
            <w:pPr>
              <w:pStyle w:val="Zkladntext"/>
              <w:rPr>
                <w:rFonts w:ascii="Calibri" w:hAnsi="Calibri" w:cs="Calibri"/>
                <w:b/>
                <w:bCs/>
                <w:iCs/>
                <w:sz w:val="20"/>
              </w:rPr>
            </w:pPr>
            <w:r w:rsidRPr="006C6B8E">
              <w:rPr>
                <w:rFonts w:ascii="Calibri" w:hAnsi="Calibri" w:cs="Calibri"/>
                <w:b/>
                <w:bCs/>
                <w:iCs/>
                <w:sz w:val="20"/>
              </w:rPr>
              <w:t xml:space="preserve">Ref. </w:t>
            </w:r>
          </w:p>
        </w:tc>
        <w:tc>
          <w:tcPr>
            <w:tcW w:w="85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485E1A" w14:textId="77777777" w:rsidR="00D16E1E" w:rsidRPr="006C6B8E" w:rsidRDefault="00D16E1E" w:rsidP="0014576C">
            <w:pPr>
              <w:pStyle w:val="Zkladntext"/>
              <w:rPr>
                <w:rFonts w:ascii="Calibri" w:hAnsi="Calibri" w:cs="Calibri"/>
                <w:b/>
                <w:bCs/>
                <w:iCs/>
                <w:sz w:val="20"/>
              </w:rPr>
            </w:pPr>
            <w:proofErr w:type="spellStart"/>
            <w:r w:rsidRPr="006C6B8E">
              <w:rPr>
                <w:rFonts w:ascii="Calibri" w:hAnsi="Calibri" w:cs="Calibri"/>
                <w:b/>
                <w:bCs/>
                <w:iCs/>
                <w:sz w:val="20"/>
              </w:rPr>
              <w:t>Dokumenty</w:t>
            </w:r>
            <w:proofErr w:type="spellEnd"/>
            <w:r w:rsidRPr="006C6B8E">
              <w:rPr>
                <w:rFonts w:ascii="Calibri" w:hAnsi="Calibri" w:cs="Calibri"/>
                <w:b/>
                <w:bCs/>
                <w:iCs/>
                <w:sz w:val="20"/>
              </w:rPr>
              <w:t xml:space="preserve"> pro </w:t>
            </w:r>
            <w:proofErr w:type="spellStart"/>
            <w:r w:rsidRPr="006C6B8E">
              <w:rPr>
                <w:rFonts w:ascii="Calibri" w:hAnsi="Calibri" w:cs="Calibri"/>
                <w:b/>
                <w:bCs/>
                <w:iCs/>
                <w:sz w:val="20"/>
              </w:rPr>
              <w:t>revizi</w:t>
            </w:r>
            <w:proofErr w:type="spellEnd"/>
            <w:r w:rsidRPr="006C6B8E">
              <w:rPr>
                <w:rFonts w:ascii="Calibri" w:hAnsi="Calibri" w:cs="Calibri"/>
                <w:b/>
                <w:bCs/>
                <w:iCs/>
                <w:sz w:val="20"/>
              </w:rPr>
              <w:t xml:space="preserve"> </w:t>
            </w:r>
            <w:proofErr w:type="spellStart"/>
            <w:r w:rsidRPr="006C6B8E">
              <w:rPr>
                <w:rFonts w:ascii="Calibri" w:hAnsi="Calibri" w:cs="Calibri"/>
                <w:b/>
                <w:bCs/>
                <w:iCs/>
                <w:sz w:val="20"/>
              </w:rPr>
              <w:t>procesů</w:t>
            </w:r>
            <w:proofErr w:type="spellEnd"/>
            <w:r w:rsidRPr="006C6B8E">
              <w:rPr>
                <w:rFonts w:ascii="Calibri" w:hAnsi="Calibri" w:cs="Calibri"/>
                <w:b/>
                <w:bCs/>
                <w:iCs/>
                <w:sz w:val="20"/>
              </w:rPr>
              <w:t xml:space="preserve"> v </w:t>
            </w:r>
            <w:proofErr w:type="spellStart"/>
            <w:r w:rsidRPr="006C6B8E">
              <w:rPr>
                <w:rFonts w:ascii="Calibri" w:hAnsi="Calibri" w:cs="Calibri"/>
                <w:b/>
                <w:bCs/>
                <w:iCs/>
                <w:sz w:val="20"/>
              </w:rPr>
              <w:t>oblasti</w:t>
            </w:r>
            <w:proofErr w:type="spellEnd"/>
            <w:r w:rsidRPr="006C6B8E">
              <w:rPr>
                <w:rFonts w:ascii="Calibri" w:hAnsi="Calibri" w:cs="Calibri"/>
                <w:b/>
                <w:bCs/>
                <w:iCs/>
                <w:sz w:val="20"/>
              </w:rPr>
              <w:t xml:space="preserve"> </w:t>
            </w:r>
            <w:proofErr w:type="spellStart"/>
            <w:r w:rsidRPr="006C6B8E">
              <w:rPr>
                <w:rFonts w:ascii="Calibri" w:hAnsi="Calibri" w:cs="Calibri"/>
                <w:b/>
                <w:bCs/>
                <w:iCs/>
                <w:sz w:val="20"/>
              </w:rPr>
              <w:t>Financí</w:t>
            </w:r>
            <w:proofErr w:type="spellEnd"/>
            <w:r w:rsidRPr="006C6B8E">
              <w:rPr>
                <w:rFonts w:ascii="Calibri" w:hAnsi="Calibri" w:cs="Calibri"/>
                <w:b/>
                <w:bCs/>
                <w:iCs/>
                <w:sz w:val="20"/>
              </w:rPr>
              <w:t xml:space="preserve">: </w:t>
            </w:r>
          </w:p>
        </w:tc>
      </w:tr>
      <w:tr w:rsidR="001D5A7C" w14:paraId="4EBA4F1B" w14:textId="77777777" w:rsidTr="0014576C">
        <w:trPr>
          <w:trHeight w:hRule="exact" w:val="284"/>
        </w:trPr>
        <w:tc>
          <w:tcPr>
            <w:tcW w:w="562" w:type="dxa"/>
          </w:tcPr>
          <w:p w14:paraId="6B248C54" w14:textId="77777777" w:rsidR="001D5A7C" w:rsidRPr="006C6B8E" w:rsidRDefault="001D5A7C" w:rsidP="0014576C">
            <w:pPr>
              <w:pStyle w:val="Zkladntext"/>
              <w:rPr>
                <w:rFonts w:ascii="Calibri" w:hAnsi="Calibri" w:cs="Calibri"/>
                <w:b/>
                <w:bCs/>
                <w:iCs/>
                <w:sz w:val="20"/>
              </w:rPr>
            </w:pPr>
          </w:p>
        </w:tc>
        <w:tc>
          <w:tcPr>
            <w:tcW w:w="8500" w:type="dxa"/>
          </w:tcPr>
          <w:p w14:paraId="7428726A" w14:textId="1FB67999" w:rsidR="001D5A7C" w:rsidRPr="006C6B8E" w:rsidRDefault="001D5A7C" w:rsidP="001D5A7C">
            <w:pPr>
              <w:pStyle w:val="Zkladntext"/>
              <w:jc w:val="left"/>
              <w:rPr>
                <w:rFonts w:ascii="Calibri" w:hAnsi="Calibri" w:cs="Calibri"/>
                <w:b/>
                <w:bCs/>
                <w:iCs/>
                <w:sz w:val="20"/>
              </w:rPr>
            </w:pPr>
            <w:r w:rsidRPr="001D5A7C">
              <w:rPr>
                <w:rFonts w:ascii="Calibri" w:hAnsi="Calibri" w:cs="Calibri"/>
                <w:bCs/>
                <w:sz w:val="20"/>
                <w:lang w:val="cs-CZ"/>
              </w:rPr>
              <w:t xml:space="preserve">Seznam interních předpisů pro oblast Finance a účetnictví </w:t>
            </w:r>
          </w:p>
        </w:tc>
      </w:tr>
      <w:tr w:rsidR="00D16E1E" w14:paraId="35D4DD08" w14:textId="77777777" w:rsidTr="0014576C">
        <w:trPr>
          <w:trHeight w:hRule="exact" w:val="284"/>
        </w:trPr>
        <w:tc>
          <w:tcPr>
            <w:tcW w:w="562" w:type="dxa"/>
          </w:tcPr>
          <w:p w14:paraId="4F5F3DE9" w14:textId="77777777" w:rsidR="00D16E1E" w:rsidRPr="006C6B8E" w:rsidRDefault="00D16E1E" w:rsidP="0014576C">
            <w:pPr>
              <w:pStyle w:val="Zkladntext"/>
              <w:rPr>
                <w:rFonts w:ascii="Calibri" w:hAnsi="Calibri" w:cs="Calibri"/>
                <w:iCs/>
                <w:sz w:val="20"/>
              </w:rPr>
            </w:pPr>
          </w:p>
        </w:tc>
        <w:tc>
          <w:tcPr>
            <w:tcW w:w="8500" w:type="dxa"/>
          </w:tcPr>
          <w:p w14:paraId="3DC58188" w14:textId="77777777" w:rsidR="001D5A7C" w:rsidRPr="001D5A7C" w:rsidRDefault="001D5A7C" w:rsidP="001D5A7C">
            <w:pPr>
              <w:pStyle w:val="Zkladntext"/>
              <w:spacing w:after="0"/>
              <w:jc w:val="left"/>
              <w:rPr>
                <w:rFonts w:ascii="Calibri" w:hAnsi="Calibri" w:cs="Calibri"/>
                <w:bCs/>
                <w:sz w:val="20"/>
                <w:lang w:val="cs-CZ"/>
              </w:rPr>
            </w:pPr>
            <w:r w:rsidRPr="001D5A7C">
              <w:rPr>
                <w:rFonts w:ascii="Calibri" w:hAnsi="Calibri" w:cs="Calibri"/>
                <w:bCs/>
                <w:sz w:val="20"/>
                <w:lang w:val="cs-CZ"/>
              </w:rPr>
              <w:t>Interní předpisy pro oblast Finance a účetnictví</w:t>
            </w:r>
          </w:p>
          <w:p w14:paraId="13D6E326" w14:textId="77777777" w:rsidR="00D16E1E" w:rsidRPr="006C6B8E" w:rsidRDefault="00D16E1E" w:rsidP="001D5A7C">
            <w:pPr>
              <w:pStyle w:val="Zkladntext"/>
              <w:jc w:val="left"/>
              <w:rPr>
                <w:rFonts w:ascii="Calibri" w:hAnsi="Calibri" w:cs="Calibri"/>
                <w:iCs/>
                <w:sz w:val="20"/>
              </w:rPr>
            </w:pPr>
          </w:p>
        </w:tc>
      </w:tr>
      <w:tr w:rsidR="001D5A7C" w14:paraId="5F201B1B" w14:textId="77777777" w:rsidTr="0014576C">
        <w:trPr>
          <w:trHeight w:hRule="exact" w:val="284"/>
        </w:trPr>
        <w:tc>
          <w:tcPr>
            <w:tcW w:w="562" w:type="dxa"/>
          </w:tcPr>
          <w:p w14:paraId="24FCE678" w14:textId="77777777" w:rsidR="001D5A7C" w:rsidRPr="006C6B8E" w:rsidRDefault="001D5A7C" w:rsidP="001D5A7C">
            <w:pPr>
              <w:pStyle w:val="Zkladntext"/>
              <w:rPr>
                <w:rFonts w:ascii="Calibri" w:hAnsi="Calibri" w:cs="Calibri"/>
                <w:iCs/>
                <w:sz w:val="20"/>
              </w:rPr>
            </w:pPr>
          </w:p>
        </w:tc>
        <w:tc>
          <w:tcPr>
            <w:tcW w:w="8500" w:type="dxa"/>
          </w:tcPr>
          <w:p w14:paraId="15224790" w14:textId="51A2000E" w:rsidR="001D5A7C" w:rsidRPr="001D5A7C" w:rsidRDefault="001D5A7C" w:rsidP="001D5A7C">
            <w:pPr>
              <w:pStyle w:val="Zkladntext"/>
              <w:spacing w:after="0"/>
              <w:jc w:val="left"/>
              <w:rPr>
                <w:rFonts w:ascii="Calibri" w:hAnsi="Calibri" w:cs="Calibri"/>
                <w:bCs/>
                <w:sz w:val="20"/>
                <w:lang w:val="cs-CZ"/>
              </w:rPr>
            </w:pPr>
            <w:r w:rsidRPr="00434F7B">
              <w:rPr>
                <w:rFonts w:ascii="Calibri" w:hAnsi="Calibri" w:cs="Calibri"/>
                <w:bCs/>
                <w:sz w:val="20"/>
                <w:lang w:val="cs-CZ"/>
              </w:rPr>
              <w:t>Účetní výkazy</w:t>
            </w:r>
            <w:r w:rsidR="009F1F31">
              <w:rPr>
                <w:rFonts w:ascii="Calibri" w:hAnsi="Calibri" w:cs="Calibri"/>
                <w:bCs/>
                <w:sz w:val="20"/>
                <w:lang w:val="cs-CZ"/>
              </w:rPr>
              <w:t>/ výkazy hospodaření</w:t>
            </w:r>
            <w:r w:rsidRPr="00434F7B">
              <w:rPr>
                <w:rFonts w:ascii="Calibri" w:hAnsi="Calibri" w:cs="Calibri"/>
                <w:bCs/>
                <w:sz w:val="20"/>
                <w:lang w:val="cs-CZ"/>
              </w:rPr>
              <w:t xml:space="preserve"> </w:t>
            </w:r>
            <w:r w:rsidR="00582922">
              <w:rPr>
                <w:rFonts w:ascii="Calibri" w:hAnsi="Calibri" w:cs="Calibri"/>
                <w:bCs/>
                <w:sz w:val="20"/>
                <w:lang w:val="cs-CZ"/>
              </w:rPr>
              <w:t>organizace</w:t>
            </w:r>
            <w:r w:rsidRPr="00434F7B">
              <w:rPr>
                <w:rFonts w:ascii="Calibri" w:hAnsi="Calibri" w:cs="Calibri"/>
                <w:bCs/>
                <w:sz w:val="20"/>
                <w:lang w:val="cs-CZ"/>
              </w:rPr>
              <w:t xml:space="preserve"> k 31. 12. 2022</w:t>
            </w:r>
            <w:r w:rsidR="009F1F31">
              <w:rPr>
                <w:rFonts w:ascii="Calibri" w:hAnsi="Calibri" w:cs="Calibri"/>
                <w:bCs/>
                <w:sz w:val="20"/>
                <w:lang w:val="cs-CZ"/>
              </w:rPr>
              <w:t xml:space="preserve"> </w:t>
            </w:r>
          </w:p>
        </w:tc>
      </w:tr>
      <w:tr w:rsidR="001D5A7C" w14:paraId="72670D5D" w14:textId="77777777" w:rsidTr="0014576C">
        <w:trPr>
          <w:trHeight w:hRule="exact" w:val="284"/>
        </w:trPr>
        <w:tc>
          <w:tcPr>
            <w:tcW w:w="562" w:type="dxa"/>
          </w:tcPr>
          <w:p w14:paraId="0F7E83C0" w14:textId="77777777" w:rsidR="001D5A7C" w:rsidRPr="006C6B8E" w:rsidRDefault="001D5A7C" w:rsidP="001D5A7C">
            <w:pPr>
              <w:pStyle w:val="Zkladntext"/>
              <w:rPr>
                <w:rFonts w:ascii="Calibri" w:hAnsi="Calibri" w:cs="Calibri"/>
                <w:iCs/>
                <w:sz w:val="20"/>
              </w:rPr>
            </w:pPr>
          </w:p>
        </w:tc>
        <w:tc>
          <w:tcPr>
            <w:tcW w:w="8500" w:type="dxa"/>
          </w:tcPr>
          <w:p w14:paraId="039125E2" w14:textId="1E8A6B25" w:rsidR="001D5A7C" w:rsidRPr="001D5A7C" w:rsidRDefault="001D5A7C" w:rsidP="001D5A7C">
            <w:pPr>
              <w:pStyle w:val="Zkladntext"/>
              <w:spacing w:after="0"/>
              <w:jc w:val="left"/>
              <w:rPr>
                <w:rFonts w:ascii="Calibri" w:hAnsi="Calibri" w:cs="Calibri"/>
                <w:bCs/>
                <w:sz w:val="20"/>
                <w:lang w:val="cs-CZ"/>
              </w:rPr>
            </w:pPr>
            <w:r w:rsidRPr="00434F7B">
              <w:rPr>
                <w:rFonts w:ascii="Calibri" w:hAnsi="Calibri" w:cs="Calibri"/>
                <w:bCs/>
                <w:sz w:val="20"/>
                <w:lang w:val="cs-CZ"/>
              </w:rPr>
              <w:t>Rozpočet</w:t>
            </w:r>
            <w:r w:rsidR="009F1F31">
              <w:rPr>
                <w:rFonts w:ascii="Calibri" w:hAnsi="Calibri" w:cs="Calibri"/>
                <w:bCs/>
                <w:sz w:val="20"/>
                <w:lang w:val="cs-CZ"/>
              </w:rPr>
              <w:t xml:space="preserve"> </w:t>
            </w:r>
            <w:r w:rsidRPr="00434F7B">
              <w:rPr>
                <w:rFonts w:ascii="Calibri" w:hAnsi="Calibri" w:cs="Calibri"/>
                <w:bCs/>
                <w:sz w:val="20"/>
                <w:lang w:val="cs-CZ"/>
              </w:rPr>
              <w:t>na rok</w:t>
            </w:r>
            <w:r w:rsidR="000B7FD6">
              <w:rPr>
                <w:rFonts w:ascii="Calibri" w:hAnsi="Calibri" w:cs="Calibri"/>
                <w:bCs/>
                <w:sz w:val="20"/>
                <w:lang w:val="cs-CZ"/>
              </w:rPr>
              <w:t>y 2021,</w:t>
            </w:r>
            <w:r w:rsidRPr="00434F7B">
              <w:rPr>
                <w:rFonts w:ascii="Calibri" w:hAnsi="Calibri" w:cs="Calibri"/>
                <w:bCs/>
                <w:sz w:val="20"/>
                <w:lang w:val="cs-CZ"/>
              </w:rPr>
              <w:t xml:space="preserve"> 2022 a 2023</w:t>
            </w:r>
          </w:p>
        </w:tc>
      </w:tr>
      <w:tr w:rsidR="001D5A7C" w14:paraId="6A02B41B" w14:textId="77777777" w:rsidTr="0014576C">
        <w:trPr>
          <w:trHeight w:hRule="exact" w:val="284"/>
        </w:trPr>
        <w:tc>
          <w:tcPr>
            <w:tcW w:w="562" w:type="dxa"/>
          </w:tcPr>
          <w:p w14:paraId="04CCF057" w14:textId="77777777" w:rsidR="001D5A7C" w:rsidRPr="006C6B8E" w:rsidRDefault="001D5A7C" w:rsidP="001D5A7C">
            <w:pPr>
              <w:pStyle w:val="Zkladntext"/>
              <w:rPr>
                <w:rFonts w:ascii="Calibri" w:hAnsi="Calibri" w:cs="Calibri"/>
                <w:iCs/>
                <w:sz w:val="20"/>
              </w:rPr>
            </w:pPr>
          </w:p>
        </w:tc>
        <w:tc>
          <w:tcPr>
            <w:tcW w:w="8500" w:type="dxa"/>
          </w:tcPr>
          <w:p w14:paraId="452CFD6A" w14:textId="55C9B0C5" w:rsidR="001D5A7C" w:rsidRPr="001D5A7C" w:rsidRDefault="001D5A7C" w:rsidP="001D5A7C">
            <w:pPr>
              <w:pStyle w:val="Zkladntext"/>
              <w:spacing w:after="0"/>
              <w:jc w:val="left"/>
              <w:rPr>
                <w:rFonts w:ascii="Calibri" w:hAnsi="Calibri" w:cs="Calibri"/>
                <w:bCs/>
                <w:sz w:val="20"/>
                <w:lang w:val="cs-CZ"/>
              </w:rPr>
            </w:pPr>
            <w:r w:rsidRPr="00434F7B">
              <w:rPr>
                <w:rFonts w:ascii="Calibri" w:hAnsi="Calibri" w:cs="Calibri"/>
                <w:bCs/>
                <w:sz w:val="20"/>
                <w:lang w:val="cs-CZ"/>
              </w:rPr>
              <w:t>Porovnání rozpočtu se skutečností za rok 2022 a 202</w:t>
            </w:r>
            <w:r w:rsidR="000B7FD6">
              <w:rPr>
                <w:rFonts w:ascii="Calibri" w:hAnsi="Calibri" w:cs="Calibri"/>
                <w:bCs/>
                <w:sz w:val="20"/>
                <w:lang w:val="cs-CZ"/>
              </w:rPr>
              <w:t>1</w:t>
            </w:r>
          </w:p>
        </w:tc>
      </w:tr>
      <w:tr w:rsidR="001D5A7C" w14:paraId="0BC775F8" w14:textId="77777777" w:rsidTr="0014576C">
        <w:trPr>
          <w:trHeight w:hRule="exact" w:val="284"/>
        </w:trPr>
        <w:tc>
          <w:tcPr>
            <w:tcW w:w="562" w:type="dxa"/>
          </w:tcPr>
          <w:p w14:paraId="3C943F8E" w14:textId="77777777" w:rsidR="001D5A7C" w:rsidRPr="006C6B8E" w:rsidRDefault="001D5A7C" w:rsidP="001D5A7C">
            <w:pPr>
              <w:pStyle w:val="Zkladntext"/>
              <w:rPr>
                <w:rFonts w:ascii="Calibri" w:hAnsi="Calibri" w:cs="Calibri"/>
                <w:iCs/>
                <w:sz w:val="20"/>
              </w:rPr>
            </w:pPr>
          </w:p>
        </w:tc>
        <w:tc>
          <w:tcPr>
            <w:tcW w:w="8500" w:type="dxa"/>
          </w:tcPr>
          <w:p w14:paraId="1E570780" w14:textId="4695E41C" w:rsidR="001D5A7C" w:rsidRPr="001D5A7C" w:rsidRDefault="001D5A7C" w:rsidP="001D5A7C">
            <w:pPr>
              <w:pStyle w:val="Zkladntext"/>
              <w:spacing w:after="0"/>
              <w:jc w:val="left"/>
              <w:rPr>
                <w:rFonts w:ascii="Calibri" w:hAnsi="Calibri" w:cs="Calibri"/>
                <w:bCs/>
                <w:sz w:val="20"/>
                <w:lang w:val="cs-CZ"/>
              </w:rPr>
            </w:pPr>
            <w:r w:rsidRPr="00915BB0">
              <w:rPr>
                <w:rFonts w:ascii="Calibri" w:hAnsi="Calibri" w:cs="Calibri"/>
                <w:bCs/>
                <w:sz w:val="20"/>
                <w:lang w:val="cs-CZ"/>
              </w:rPr>
              <w:t>Obratová předvaha k 31.12.2022</w:t>
            </w:r>
          </w:p>
        </w:tc>
      </w:tr>
      <w:tr w:rsidR="001D5A7C" w14:paraId="033ACFD1" w14:textId="77777777" w:rsidTr="0014576C">
        <w:trPr>
          <w:trHeight w:hRule="exact" w:val="284"/>
        </w:trPr>
        <w:tc>
          <w:tcPr>
            <w:tcW w:w="562" w:type="dxa"/>
          </w:tcPr>
          <w:p w14:paraId="56CD883A" w14:textId="77777777" w:rsidR="001D5A7C" w:rsidRPr="006C6B8E" w:rsidRDefault="001D5A7C" w:rsidP="001D5A7C">
            <w:pPr>
              <w:pStyle w:val="Zkladntext"/>
              <w:rPr>
                <w:rFonts w:ascii="Calibri" w:hAnsi="Calibri" w:cs="Calibri"/>
                <w:iCs/>
                <w:sz w:val="20"/>
              </w:rPr>
            </w:pPr>
          </w:p>
        </w:tc>
        <w:tc>
          <w:tcPr>
            <w:tcW w:w="8500" w:type="dxa"/>
          </w:tcPr>
          <w:p w14:paraId="25EFFFF3" w14:textId="7F5CDE82" w:rsidR="001D5A7C" w:rsidRPr="001D5A7C" w:rsidRDefault="001D5A7C" w:rsidP="001D5A7C">
            <w:pPr>
              <w:pStyle w:val="Zkladntext"/>
              <w:spacing w:after="0"/>
              <w:jc w:val="left"/>
              <w:rPr>
                <w:rFonts w:ascii="Calibri" w:hAnsi="Calibri" w:cs="Calibri"/>
                <w:bCs/>
                <w:sz w:val="20"/>
                <w:lang w:val="cs-CZ"/>
              </w:rPr>
            </w:pPr>
            <w:r w:rsidRPr="00915BB0">
              <w:rPr>
                <w:rFonts w:ascii="Calibri" w:hAnsi="Calibri" w:cs="Calibri"/>
                <w:bCs/>
                <w:sz w:val="20"/>
                <w:lang w:val="cs-CZ"/>
              </w:rPr>
              <w:t xml:space="preserve">Měsíční obratové předvahy za jednotlivé měsíce roku 2023 </w:t>
            </w:r>
          </w:p>
        </w:tc>
      </w:tr>
      <w:tr w:rsidR="001D5A7C" w14:paraId="3C31BE04" w14:textId="77777777" w:rsidTr="0014576C">
        <w:trPr>
          <w:trHeight w:hRule="exact" w:val="284"/>
        </w:trPr>
        <w:tc>
          <w:tcPr>
            <w:tcW w:w="562" w:type="dxa"/>
          </w:tcPr>
          <w:p w14:paraId="539CF3E2" w14:textId="77777777" w:rsidR="001D5A7C" w:rsidRPr="006C6B8E" w:rsidRDefault="001D5A7C" w:rsidP="001D5A7C">
            <w:pPr>
              <w:pStyle w:val="Zkladntext"/>
              <w:rPr>
                <w:rFonts w:ascii="Calibri" w:hAnsi="Calibri" w:cs="Calibri"/>
                <w:iCs/>
                <w:sz w:val="20"/>
              </w:rPr>
            </w:pPr>
          </w:p>
        </w:tc>
        <w:tc>
          <w:tcPr>
            <w:tcW w:w="8500" w:type="dxa"/>
          </w:tcPr>
          <w:p w14:paraId="4744F9D8" w14:textId="28D1275A" w:rsidR="001D5A7C" w:rsidRPr="001D5A7C" w:rsidRDefault="001D5A7C" w:rsidP="001D5A7C">
            <w:pPr>
              <w:pStyle w:val="Zkladntext"/>
              <w:spacing w:after="0"/>
              <w:jc w:val="left"/>
              <w:rPr>
                <w:rFonts w:ascii="Calibri" w:hAnsi="Calibri" w:cs="Calibri"/>
                <w:bCs/>
                <w:sz w:val="20"/>
                <w:lang w:val="cs-CZ"/>
              </w:rPr>
            </w:pPr>
            <w:r w:rsidRPr="00915BB0">
              <w:rPr>
                <w:rFonts w:ascii="Calibri" w:hAnsi="Calibri" w:cs="Calibri"/>
                <w:bCs/>
                <w:sz w:val="20"/>
                <w:lang w:val="cs-CZ"/>
              </w:rPr>
              <w:t>Přehled manuálních účetních zápisů do hlavní knihy za období 1.1.2022 - doposud</w:t>
            </w:r>
          </w:p>
        </w:tc>
      </w:tr>
      <w:tr w:rsidR="001D5A7C" w14:paraId="338A285F" w14:textId="77777777" w:rsidTr="0014576C">
        <w:trPr>
          <w:trHeight w:hRule="exact" w:val="284"/>
        </w:trPr>
        <w:tc>
          <w:tcPr>
            <w:tcW w:w="562" w:type="dxa"/>
          </w:tcPr>
          <w:p w14:paraId="16EA61C7" w14:textId="77777777" w:rsidR="001D5A7C" w:rsidRPr="006C6B8E" w:rsidRDefault="001D5A7C" w:rsidP="001D5A7C">
            <w:pPr>
              <w:pStyle w:val="Zkladntext"/>
              <w:rPr>
                <w:rFonts w:ascii="Calibri" w:hAnsi="Calibri" w:cs="Calibri"/>
                <w:iCs/>
                <w:sz w:val="20"/>
              </w:rPr>
            </w:pPr>
          </w:p>
        </w:tc>
        <w:tc>
          <w:tcPr>
            <w:tcW w:w="8500" w:type="dxa"/>
          </w:tcPr>
          <w:p w14:paraId="38B5DA72" w14:textId="7ADF6090" w:rsidR="001D5A7C" w:rsidRPr="001D5A7C" w:rsidRDefault="001D5A7C" w:rsidP="001D5A7C">
            <w:pPr>
              <w:pStyle w:val="Zkladntext"/>
              <w:spacing w:after="0"/>
              <w:jc w:val="left"/>
              <w:rPr>
                <w:rFonts w:ascii="Calibri" w:hAnsi="Calibri" w:cs="Calibri"/>
                <w:bCs/>
                <w:sz w:val="20"/>
                <w:lang w:val="cs-CZ"/>
              </w:rPr>
            </w:pPr>
            <w:r w:rsidRPr="00915BB0">
              <w:rPr>
                <w:rFonts w:ascii="Calibri" w:hAnsi="Calibri" w:cs="Calibri"/>
                <w:bCs/>
                <w:sz w:val="20"/>
                <w:lang w:val="cs-CZ"/>
              </w:rPr>
              <w:t>Hlavní kniha – všechny účetní zápisy za období 1.1.2022 - doposud</w:t>
            </w:r>
          </w:p>
        </w:tc>
      </w:tr>
      <w:tr w:rsidR="001D5A7C" w14:paraId="45801A99" w14:textId="77777777" w:rsidTr="0014576C">
        <w:trPr>
          <w:trHeight w:hRule="exact" w:val="284"/>
        </w:trPr>
        <w:tc>
          <w:tcPr>
            <w:tcW w:w="562" w:type="dxa"/>
          </w:tcPr>
          <w:p w14:paraId="6E5C1C53" w14:textId="77777777" w:rsidR="001D5A7C" w:rsidRPr="006C6B8E" w:rsidRDefault="001D5A7C" w:rsidP="001D5A7C">
            <w:pPr>
              <w:pStyle w:val="Zkladntext"/>
              <w:rPr>
                <w:rFonts w:ascii="Calibri" w:hAnsi="Calibri" w:cs="Calibri"/>
                <w:iCs/>
                <w:sz w:val="20"/>
              </w:rPr>
            </w:pPr>
          </w:p>
        </w:tc>
        <w:tc>
          <w:tcPr>
            <w:tcW w:w="8500" w:type="dxa"/>
          </w:tcPr>
          <w:p w14:paraId="5EB79FF3" w14:textId="523C06F5" w:rsidR="001D5A7C" w:rsidRPr="001D5A7C" w:rsidRDefault="001D5A7C" w:rsidP="001D5A7C">
            <w:pPr>
              <w:pStyle w:val="Zkladntext"/>
              <w:spacing w:after="0"/>
              <w:jc w:val="left"/>
              <w:rPr>
                <w:rFonts w:ascii="Calibri" w:hAnsi="Calibri" w:cs="Calibri"/>
                <w:bCs/>
                <w:sz w:val="20"/>
                <w:lang w:val="cs-CZ"/>
              </w:rPr>
            </w:pPr>
            <w:r w:rsidRPr="00915BB0">
              <w:rPr>
                <w:rFonts w:ascii="Calibri" w:hAnsi="Calibri" w:cs="Calibri"/>
                <w:bCs/>
                <w:sz w:val="20"/>
                <w:lang w:val="cs-CZ"/>
              </w:rPr>
              <w:t xml:space="preserve">Zápisy z jednání vedení </w:t>
            </w:r>
            <w:r w:rsidR="00385D61">
              <w:rPr>
                <w:rFonts w:ascii="Calibri" w:hAnsi="Calibri" w:cs="Calibri"/>
                <w:bCs/>
                <w:sz w:val="20"/>
                <w:lang w:val="cs-CZ"/>
              </w:rPr>
              <w:t>muzea</w:t>
            </w:r>
            <w:r w:rsidR="000B7FD6">
              <w:rPr>
                <w:rFonts w:ascii="Calibri" w:hAnsi="Calibri" w:cs="Calibri"/>
                <w:bCs/>
                <w:sz w:val="20"/>
                <w:lang w:val="cs-CZ"/>
              </w:rPr>
              <w:t>/</w:t>
            </w:r>
            <w:r w:rsidR="00385D61">
              <w:rPr>
                <w:rFonts w:ascii="Calibri" w:hAnsi="Calibri" w:cs="Calibri"/>
                <w:bCs/>
                <w:sz w:val="20"/>
                <w:lang w:val="cs-CZ"/>
              </w:rPr>
              <w:t xml:space="preserve"> zřizovatele</w:t>
            </w:r>
            <w:r w:rsidRPr="00915BB0">
              <w:rPr>
                <w:rFonts w:ascii="Calibri" w:hAnsi="Calibri" w:cs="Calibri"/>
                <w:bCs/>
                <w:sz w:val="20"/>
                <w:lang w:val="cs-CZ"/>
              </w:rPr>
              <w:t xml:space="preserve"> konané od 1.1.2022 doposud</w:t>
            </w:r>
          </w:p>
        </w:tc>
      </w:tr>
      <w:tr w:rsidR="001D5A7C" w14:paraId="4BB32E98" w14:textId="77777777" w:rsidTr="0014576C">
        <w:trPr>
          <w:trHeight w:hRule="exact" w:val="284"/>
        </w:trPr>
        <w:tc>
          <w:tcPr>
            <w:tcW w:w="562" w:type="dxa"/>
          </w:tcPr>
          <w:p w14:paraId="759D39F5" w14:textId="77777777" w:rsidR="001D5A7C" w:rsidRPr="006C6B8E" w:rsidRDefault="001D5A7C" w:rsidP="001D5A7C">
            <w:pPr>
              <w:pStyle w:val="Zkladntext"/>
              <w:rPr>
                <w:rFonts w:ascii="Calibri" w:hAnsi="Calibri" w:cs="Calibri"/>
                <w:iCs/>
                <w:sz w:val="20"/>
              </w:rPr>
            </w:pPr>
          </w:p>
        </w:tc>
        <w:tc>
          <w:tcPr>
            <w:tcW w:w="8500" w:type="dxa"/>
          </w:tcPr>
          <w:p w14:paraId="65AA1A63" w14:textId="77777777" w:rsidR="00582922" w:rsidRPr="001D5A7C" w:rsidRDefault="00582922" w:rsidP="00582922">
            <w:pPr>
              <w:pStyle w:val="Zkladntext"/>
              <w:spacing w:after="0"/>
              <w:jc w:val="left"/>
              <w:rPr>
                <w:rFonts w:ascii="Calibri" w:hAnsi="Calibri" w:cs="Calibri"/>
                <w:bCs/>
                <w:sz w:val="20"/>
                <w:lang w:val="cs-CZ"/>
              </w:rPr>
            </w:pPr>
            <w:r w:rsidRPr="001D5A7C">
              <w:rPr>
                <w:rFonts w:ascii="Calibri" w:hAnsi="Calibri" w:cs="Calibri"/>
                <w:bCs/>
                <w:sz w:val="20"/>
                <w:lang w:val="cs-CZ"/>
              </w:rPr>
              <w:t xml:space="preserve">Přehled významných změn v účetním systému a systémech souvisejících </w:t>
            </w:r>
          </w:p>
          <w:p w14:paraId="2BC550A2" w14:textId="77777777" w:rsidR="001D5A7C" w:rsidRPr="00915BB0" w:rsidRDefault="001D5A7C" w:rsidP="001D5A7C">
            <w:pPr>
              <w:pStyle w:val="Zkladntext"/>
              <w:spacing w:after="0"/>
              <w:jc w:val="left"/>
              <w:rPr>
                <w:rFonts w:ascii="Calibri" w:hAnsi="Calibri" w:cs="Calibri"/>
                <w:bCs/>
                <w:sz w:val="20"/>
                <w:lang w:val="cs-CZ"/>
              </w:rPr>
            </w:pPr>
          </w:p>
        </w:tc>
      </w:tr>
      <w:tr w:rsidR="001D5A7C" w14:paraId="05CC3E3F" w14:textId="77777777" w:rsidTr="00B43495">
        <w:trPr>
          <w:trHeight w:hRule="exact" w:val="566"/>
        </w:trPr>
        <w:tc>
          <w:tcPr>
            <w:tcW w:w="562" w:type="dxa"/>
          </w:tcPr>
          <w:p w14:paraId="0113255F" w14:textId="77777777" w:rsidR="001D5A7C" w:rsidRPr="006C6B8E" w:rsidRDefault="001D5A7C" w:rsidP="001D5A7C">
            <w:pPr>
              <w:pStyle w:val="Zkladntext"/>
              <w:rPr>
                <w:rFonts w:ascii="Calibri" w:hAnsi="Calibri" w:cs="Calibri"/>
                <w:iCs/>
                <w:sz w:val="20"/>
              </w:rPr>
            </w:pPr>
          </w:p>
        </w:tc>
        <w:tc>
          <w:tcPr>
            <w:tcW w:w="8500" w:type="dxa"/>
          </w:tcPr>
          <w:p w14:paraId="7D495BB1" w14:textId="77777777" w:rsidR="00B43495" w:rsidRPr="00582922" w:rsidRDefault="00B43495" w:rsidP="00B43495">
            <w:pPr>
              <w:pStyle w:val="Zkladntext"/>
              <w:spacing w:after="0"/>
              <w:jc w:val="left"/>
              <w:rPr>
                <w:rFonts w:ascii="Calibri" w:hAnsi="Calibri" w:cs="Calibri"/>
                <w:bCs/>
                <w:sz w:val="20"/>
                <w:lang w:val="cs-CZ"/>
              </w:rPr>
            </w:pPr>
            <w:r w:rsidRPr="00582922">
              <w:rPr>
                <w:rFonts w:ascii="Calibri" w:hAnsi="Calibri" w:cs="Calibri"/>
                <w:bCs/>
                <w:sz w:val="20"/>
                <w:lang w:val="cs-CZ"/>
              </w:rPr>
              <w:t>Dokumentace k internímu kontrolnímu systému a obchodním procesům ve společnosti – včetně zpráv ze šetření finančního úřadu, správy sociálního zabezpečení a případně dalších státních orgánů</w:t>
            </w:r>
          </w:p>
          <w:p w14:paraId="568D4CE8" w14:textId="77777777" w:rsidR="001D5A7C" w:rsidRPr="00915BB0" w:rsidRDefault="001D5A7C" w:rsidP="001D5A7C">
            <w:pPr>
              <w:pStyle w:val="Zkladntext"/>
              <w:spacing w:after="0"/>
              <w:jc w:val="left"/>
              <w:rPr>
                <w:rFonts w:ascii="Calibri" w:hAnsi="Calibri" w:cs="Calibri"/>
                <w:bCs/>
                <w:sz w:val="20"/>
                <w:lang w:val="cs-CZ"/>
              </w:rPr>
            </w:pPr>
          </w:p>
        </w:tc>
      </w:tr>
      <w:tr w:rsidR="001D5A7C" w14:paraId="3811F463" w14:textId="77777777" w:rsidTr="0014576C">
        <w:trPr>
          <w:trHeight w:hRule="exact" w:val="284"/>
        </w:trPr>
        <w:tc>
          <w:tcPr>
            <w:tcW w:w="562" w:type="dxa"/>
          </w:tcPr>
          <w:p w14:paraId="5E31E484" w14:textId="77777777" w:rsidR="001D5A7C" w:rsidRPr="006C6B8E" w:rsidRDefault="001D5A7C" w:rsidP="001D5A7C">
            <w:pPr>
              <w:pStyle w:val="Zkladntext"/>
              <w:rPr>
                <w:rFonts w:ascii="Calibri" w:hAnsi="Calibri" w:cs="Calibri"/>
                <w:iCs/>
                <w:sz w:val="20"/>
              </w:rPr>
            </w:pPr>
          </w:p>
        </w:tc>
        <w:tc>
          <w:tcPr>
            <w:tcW w:w="8500" w:type="dxa"/>
          </w:tcPr>
          <w:p w14:paraId="5EA42F99" w14:textId="79B1AC19" w:rsidR="00B43495" w:rsidRPr="00582922" w:rsidRDefault="00B43495" w:rsidP="00B43495">
            <w:pPr>
              <w:pStyle w:val="Zkladntext"/>
              <w:spacing w:after="0"/>
              <w:jc w:val="left"/>
              <w:rPr>
                <w:rFonts w:ascii="Calibri" w:hAnsi="Calibri" w:cs="Calibri"/>
                <w:bCs/>
                <w:sz w:val="20"/>
                <w:lang w:val="cs-CZ"/>
              </w:rPr>
            </w:pPr>
            <w:r w:rsidRPr="00582922">
              <w:rPr>
                <w:rFonts w:ascii="Calibri" w:hAnsi="Calibri" w:cs="Calibri"/>
                <w:bCs/>
                <w:sz w:val="20"/>
                <w:lang w:val="cs-CZ"/>
              </w:rPr>
              <w:t xml:space="preserve">Organizační struktura </w:t>
            </w:r>
            <w:r w:rsidR="000B7FD6">
              <w:rPr>
                <w:rFonts w:ascii="Calibri" w:hAnsi="Calibri" w:cs="Calibri"/>
                <w:bCs/>
                <w:sz w:val="20"/>
                <w:lang w:val="cs-CZ"/>
              </w:rPr>
              <w:t>muzea</w:t>
            </w:r>
          </w:p>
          <w:p w14:paraId="3B188E25" w14:textId="77777777" w:rsidR="001D5A7C" w:rsidRPr="00915BB0" w:rsidRDefault="001D5A7C" w:rsidP="001D5A7C">
            <w:pPr>
              <w:pStyle w:val="Zkladntext"/>
              <w:spacing w:after="0"/>
              <w:jc w:val="left"/>
              <w:rPr>
                <w:rFonts w:ascii="Calibri" w:hAnsi="Calibri" w:cs="Calibri"/>
                <w:bCs/>
                <w:sz w:val="20"/>
                <w:lang w:val="cs-CZ"/>
              </w:rPr>
            </w:pPr>
          </w:p>
        </w:tc>
      </w:tr>
      <w:tr w:rsidR="00B43495" w14:paraId="326BD229" w14:textId="77777777" w:rsidTr="0014576C">
        <w:trPr>
          <w:trHeight w:hRule="exact" w:val="284"/>
        </w:trPr>
        <w:tc>
          <w:tcPr>
            <w:tcW w:w="562" w:type="dxa"/>
          </w:tcPr>
          <w:p w14:paraId="4AF2F447" w14:textId="77777777" w:rsidR="00B43495" w:rsidRPr="006C6B8E" w:rsidRDefault="00B43495" w:rsidP="00B43495">
            <w:pPr>
              <w:pStyle w:val="Zkladntext"/>
              <w:rPr>
                <w:rFonts w:ascii="Calibri" w:hAnsi="Calibri" w:cs="Calibri"/>
                <w:iCs/>
                <w:sz w:val="20"/>
              </w:rPr>
            </w:pPr>
          </w:p>
        </w:tc>
        <w:tc>
          <w:tcPr>
            <w:tcW w:w="8500" w:type="dxa"/>
          </w:tcPr>
          <w:p w14:paraId="65922394" w14:textId="4A984F94" w:rsidR="00B43495" w:rsidRPr="00915BB0" w:rsidRDefault="00B43495" w:rsidP="00B43495">
            <w:pPr>
              <w:pStyle w:val="Zkladntext"/>
              <w:spacing w:after="0"/>
              <w:jc w:val="left"/>
              <w:rPr>
                <w:rFonts w:ascii="Calibri" w:hAnsi="Calibri" w:cs="Calibri"/>
                <w:bCs/>
                <w:sz w:val="20"/>
                <w:lang w:val="cs-CZ"/>
              </w:rPr>
            </w:pPr>
            <w:r w:rsidRPr="0064782C">
              <w:rPr>
                <w:rFonts w:ascii="Calibri" w:hAnsi="Calibri" w:cs="Calibri"/>
                <w:bCs/>
                <w:sz w:val="20"/>
                <w:lang w:val="cs-CZ"/>
              </w:rPr>
              <w:t>Seznam osob odpovědných za jednotlivé úseky Finance a účetnictví vč. jejich zastupitelnosti</w:t>
            </w:r>
          </w:p>
        </w:tc>
      </w:tr>
      <w:tr w:rsidR="00B43495" w14:paraId="099C7AFA" w14:textId="77777777" w:rsidTr="00B43495">
        <w:trPr>
          <w:trHeight w:hRule="exact" w:val="526"/>
        </w:trPr>
        <w:tc>
          <w:tcPr>
            <w:tcW w:w="562" w:type="dxa"/>
          </w:tcPr>
          <w:p w14:paraId="3C4F87AE" w14:textId="77777777" w:rsidR="00B43495" w:rsidRPr="006C6B8E" w:rsidRDefault="00B43495" w:rsidP="00B43495">
            <w:pPr>
              <w:pStyle w:val="Zkladntext"/>
              <w:rPr>
                <w:rFonts w:ascii="Calibri" w:hAnsi="Calibri" w:cs="Calibri"/>
                <w:iCs/>
                <w:sz w:val="20"/>
              </w:rPr>
            </w:pPr>
          </w:p>
        </w:tc>
        <w:tc>
          <w:tcPr>
            <w:tcW w:w="8500" w:type="dxa"/>
          </w:tcPr>
          <w:p w14:paraId="5214F8E0" w14:textId="1F82D5F7" w:rsidR="00B43495" w:rsidRPr="00915BB0" w:rsidRDefault="00B43495" w:rsidP="00B43495">
            <w:pPr>
              <w:pStyle w:val="Zkladntext"/>
              <w:spacing w:after="0"/>
              <w:jc w:val="left"/>
              <w:rPr>
                <w:rFonts w:ascii="Calibri" w:hAnsi="Calibri" w:cs="Calibri"/>
                <w:bCs/>
                <w:sz w:val="20"/>
                <w:lang w:val="cs-CZ"/>
              </w:rPr>
            </w:pPr>
            <w:r w:rsidRPr="0064782C">
              <w:rPr>
                <w:rFonts w:ascii="Calibri" w:hAnsi="Calibri" w:cs="Calibri"/>
                <w:bCs/>
                <w:sz w:val="20"/>
                <w:lang w:val="cs-CZ"/>
              </w:rPr>
              <w:t>Registr hmotného a nehmotného majetku zahrnující jak účetní, tak daňové odpisy a oprávky a zůstatkovou cenu k 31.12.2022</w:t>
            </w:r>
          </w:p>
        </w:tc>
      </w:tr>
      <w:tr w:rsidR="00B43495" w14:paraId="5DB2748C" w14:textId="77777777" w:rsidTr="0014576C">
        <w:trPr>
          <w:trHeight w:hRule="exact" w:val="284"/>
        </w:trPr>
        <w:tc>
          <w:tcPr>
            <w:tcW w:w="562" w:type="dxa"/>
          </w:tcPr>
          <w:p w14:paraId="5016F912" w14:textId="77777777" w:rsidR="00B43495" w:rsidRPr="006C6B8E" w:rsidRDefault="00B43495" w:rsidP="00B43495">
            <w:pPr>
              <w:pStyle w:val="Zkladntext"/>
              <w:rPr>
                <w:rFonts w:ascii="Calibri" w:hAnsi="Calibri" w:cs="Calibri"/>
                <w:iCs/>
                <w:sz w:val="20"/>
              </w:rPr>
            </w:pPr>
          </w:p>
        </w:tc>
        <w:tc>
          <w:tcPr>
            <w:tcW w:w="8500" w:type="dxa"/>
          </w:tcPr>
          <w:p w14:paraId="1C5E0354" w14:textId="795724CA" w:rsidR="00B43495" w:rsidRPr="001D5A7C" w:rsidRDefault="00B43495" w:rsidP="00B43495">
            <w:pPr>
              <w:pStyle w:val="Zkladntext"/>
              <w:spacing w:after="0"/>
              <w:jc w:val="left"/>
              <w:rPr>
                <w:rFonts w:ascii="Calibri" w:hAnsi="Calibri" w:cs="Calibri"/>
                <w:bCs/>
                <w:sz w:val="20"/>
                <w:lang w:val="cs-CZ"/>
              </w:rPr>
            </w:pPr>
            <w:r w:rsidRPr="0064782C">
              <w:rPr>
                <w:rFonts w:ascii="Calibri" w:hAnsi="Calibri" w:cs="Calibri"/>
                <w:bCs/>
                <w:sz w:val="20"/>
                <w:lang w:val="cs-CZ"/>
              </w:rPr>
              <w:t>Protokol o provedené inventuře majetku (pokud byla v průběhu roku 2022 nějaká provedena)</w:t>
            </w:r>
          </w:p>
        </w:tc>
      </w:tr>
      <w:tr w:rsidR="00B43495" w14:paraId="4CD58716" w14:textId="77777777" w:rsidTr="0014576C">
        <w:trPr>
          <w:trHeight w:hRule="exact" w:val="284"/>
        </w:trPr>
        <w:tc>
          <w:tcPr>
            <w:tcW w:w="562" w:type="dxa"/>
          </w:tcPr>
          <w:p w14:paraId="298D45F8" w14:textId="77777777" w:rsidR="00B43495" w:rsidRPr="006C6B8E" w:rsidRDefault="00B43495" w:rsidP="00B43495">
            <w:pPr>
              <w:pStyle w:val="Zkladntext"/>
              <w:rPr>
                <w:rFonts w:ascii="Calibri" w:hAnsi="Calibri" w:cs="Calibri"/>
                <w:iCs/>
                <w:sz w:val="20"/>
              </w:rPr>
            </w:pPr>
          </w:p>
        </w:tc>
        <w:tc>
          <w:tcPr>
            <w:tcW w:w="8500" w:type="dxa"/>
          </w:tcPr>
          <w:p w14:paraId="2CCD3391" w14:textId="77777777" w:rsidR="00A0447D" w:rsidRPr="001D5A7C" w:rsidRDefault="00A0447D" w:rsidP="00A0447D">
            <w:pPr>
              <w:pStyle w:val="Zkladntext"/>
              <w:spacing w:after="0"/>
              <w:jc w:val="left"/>
              <w:rPr>
                <w:rFonts w:ascii="Calibri" w:hAnsi="Calibri" w:cs="Calibri"/>
                <w:bCs/>
                <w:sz w:val="20"/>
                <w:lang w:val="cs-CZ"/>
              </w:rPr>
            </w:pPr>
            <w:r w:rsidRPr="001D5A7C">
              <w:rPr>
                <w:rFonts w:ascii="Calibri" w:hAnsi="Calibri" w:cs="Calibri"/>
                <w:bCs/>
                <w:sz w:val="20"/>
                <w:lang w:val="cs-CZ"/>
              </w:rPr>
              <w:t>Kopie bankovních výpisů k bankovním účtům k 31.12.2022</w:t>
            </w:r>
          </w:p>
          <w:p w14:paraId="2BC2020D" w14:textId="77777777" w:rsidR="00B43495" w:rsidRPr="0064782C" w:rsidRDefault="00B43495" w:rsidP="00B43495">
            <w:pPr>
              <w:pStyle w:val="Zkladntext"/>
              <w:spacing w:after="0"/>
              <w:jc w:val="left"/>
              <w:rPr>
                <w:rFonts w:ascii="Calibri" w:hAnsi="Calibri" w:cs="Calibri"/>
                <w:bCs/>
                <w:sz w:val="20"/>
                <w:lang w:val="cs-CZ"/>
              </w:rPr>
            </w:pPr>
          </w:p>
        </w:tc>
      </w:tr>
      <w:tr w:rsidR="00B43495" w14:paraId="69C67053" w14:textId="77777777" w:rsidTr="0014576C">
        <w:trPr>
          <w:trHeight w:hRule="exact" w:val="284"/>
        </w:trPr>
        <w:tc>
          <w:tcPr>
            <w:tcW w:w="562" w:type="dxa"/>
          </w:tcPr>
          <w:p w14:paraId="55A0AE11" w14:textId="77777777" w:rsidR="00B43495" w:rsidRPr="006C6B8E" w:rsidRDefault="00B43495" w:rsidP="00B43495">
            <w:pPr>
              <w:pStyle w:val="Zkladntext"/>
              <w:rPr>
                <w:rFonts w:ascii="Calibri" w:hAnsi="Calibri" w:cs="Calibri"/>
                <w:iCs/>
                <w:sz w:val="20"/>
              </w:rPr>
            </w:pPr>
          </w:p>
        </w:tc>
        <w:tc>
          <w:tcPr>
            <w:tcW w:w="8500" w:type="dxa"/>
          </w:tcPr>
          <w:p w14:paraId="5AC91858" w14:textId="77777777" w:rsidR="00A0447D" w:rsidRPr="001D5A7C" w:rsidRDefault="00A0447D" w:rsidP="00A0447D">
            <w:pPr>
              <w:pStyle w:val="Zkladntext"/>
              <w:spacing w:after="0"/>
              <w:jc w:val="left"/>
              <w:rPr>
                <w:rFonts w:ascii="Calibri" w:hAnsi="Calibri" w:cs="Calibri"/>
                <w:bCs/>
                <w:sz w:val="20"/>
                <w:lang w:val="cs-CZ"/>
              </w:rPr>
            </w:pPr>
            <w:r w:rsidRPr="001D5A7C">
              <w:rPr>
                <w:rFonts w:ascii="Calibri" w:hAnsi="Calibri" w:cs="Calibri"/>
                <w:bCs/>
                <w:sz w:val="20"/>
                <w:lang w:val="cs-CZ"/>
              </w:rPr>
              <w:t>Auditní zprávy týkající se Financí a účetnictví za poslední 3 roky</w:t>
            </w:r>
          </w:p>
          <w:p w14:paraId="1042B27F" w14:textId="77777777" w:rsidR="00B43495" w:rsidRPr="0064782C" w:rsidRDefault="00B43495" w:rsidP="00B43495">
            <w:pPr>
              <w:pStyle w:val="Zkladntext"/>
              <w:spacing w:after="0"/>
              <w:jc w:val="left"/>
              <w:rPr>
                <w:rFonts w:ascii="Calibri" w:hAnsi="Calibri" w:cs="Calibri"/>
                <w:bCs/>
                <w:sz w:val="20"/>
                <w:lang w:val="cs-CZ"/>
              </w:rPr>
            </w:pPr>
          </w:p>
        </w:tc>
      </w:tr>
      <w:tr w:rsidR="00D16E1E" w14:paraId="3FC0EB09" w14:textId="77777777" w:rsidTr="0014576C">
        <w:trPr>
          <w:trHeight w:hRule="exact" w:val="284"/>
        </w:trPr>
        <w:tc>
          <w:tcPr>
            <w:tcW w:w="562" w:type="dxa"/>
          </w:tcPr>
          <w:p w14:paraId="42304689" w14:textId="77777777" w:rsidR="00D16E1E" w:rsidRPr="006C6B8E" w:rsidRDefault="00D16E1E" w:rsidP="0014576C">
            <w:pPr>
              <w:pStyle w:val="Zkladntext"/>
              <w:rPr>
                <w:rFonts w:ascii="Calibri" w:hAnsi="Calibri" w:cs="Calibri"/>
                <w:iCs/>
                <w:sz w:val="20"/>
              </w:rPr>
            </w:pPr>
          </w:p>
        </w:tc>
        <w:tc>
          <w:tcPr>
            <w:tcW w:w="8500" w:type="dxa"/>
          </w:tcPr>
          <w:p w14:paraId="510ECC50" w14:textId="77777777" w:rsidR="00D16E1E" w:rsidRPr="006C6B8E" w:rsidRDefault="00D16E1E" w:rsidP="0014576C">
            <w:pPr>
              <w:pStyle w:val="Zkladntext"/>
              <w:rPr>
                <w:rFonts w:ascii="Calibri" w:hAnsi="Calibri" w:cs="Calibri"/>
                <w:iCs/>
                <w:sz w:val="20"/>
              </w:rPr>
            </w:pPr>
          </w:p>
        </w:tc>
      </w:tr>
      <w:tr w:rsidR="00D16E1E" w14:paraId="00CE8CD3" w14:textId="77777777" w:rsidTr="0014576C">
        <w:trPr>
          <w:trHeight w:hRule="exact" w:val="284"/>
        </w:trPr>
        <w:tc>
          <w:tcPr>
            <w:tcW w:w="562" w:type="dxa"/>
          </w:tcPr>
          <w:p w14:paraId="6705872B" w14:textId="77777777" w:rsidR="00D16E1E" w:rsidRPr="006C6B8E" w:rsidRDefault="00D16E1E" w:rsidP="0014576C">
            <w:pPr>
              <w:pStyle w:val="Zkladntext"/>
              <w:rPr>
                <w:rFonts w:ascii="Calibri" w:hAnsi="Calibri" w:cs="Calibri"/>
                <w:iCs/>
                <w:sz w:val="20"/>
              </w:rPr>
            </w:pPr>
          </w:p>
        </w:tc>
        <w:tc>
          <w:tcPr>
            <w:tcW w:w="8500" w:type="dxa"/>
          </w:tcPr>
          <w:p w14:paraId="5A1F60B9" w14:textId="77777777" w:rsidR="00D16E1E" w:rsidRPr="00FB0F31" w:rsidRDefault="00D16E1E" w:rsidP="0014576C">
            <w:pPr>
              <w:pStyle w:val="Zkladntext"/>
              <w:rPr>
                <w:rFonts w:ascii="Calibri" w:hAnsi="Calibri" w:cs="Calibri"/>
                <w:b/>
                <w:bCs/>
                <w:iCs/>
                <w:sz w:val="20"/>
              </w:rPr>
            </w:pPr>
            <w:proofErr w:type="spellStart"/>
            <w:r w:rsidRPr="00FB0F31">
              <w:rPr>
                <w:rFonts w:ascii="Calibri" w:hAnsi="Calibri" w:cs="Calibri"/>
                <w:b/>
                <w:bCs/>
                <w:iCs/>
                <w:sz w:val="20"/>
              </w:rPr>
              <w:t>Dokumenty</w:t>
            </w:r>
            <w:proofErr w:type="spellEnd"/>
            <w:r w:rsidRPr="00FB0F31">
              <w:rPr>
                <w:rFonts w:ascii="Calibri" w:hAnsi="Calibri" w:cs="Calibri"/>
                <w:b/>
                <w:bCs/>
                <w:iCs/>
                <w:sz w:val="20"/>
              </w:rPr>
              <w:t xml:space="preserve"> pro </w:t>
            </w:r>
            <w:proofErr w:type="spellStart"/>
            <w:r w:rsidRPr="00FB0F31">
              <w:rPr>
                <w:rFonts w:ascii="Calibri" w:hAnsi="Calibri" w:cs="Calibri"/>
                <w:b/>
                <w:bCs/>
                <w:iCs/>
                <w:sz w:val="20"/>
              </w:rPr>
              <w:t>revizi</w:t>
            </w:r>
            <w:proofErr w:type="spellEnd"/>
            <w:r w:rsidRPr="00FB0F31">
              <w:rPr>
                <w:rFonts w:ascii="Calibri" w:hAnsi="Calibri" w:cs="Calibri"/>
                <w:b/>
                <w:bCs/>
                <w:iCs/>
                <w:sz w:val="20"/>
              </w:rPr>
              <w:t xml:space="preserve"> </w:t>
            </w:r>
            <w:proofErr w:type="spellStart"/>
            <w:r w:rsidRPr="00FB0F31">
              <w:rPr>
                <w:rFonts w:ascii="Calibri" w:hAnsi="Calibri" w:cs="Calibri"/>
                <w:b/>
                <w:bCs/>
                <w:iCs/>
                <w:sz w:val="20"/>
              </w:rPr>
              <w:t>procesů</w:t>
            </w:r>
            <w:proofErr w:type="spellEnd"/>
            <w:r w:rsidRPr="00FB0F31">
              <w:rPr>
                <w:rFonts w:ascii="Calibri" w:hAnsi="Calibri" w:cs="Calibri"/>
                <w:b/>
                <w:bCs/>
                <w:iCs/>
                <w:sz w:val="20"/>
              </w:rPr>
              <w:t xml:space="preserve"> v </w:t>
            </w:r>
            <w:proofErr w:type="spellStart"/>
            <w:r w:rsidRPr="00FB0F31">
              <w:rPr>
                <w:rFonts w:ascii="Calibri" w:hAnsi="Calibri" w:cs="Calibri"/>
                <w:b/>
                <w:bCs/>
                <w:iCs/>
                <w:sz w:val="20"/>
              </w:rPr>
              <w:t>oblasti</w:t>
            </w:r>
            <w:proofErr w:type="spellEnd"/>
            <w:r w:rsidRPr="00FB0F31">
              <w:rPr>
                <w:rFonts w:ascii="Calibri" w:hAnsi="Calibri" w:cs="Calibri"/>
                <w:b/>
                <w:bCs/>
                <w:iCs/>
                <w:sz w:val="20"/>
              </w:rPr>
              <w:t xml:space="preserve"> IT</w:t>
            </w:r>
            <w:r>
              <w:rPr>
                <w:rFonts w:ascii="Calibri" w:hAnsi="Calibri" w:cs="Calibri"/>
                <w:b/>
                <w:bCs/>
                <w:iCs/>
                <w:sz w:val="20"/>
              </w:rPr>
              <w:t>:</w:t>
            </w:r>
          </w:p>
        </w:tc>
      </w:tr>
      <w:tr w:rsidR="00D16E1E" w14:paraId="7586AC16" w14:textId="77777777" w:rsidTr="0014576C">
        <w:trPr>
          <w:trHeight w:hRule="exact" w:val="284"/>
        </w:trPr>
        <w:tc>
          <w:tcPr>
            <w:tcW w:w="562" w:type="dxa"/>
          </w:tcPr>
          <w:p w14:paraId="0EFD388C" w14:textId="77777777" w:rsidR="00D16E1E" w:rsidRPr="006C6B8E" w:rsidRDefault="00D16E1E" w:rsidP="0014576C">
            <w:pPr>
              <w:pStyle w:val="Zkladntext"/>
              <w:rPr>
                <w:rFonts w:ascii="Calibri" w:hAnsi="Calibri" w:cs="Calibri"/>
                <w:iCs/>
                <w:sz w:val="20"/>
              </w:rPr>
            </w:pPr>
          </w:p>
        </w:tc>
        <w:tc>
          <w:tcPr>
            <w:tcW w:w="8500" w:type="dxa"/>
          </w:tcPr>
          <w:p w14:paraId="236F07B0"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Seznam</w:t>
            </w:r>
            <w:proofErr w:type="spellEnd"/>
            <w:r w:rsidRPr="00963440">
              <w:rPr>
                <w:rFonts w:ascii="Calibri" w:hAnsi="Calibri" w:cs="Calibri"/>
                <w:iCs/>
                <w:sz w:val="20"/>
              </w:rPr>
              <w:t xml:space="preserve"> </w:t>
            </w:r>
            <w:proofErr w:type="spellStart"/>
            <w:r w:rsidRPr="00963440">
              <w:rPr>
                <w:rFonts w:ascii="Calibri" w:hAnsi="Calibri" w:cs="Calibri"/>
                <w:iCs/>
                <w:sz w:val="20"/>
              </w:rPr>
              <w:t>interních</w:t>
            </w:r>
            <w:proofErr w:type="spellEnd"/>
            <w:r w:rsidRPr="00963440">
              <w:rPr>
                <w:rFonts w:ascii="Calibri" w:hAnsi="Calibri" w:cs="Calibri"/>
                <w:iCs/>
                <w:sz w:val="20"/>
              </w:rPr>
              <w:t xml:space="preserve"> </w:t>
            </w:r>
            <w:proofErr w:type="spellStart"/>
            <w:r w:rsidRPr="00963440">
              <w:rPr>
                <w:rFonts w:ascii="Calibri" w:hAnsi="Calibri" w:cs="Calibri"/>
                <w:iCs/>
                <w:sz w:val="20"/>
              </w:rPr>
              <w:t>předpisů</w:t>
            </w:r>
            <w:proofErr w:type="spellEnd"/>
            <w:r w:rsidRPr="00963440">
              <w:rPr>
                <w:rFonts w:ascii="Calibri" w:hAnsi="Calibri" w:cs="Calibri"/>
                <w:iCs/>
                <w:sz w:val="20"/>
              </w:rPr>
              <w:t xml:space="preserve"> pro oblast IT a IT </w:t>
            </w:r>
            <w:proofErr w:type="spellStart"/>
            <w:r w:rsidRPr="00963440">
              <w:rPr>
                <w:rFonts w:ascii="Calibri" w:hAnsi="Calibri" w:cs="Calibri"/>
                <w:iCs/>
                <w:sz w:val="20"/>
              </w:rPr>
              <w:t>bezpečnosti</w:t>
            </w:r>
            <w:proofErr w:type="spellEnd"/>
            <w:r w:rsidRPr="00963440">
              <w:rPr>
                <w:rFonts w:ascii="Calibri" w:hAnsi="Calibri" w:cs="Calibri"/>
                <w:iCs/>
                <w:sz w:val="20"/>
              </w:rPr>
              <w:t xml:space="preserve"> + print screen z </w:t>
            </w:r>
            <w:proofErr w:type="spellStart"/>
            <w:r w:rsidRPr="00963440">
              <w:rPr>
                <w:rFonts w:ascii="Calibri" w:hAnsi="Calibri" w:cs="Calibri"/>
                <w:iCs/>
                <w:sz w:val="20"/>
              </w:rPr>
              <w:t>Intranetu</w:t>
            </w:r>
            <w:proofErr w:type="spellEnd"/>
            <w:r w:rsidRPr="00963440">
              <w:rPr>
                <w:rFonts w:ascii="Calibri" w:hAnsi="Calibri" w:cs="Calibri"/>
                <w:iCs/>
                <w:sz w:val="20"/>
              </w:rPr>
              <w:t xml:space="preserve">, </w:t>
            </w:r>
            <w:proofErr w:type="spellStart"/>
            <w:r w:rsidRPr="00963440">
              <w:rPr>
                <w:rFonts w:ascii="Calibri" w:hAnsi="Calibri" w:cs="Calibri"/>
                <w:iCs/>
                <w:sz w:val="20"/>
              </w:rPr>
              <w:t>kde</w:t>
            </w:r>
            <w:proofErr w:type="spellEnd"/>
            <w:r w:rsidRPr="00963440">
              <w:rPr>
                <w:rFonts w:ascii="Calibri" w:hAnsi="Calibri" w:cs="Calibri"/>
                <w:iCs/>
                <w:sz w:val="20"/>
              </w:rPr>
              <w:t xml:space="preserve"> </w:t>
            </w:r>
            <w:proofErr w:type="spellStart"/>
            <w:r w:rsidRPr="00963440">
              <w:rPr>
                <w:rFonts w:ascii="Calibri" w:hAnsi="Calibri" w:cs="Calibri"/>
                <w:iCs/>
                <w:sz w:val="20"/>
              </w:rPr>
              <w:t>jsou</w:t>
            </w:r>
            <w:proofErr w:type="spellEnd"/>
            <w:r w:rsidRPr="00963440">
              <w:rPr>
                <w:rFonts w:ascii="Calibri" w:hAnsi="Calibri" w:cs="Calibri"/>
                <w:iCs/>
                <w:sz w:val="20"/>
              </w:rPr>
              <w:t xml:space="preserve"> </w:t>
            </w:r>
            <w:proofErr w:type="spellStart"/>
            <w:r w:rsidRPr="00963440">
              <w:rPr>
                <w:rFonts w:ascii="Calibri" w:hAnsi="Calibri" w:cs="Calibri"/>
                <w:iCs/>
                <w:sz w:val="20"/>
              </w:rPr>
              <w:t>publikovány</w:t>
            </w:r>
            <w:proofErr w:type="spellEnd"/>
          </w:p>
        </w:tc>
      </w:tr>
      <w:tr w:rsidR="00D16E1E" w14:paraId="70DAA07B" w14:textId="77777777" w:rsidTr="0014576C">
        <w:trPr>
          <w:trHeight w:hRule="exact" w:val="284"/>
        </w:trPr>
        <w:tc>
          <w:tcPr>
            <w:tcW w:w="562" w:type="dxa"/>
          </w:tcPr>
          <w:p w14:paraId="4A84B294" w14:textId="77777777" w:rsidR="00D16E1E" w:rsidRPr="006C6B8E" w:rsidRDefault="00D16E1E" w:rsidP="0014576C">
            <w:pPr>
              <w:pStyle w:val="Zkladntext"/>
              <w:rPr>
                <w:rFonts w:ascii="Calibri" w:hAnsi="Calibri" w:cs="Calibri"/>
                <w:iCs/>
                <w:sz w:val="20"/>
              </w:rPr>
            </w:pPr>
          </w:p>
        </w:tc>
        <w:tc>
          <w:tcPr>
            <w:tcW w:w="8500" w:type="dxa"/>
          </w:tcPr>
          <w:p w14:paraId="5FC3AD42"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Interní</w:t>
            </w:r>
            <w:proofErr w:type="spellEnd"/>
            <w:r w:rsidRPr="00963440">
              <w:rPr>
                <w:rFonts w:ascii="Calibri" w:hAnsi="Calibri" w:cs="Calibri"/>
                <w:iCs/>
                <w:sz w:val="20"/>
              </w:rPr>
              <w:t xml:space="preserve"> </w:t>
            </w:r>
            <w:proofErr w:type="spellStart"/>
            <w:r w:rsidRPr="00963440">
              <w:rPr>
                <w:rFonts w:ascii="Calibri" w:hAnsi="Calibri" w:cs="Calibri"/>
                <w:iCs/>
                <w:sz w:val="20"/>
              </w:rPr>
              <w:t>předpisy</w:t>
            </w:r>
            <w:proofErr w:type="spellEnd"/>
            <w:r w:rsidRPr="00963440">
              <w:rPr>
                <w:rFonts w:ascii="Calibri" w:hAnsi="Calibri" w:cs="Calibri"/>
                <w:iCs/>
                <w:sz w:val="20"/>
              </w:rPr>
              <w:t xml:space="preserve"> pro oblast IT a IT </w:t>
            </w:r>
            <w:proofErr w:type="spellStart"/>
            <w:r w:rsidRPr="00963440">
              <w:rPr>
                <w:rFonts w:ascii="Calibri" w:hAnsi="Calibri" w:cs="Calibri"/>
                <w:iCs/>
                <w:sz w:val="20"/>
              </w:rPr>
              <w:t>bezpečnosti</w:t>
            </w:r>
            <w:proofErr w:type="spellEnd"/>
          </w:p>
        </w:tc>
      </w:tr>
      <w:tr w:rsidR="00D16E1E" w14:paraId="13FFBFB6" w14:textId="77777777" w:rsidTr="0014576C">
        <w:trPr>
          <w:trHeight w:hRule="exact" w:val="284"/>
        </w:trPr>
        <w:tc>
          <w:tcPr>
            <w:tcW w:w="562" w:type="dxa"/>
          </w:tcPr>
          <w:p w14:paraId="0E4B70EB" w14:textId="77777777" w:rsidR="00D16E1E" w:rsidRPr="006C6B8E" w:rsidRDefault="00D16E1E" w:rsidP="0014576C">
            <w:pPr>
              <w:pStyle w:val="Zkladntext"/>
              <w:rPr>
                <w:rFonts w:ascii="Calibri" w:hAnsi="Calibri" w:cs="Calibri"/>
                <w:iCs/>
                <w:sz w:val="20"/>
              </w:rPr>
            </w:pPr>
          </w:p>
        </w:tc>
        <w:tc>
          <w:tcPr>
            <w:tcW w:w="8500" w:type="dxa"/>
          </w:tcPr>
          <w:p w14:paraId="7F379FF0"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Strategie</w:t>
            </w:r>
            <w:proofErr w:type="spellEnd"/>
            <w:r w:rsidRPr="00963440">
              <w:rPr>
                <w:rFonts w:ascii="Calibri" w:hAnsi="Calibri" w:cs="Calibri"/>
                <w:iCs/>
                <w:sz w:val="20"/>
              </w:rPr>
              <w:t xml:space="preserve"> </w:t>
            </w:r>
            <w:proofErr w:type="spellStart"/>
            <w:r w:rsidRPr="00963440">
              <w:rPr>
                <w:rFonts w:ascii="Calibri" w:hAnsi="Calibri" w:cs="Calibri"/>
                <w:iCs/>
                <w:sz w:val="20"/>
              </w:rPr>
              <w:t>Informační</w:t>
            </w:r>
            <w:proofErr w:type="spellEnd"/>
            <w:r w:rsidRPr="00963440">
              <w:rPr>
                <w:rFonts w:ascii="Calibri" w:hAnsi="Calibri" w:cs="Calibri"/>
                <w:iCs/>
                <w:sz w:val="20"/>
              </w:rPr>
              <w:t xml:space="preserve">/IT </w:t>
            </w:r>
            <w:proofErr w:type="spellStart"/>
            <w:r w:rsidRPr="00963440">
              <w:rPr>
                <w:rFonts w:ascii="Calibri" w:hAnsi="Calibri" w:cs="Calibri"/>
                <w:iCs/>
                <w:sz w:val="20"/>
              </w:rPr>
              <w:t>bezpečnosti</w:t>
            </w:r>
            <w:proofErr w:type="spellEnd"/>
          </w:p>
        </w:tc>
      </w:tr>
      <w:tr w:rsidR="00D16E1E" w14:paraId="1AED11BC" w14:textId="77777777" w:rsidTr="0014576C">
        <w:trPr>
          <w:trHeight w:hRule="exact" w:val="284"/>
        </w:trPr>
        <w:tc>
          <w:tcPr>
            <w:tcW w:w="562" w:type="dxa"/>
          </w:tcPr>
          <w:p w14:paraId="556A76F7" w14:textId="77777777" w:rsidR="00D16E1E" w:rsidRPr="006C6B8E" w:rsidRDefault="00D16E1E" w:rsidP="0014576C">
            <w:pPr>
              <w:pStyle w:val="Zkladntext"/>
              <w:rPr>
                <w:rFonts w:ascii="Calibri" w:hAnsi="Calibri" w:cs="Calibri"/>
                <w:iCs/>
                <w:sz w:val="20"/>
              </w:rPr>
            </w:pPr>
          </w:p>
        </w:tc>
        <w:tc>
          <w:tcPr>
            <w:tcW w:w="8500" w:type="dxa"/>
          </w:tcPr>
          <w:p w14:paraId="7062D75E"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Strategie</w:t>
            </w:r>
            <w:proofErr w:type="spellEnd"/>
            <w:r w:rsidRPr="00963440">
              <w:rPr>
                <w:rFonts w:ascii="Calibri" w:hAnsi="Calibri" w:cs="Calibri"/>
                <w:iCs/>
                <w:sz w:val="20"/>
              </w:rPr>
              <w:t xml:space="preserve"> IT</w:t>
            </w:r>
          </w:p>
        </w:tc>
      </w:tr>
      <w:tr w:rsidR="00D16E1E" w14:paraId="0F05B6AF" w14:textId="77777777" w:rsidTr="0014576C">
        <w:trPr>
          <w:trHeight w:hRule="exact" w:val="284"/>
        </w:trPr>
        <w:tc>
          <w:tcPr>
            <w:tcW w:w="562" w:type="dxa"/>
          </w:tcPr>
          <w:p w14:paraId="13CE1205" w14:textId="77777777" w:rsidR="00D16E1E" w:rsidRPr="006C6B8E" w:rsidRDefault="00D16E1E" w:rsidP="0014576C">
            <w:pPr>
              <w:pStyle w:val="Zkladntext"/>
              <w:rPr>
                <w:rFonts w:ascii="Calibri" w:hAnsi="Calibri" w:cs="Calibri"/>
                <w:iCs/>
                <w:sz w:val="20"/>
              </w:rPr>
            </w:pPr>
          </w:p>
        </w:tc>
        <w:tc>
          <w:tcPr>
            <w:tcW w:w="8500" w:type="dxa"/>
          </w:tcPr>
          <w:p w14:paraId="6396108C"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Seznam</w:t>
            </w:r>
            <w:proofErr w:type="spellEnd"/>
            <w:r w:rsidRPr="00963440">
              <w:rPr>
                <w:rFonts w:ascii="Calibri" w:hAnsi="Calibri" w:cs="Calibri"/>
                <w:iCs/>
                <w:sz w:val="20"/>
              </w:rPr>
              <w:t xml:space="preserve"> </w:t>
            </w:r>
            <w:proofErr w:type="spellStart"/>
            <w:r w:rsidRPr="00963440">
              <w:rPr>
                <w:rFonts w:ascii="Calibri" w:hAnsi="Calibri" w:cs="Calibri"/>
                <w:iCs/>
                <w:sz w:val="20"/>
              </w:rPr>
              <w:t>hlavních</w:t>
            </w:r>
            <w:proofErr w:type="spellEnd"/>
            <w:r w:rsidRPr="00963440">
              <w:rPr>
                <w:rFonts w:ascii="Calibri" w:hAnsi="Calibri" w:cs="Calibri"/>
                <w:iCs/>
                <w:sz w:val="20"/>
              </w:rPr>
              <w:t xml:space="preserve"> IT </w:t>
            </w:r>
            <w:proofErr w:type="spellStart"/>
            <w:r w:rsidRPr="00963440">
              <w:rPr>
                <w:rFonts w:ascii="Calibri" w:hAnsi="Calibri" w:cs="Calibri"/>
                <w:iCs/>
                <w:sz w:val="20"/>
              </w:rPr>
              <w:t>systémů</w:t>
            </w:r>
            <w:proofErr w:type="spellEnd"/>
            <w:r w:rsidRPr="00963440">
              <w:rPr>
                <w:rFonts w:ascii="Calibri" w:hAnsi="Calibri" w:cs="Calibri"/>
                <w:iCs/>
                <w:sz w:val="20"/>
              </w:rPr>
              <w:t xml:space="preserve"> </w:t>
            </w:r>
            <w:proofErr w:type="spellStart"/>
            <w:r w:rsidRPr="00963440">
              <w:rPr>
                <w:rFonts w:ascii="Calibri" w:hAnsi="Calibri" w:cs="Calibri"/>
                <w:iCs/>
                <w:sz w:val="20"/>
              </w:rPr>
              <w:t>včetně</w:t>
            </w:r>
            <w:proofErr w:type="spellEnd"/>
            <w:r w:rsidRPr="00963440">
              <w:rPr>
                <w:rFonts w:ascii="Calibri" w:hAnsi="Calibri" w:cs="Calibri"/>
                <w:iCs/>
                <w:sz w:val="20"/>
              </w:rPr>
              <w:t xml:space="preserve"> </w:t>
            </w:r>
            <w:proofErr w:type="spellStart"/>
            <w:r w:rsidRPr="00963440">
              <w:rPr>
                <w:rFonts w:ascii="Calibri" w:hAnsi="Calibri" w:cs="Calibri"/>
                <w:iCs/>
                <w:sz w:val="20"/>
              </w:rPr>
              <w:t>popisu</w:t>
            </w:r>
            <w:proofErr w:type="spellEnd"/>
            <w:r w:rsidRPr="00963440">
              <w:rPr>
                <w:rFonts w:ascii="Calibri" w:hAnsi="Calibri" w:cs="Calibri"/>
                <w:iCs/>
                <w:sz w:val="20"/>
              </w:rPr>
              <w:t xml:space="preserve">, k </w:t>
            </w:r>
            <w:proofErr w:type="spellStart"/>
            <w:r w:rsidRPr="00963440">
              <w:rPr>
                <w:rFonts w:ascii="Calibri" w:hAnsi="Calibri" w:cs="Calibri"/>
                <w:iCs/>
                <w:sz w:val="20"/>
              </w:rPr>
              <w:t>čemu</w:t>
            </w:r>
            <w:proofErr w:type="spellEnd"/>
            <w:r w:rsidRPr="00963440">
              <w:rPr>
                <w:rFonts w:ascii="Calibri" w:hAnsi="Calibri" w:cs="Calibri"/>
                <w:iCs/>
                <w:sz w:val="20"/>
              </w:rPr>
              <w:t xml:space="preserve"> </w:t>
            </w:r>
            <w:proofErr w:type="spellStart"/>
            <w:r w:rsidRPr="00963440">
              <w:rPr>
                <w:rFonts w:ascii="Calibri" w:hAnsi="Calibri" w:cs="Calibri"/>
                <w:iCs/>
                <w:sz w:val="20"/>
              </w:rPr>
              <w:t>slouží</w:t>
            </w:r>
            <w:proofErr w:type="spellEnd"/>
          </w:p>
        </w:tc>
      </w:tr>
      <w:tr w:rsidR="00D16E1E" w14:paraId="45097BC3" w14:textId="77777777" w:rsidTr="0014576C">
        <w:trPr>
          <w:trHeight w:hRule="exact" w:val="284"/>
        </w:trPr>
        <w:tc>
          <w:tcPr>
            <w:tcW w:w="562" w:type="dxa"/>
          </w:tcPr>
          <w:p w14:paraId="693E19A9" w14:textId="77777777" w:rsidR="00D16E1E" w:rsidRPr="006C6B8E" w:rsidRDefault="00D16E1E" w:rsidP="0014576C">
            <w:pPr>
              <w:pStyle w:val="Zkladntext"/>
              <w:rPr>
                <w:rFonts w:ascii="Calibri" w:hAnsi="Calibri" w:cs="Calibri"/>
                <w:iCs/>
                <w:sz w:val="20"/>
              </w:rPr>
            </w:pPr>
          </w:p>
        </w:tc>
        <w:tc>
          <w:tcPr>
            <w:tcW w:w="8500" w:type="dxa"/>
          </w:tcPr>
          <w:p w14:paraId="0E6B4A2E"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Seznam</w:t>
            </w:r>
            <w:proofErr w:type="spellEnd"/>
            <w:r w:rsidRPr="00963440">
              <w:rPr>
                <w:rFonts w:ascii="Calibri" w:hAnsi="Calibri" w:cs="Calibri"/>
                <w:iCs/>
                <w:sz w:val="20"/>
              </w:rPr>
              <w:t xml:space="preserve"> business </w:t>
            </w:r>
            <w:proofErr w:type="spellStart"/>
            <w:r w:rsidRPr="00963440">
              <w:rPr>
                <w:rFonts w:ascii="Calibri" w:hAnsi="Calibri" w:cs="Calibri"/>
                <w:iCs/>
                <w:sz w:val="20"/>
              </w:rPr>
              <w:t>kritických</w:t>
            </w:r>
            <w:proofErr w:type="spellEnd"/>
            <w:r w:rsidRPr="00963440">
              <w:rPr>
                <w:rFonts w:ascii="Calibri" w:hAnsi="Calibri" w:cs="Calibri"/>
                <w:iCs/>
                <w:sz w:val="20"/>
              </w:rPr>
              <w:t>/</w:t>
            </w:r>
            <w:proofErr w:type="spellStart"/>
            <w:r w:rsidRPr="00963440">
              <w:rPr>
                <w:rFonts w:ascii="Calibri" w:hAnsi="Calibri" w:cs="Calibri"/>
                <w:iCs/>
                <w:sz w:val="20"/>
              </w:rPr>
              <w:t>senzitivních</w:t>
            </w:r>
            <w:proofErr w:type="spellEnd"/>
            <w:r w:rsidRPr="00963440">
              <w:rPr>
                <w:rFonts w:ascii="Calibri" w:hAnsi="Calibri" w:cs="Calibri"/>
                <w:iCs/>
                <w:sz w:val="20"/>
              </w:rPr>
              <w:t xml:space="preserve"> </w:t>
            </w:r>
            <w:proofErr w:type="spellStart"/>
            <w:r w:rsidRPr="00963440">
              <w:rPr>
                <w:rFonts w:ascii="Calibri" w:hAnsi="Calibri" w:cs="Calibri"/>
                <w:iCs/>
                <w:sz w:val="20"/>
              </w:rPr>
              <w:t>aplikací</w:t>
            </w:r>
            <w:proofErr w:type="spellEnd"/>
          </w:p>
        </w:tc>
      </w:tr>
      <w:tr w:rsidR="00D16E1E" w14:paraId="51A4B2CC" w14:textId="77777777" w:rsidTr="0014576C">
        <w:trPr>
          <w:trHeight w:hRule="exact" w:val="284"/>
        </w:trPr>
        <w:tc>
          <w:tcPr>
            <w:tcW w:w="562" w:type="dxa"/>
          </w:tcPr>
          <w:p w14:paraId="17DDB265" w14:textId="77777777" w:rsidR="00D16E1E" w:rsidRPr="006C6B8E" w:rsidRDefault="00D16E1E" w:rsidP="0014576C">
            <w:pPr>
              <w:pStyle w:val="Zkladntext"/>
              <w:rPr>
                <w:rFonts w:ascii="Calibri" w:hAnsi="Calibri" w:cs="Calibri"/>
                <w:iCs/>
                <w:sz w:val="20"/>
              </w:rPr>
            </w:pPr>
          </w:p>
        </w:tc>
        <w:tc>
          <w:tcPr>
            <w:tcW w:w="8500" w:type="dxa"/>
          </w:tcPr>
          <w:p w14:paraId="2F119C44"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Umístění</w:t>
            </w:r>
            <w:proofErr w:type="spellEnd"/>
            <w:r w:rsidRPr="00963440">
              <w:rPr>
                <w:rFonts w:ascii="Calibri" w:hAnsi="Calibri" w:cs="Calibri"/>
                <w:iCs/>
                <w:sz w:val="20"/>
              </w:rPr>
              <w:t xml:space="preserve"> </w:t>
            </w:r>
            <w:proofErr w:type="spellStart"/>
            <w:r w:rsidRPr="00963440">
              <w:rPr>
                <w:rFonts w:ascii="Calibri" w:hAnsi="Calibri" w:cs="Calibri"/>
                <w:iCs/>
                <w:sz w:val="20"/>
              </w:rPr>
              <w:t>datových</w:t>
            </w:r>
            <w:proofErr w:type="spellEnd"/>
            <w:r w:rsidRPr="00963440">
              <w:rPr>
                <w:rFonts w:ascii="Calibri" w:hAnsi="Calibri" w:cs="Calibri"/>
                <w:iCs/>
                <w:sz w:val="20"/>
              </w:rPr>
              <w:t xml:space="preserve"> </w:t>
            </w:r>
            <w:proofErr w:type="spellStart"/>
            <w:r w:rsidRPr="00963440">
              <w:rPr>
                <w:rFonts w:ascii="Calibri" w:hAnsi="Calibri" w:cs="Calibri"/>
                <w:iCs/>
                <w:sz w:val="20"/>
              </w:rPr>
              <w:t>center</w:t>
            </w:r>
            <w:proofErr w:type="spellEnd"/>
            <w:r w:rsidRPr="00963440">
              <w:rPr>
                <w:rFonts w:ascii="Calibri" w:hAnsi="Calibri" w:cs="Calibri"/>
                <w:iCs/>
                <w:sz w:val="20"/>
              </w:rPr>
              <w:t xml:space="preserve"> (</w:t>
            </w:r>
            <w:proofErr w:type="spellStart"/>
            <w:r w:rsidRPr="00963440">
              <w:rPr>
                <w:rFonts w:ascii="Calibri" w:hAnsi="Calibri" w:cs="Calibri"/>
                <w:iCs/>
                <w:sz w:val="20"/>
              </w:rPr>
              <w:t>serverových</w:t>
            </w:r>
            <w:proofErr w:type="spellEnd"/>
            <w:r w:rsidRPr="00963440">
              <w:rPr>
                <w:rFonts w:ascii="Calibri" w:hAnsi="Calibri" w:cs="Calibri"/>
                <w:iCs/>
                <w:sz w:val="20"/>
              </w:rPr>
              <w:t xml:space="preserve"> </w:t>
            </w:r>
            <w:proofErr w:type="spellStart"/>
            <w:r w:rsidRPr="00963440">
              <w:rPr>
                <w:rFonts w:ascii="Calibri" w:hAnsi="Calibri" w:cs="Calibri"/>
                <w:iCs/>
                <w:sz w:val="20"/>
              </w:rPr>
              <w:t>místností</w:t>
            </w:r>
            <w:proofErr w:type="spellEnd"/>
            <w:r w:rsidRPr="00963440">
              <w:rPr>
                <w:rFonts w:ascii="Calibri" w:hAnsi="Calibri" w:cs="Calibri"/>
                <w:iCs/>
                <w:sz w:val="20"/>
              </w:rPr>
              <w:t>)</w:t>
            </w:r>
          </w:p>
        </w:tc>
      </w:tr>
      <w:tr w:rsidR="00D16E1E" w14:paraId="70AABA2D" w14:textId="77777777" w:rsidTr="0014576C">
        <w:trPr>
          <w:trHeight w:hRule="exact" w:val="284"/>
        </w:trPr>
        <w:tc>
          <w:tcPr>
            <w:tcW w:w="562" w:type="dxa"/>
          </w:tcPr>
          <w:p w14:paraId="366C0AA3" w14:textId="77777777" w:rsidR="00D16E1E" w:rsidRPr="006C6B8E" w:rsidRDefault="00D16E1E" w:rsidP="0014576C">
            <w:pPr>
              <w:pStyle w:val="Zkladntext"/>
              <w:rPr>
                <w:rFonts w:ascii="Calibri" w:hAnsi="Calibri" w:cs="Calibri"/>
                <w:iCs/>
                <w:sz w:val="20"/>
              </w:rPr>
            </w:pPr>
          </w:p>
        </w:tc>
        <w:tc>
          <w:tcPr>
            <w:tcW w:w="8500" w:type="dxa"/>
          </w:tcPr>
          <w:p w14:paraId="69E0D07A"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soupis</w:t>
            </w:r>
            <w:proofErr w:type="spellEnd"/>
            <w:r w:rsidRPr="00963440">
              <w:rPr>
                <w:rFonts w:ascii="Calibri" w:hAnsi="Calibri" w:cs="Calibri"/>
                <w:iCs/>
                <w:sz w:val="20"/>
              </w:rPr>
              <w:t xml:space="preserve"> </w:t>
            </w:r>
            <w:proofErr w:type="spellStart"/>
            <w:r w:rsidRPr="00963440">
              <w:rPr>
                <w:rFonts w:ascii="Calibri" w:hAnsi="Calibri" w:cs="Calibri"/>
                <w:iCs/>
                <w:sz w:val="20"/>
              </w:rPr>
              <w:t>používaného</w:t>
            </w:r>
            <w:proofErr w:type="spellEnd"/>
            <w:r w:rsidRPr="00963440">
              <w:rPr>
                <w:rFonts w:ascii="Calibri" w:hAnsi="Calibri" w:cs="Calibri"/>
                <w:iCs/>
                <w:sz w:val="20"/>
              </w:rPr>
              <w:t xml:space="preserve"> HW, </w:t>
            </w:r>
            <w:proofErr w:type="spellStart"/>
            <w:r w:rsidRPr="00963440">
              <w:rPr>
                <w:rFonts w:ascii="Calibri" w:hAnsi="Calibri" w:cs="Calibri"/>
                <w:iCs/>
                <w:sz w:val="20"/>
              </w:rPr>
              <w:t>Operačních</w:t>
            </w:r>
            <w:proofErr w:type="spellEnd"/>
            <w:r w:rsidRPr="00963440">
              <w:rPr>
                <w:rFonts w:ascii="Calibri" w:hAnsi="Calibri" w:cs="Calibri"/>
                <w:iCs/>
                <w:sz w:val="20"/>
              </w:rPr>
              <w:t xml:space="preserve"> </w:t>
            </w:r>
            <w:proofErr w:type="spellStart"/>
            <w:r w:rsidRPr="00963440">
              <w:rPr>
                <w:rFonts w:ascii="Calibri" w:hAnsi="Calibri" w:cs="Calibri"/>
                <w:iCs/>
                <w:sz w:val="20"/>
              </w:rPr>
              <w:t>systémů</w:t>
            </w:r>
            <w:proofErr w:type="spellEnd"/>
            <w:r w:rsidRPr="00963440">
              <w:rPr>
                <w:rFonts w:ascii="Calibri" w:hAnsi="Calibri" w:cs="Calibri"/>
                <w:iCs/>
                <w:sz w:val="20"/>
              </w:rPr>
              <w:t xml:space="preserve"> a </w:t>
            </w:r>
            <w:proofErr w:type="spellStart"/>
            <w:r w:rsidRPr="00963440">
              <w:rPr>
                <w:rFonts w:ascii="Calibri" w:hAnsi="Calibri" w:cs="Calibri"/>
                <w:iCs/>
                <w:sz w:val="20"/>
              </w:rPr>
              <w:t>Databází</w:t>
            </w:r>
            <w:proofErr w:type="spellEnd"/>
            <w:r w:rsidRPr="00963440">
              <w:rPr>
                <w:rFonts w:ascii="Calibri" w:hAnsi="Calibri" w:cs="Calibri"/>
                <w:iCs/>
                <w:sz w:val="20"/>
              </w:rPr>
              <w:t xml:space="preserve"> (</w:t>
            </w:r>
            <w:proofErr w:type="spellStart"/>
            <w:r w:rsidRPr="00963440">
              <w:rPr>
                <w:rFonts w:ascii="Calibri" w:hAnsi="Calibri" w:cs="Calibri"/>
                <w:iCs/>
                <w:sz w:val="20"/>
              </w:rPr>
              <w:t>včetně</w:t>
            </w:r>
            <w:proofErr w:type="spellEnd"/>
            <w:r w:rsidRPr="00963440">
              <w:rPr>
                <w:rFonts w:ascii="Calibri" w:hAnsi="Calibri" w:cs="Calibri"/>
                <w:iCs/>
                <w:sz w:val="20"/>
              </w:rPr>
              <w:t xml:space="preserve"> </w:t>
            </w:r>
            <w:proofErr w:type="spellStart"/>
            <w:r w:rsidRPr="00963440">
              <w:rPr>
                <w:rFonts w:ascii="Calibri" w:hAnsi="Calibri" w:cs="Calibri"/>
                <w:iCs/>
                <w:sz w:val="20"/>
              </w:rPr>
              <w:t>verze</w:t>
            </w:r>
            <w:proofErr w:type="spellEnd"/>
            <w:r w:rsidRPr="00963440">
              <w:rPr>
                <w:rFonts w:ascii="Calibri" w:hAnsi="Calibri" w:cs="Calibri"/>
                <w:iCs/>
                <w:sz w:val="20"/>
              </w:rPr>
              <w:t xml:space="preserve">) - </w:t>
            </w:r>
            <w:proofErr w:type="spellStart"/>
            <w:r w:rsidRPr="00963440">
              <w:rPr>
                <w:rFonts w:ascii="Calibri" w:hAnsi="Calibri" w:cs="Calibri"/>
                <w:iCs/>
                <w:sz w:val="20"/>
              </w:rPr>
              <w:t>pokud</w:t>
            </w:r>
            <w:proofErr w:type="spellEnd"/>
            <w:r w:rsidRPr="00963440">
              <w:rPr>
                <w:rFonts w:ascii="Calibri" w:hAnsi="Calibri" w:cs="Calibri"/>
                <w:iCs/>
                <w:sz w:val="20"/>
              </w:rPr>
              <w:t xml:space="preserve"> je k </w:t>
            </w:r>
            <w:proofErr w:type="spellStart"/>
            <w:r w:rsidRPr="00963440">
              <w:rPr>
                <w:rFonts w:ascii="Calibri" w:hAnsi="Calibri" w:cs="Calibri"/>
                <w:iCs/>
                <w:sz w:val="20"/>
              </w:rPr>
              <w:t>dispozici</w:t>
            </w:r>
            <w:proofErr w:type="spellEnd"/>
            <w:r w:rsidRPr="00963440">
              <w:rPr>
                <w:rFonts w:ascii="Calibri" w:hAnsi="Calibri" w:cs="Calibri"/>
                <w:iCs/>
                <w:sz w:val="20"/>
              </w:rPr>
              <w:t xml:space="preserve"> export z CMDB</w:t>
            </w:r>
          </w:p>
        </w:tc>
      </w:tr>
      <w:tr w:rsidR="00D16E1E" w14:paraId="096623F9" w14:textId="77777777" w:rsidTr="0014576C">
        <w:trPr>
          <w:trHeight w:hRule="exact" w:val="284"/>
        </w:trPr>
        <w:tc>
          <w:tcPr>
            <w:tcW w:w="562" w:type="dxa"/>
          </w:tcPr>
          <w:p w14:paraId="60B532BA" w14:textId="77777777" w:rsidR="00D16E1E" w:rsidRPr="006C6B8E" w:rsidRDefault="00D16E1E" w:rsidP="0014576C">
            <w:pPr>
              <w:pStyle w:val="Zkladntext"/>
              <w:rPr>
                <w:rFonts w:ascii="Calibri" w:hAnsi="Calibri" w:cs="Calibri"/>
                <w:iCs/>
                <w:sz w:val="20"/>
              </w:rPr>
            </w:pPr>
          </w:p>
        </w:tc>
        <w:tc>
          <w:tcPr>
            <w:tcW w:w="8500" w:type="dxa"/>
          </w:tcPr>
          <w:p w14:paraId="2267F671"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Analýza</w:t>
            </w:r>
            <w:proofErr w:type="spellEnd"/>
            <w:r w:rsidRPr="00963440">
              <w:rPr>
                <w:rFonts w:ascii="Calibri" w:hAnsi="Calibri" w:cs="Calibri"/>
                <w:iCs/>
                <w:sz w:val="20"/>
              </w:rPr>
              <w:t xml:space="preserve"> IT/</w:t>
            </w:r>
            <w:proofErr w:type="spellStart"/>
            <w:r w:rsidRPr="00963440">
              <w:rPr>
                <w:rFonts w:ascii="Calibri" w:hAnsi="Calibri" w:cs="Calibri"/>
                <w:iCs/>
                <w:sz w:val="20"/>
              </w:rPr>
              <w:t>Informačních</w:t>
            </w:r>
            <w:proofErr w:type="spellEnd"/>
            <w:r w:rsidRPr="00963440">
              <w:rPr>
                <w:rFonts w:ascii="Calibri" w:hAnsi="Calibri" w:cs="Calibri"/>
                <w:iCs/>
                <w:sz w:val="20"/>
              </w:rPr>
              <w:t xml:space="preserve"> RIZIK (</w:t>
            </w:r>
            <w:proofErr w:type="spellStart"/>
            <w:r w:rsidRPr="00963440">
              <w:rPr>
                <w:rFonts w:ascii="Calibri" w:hAnsi="Calibri" w:cs="Calibri"/>
                <w:iCs/>
                <w:sz w:val="20"/>
              </w:rPr>
              <w:t>pokud</w:t>
            </w:r>
            <w:proofErr w:type="spellEnd"/>
            <w:r w:rsidRPr="00963440">
              <w:rPr>
                <w:rFonts w:ascii="Calibri" w:hAnsi="Calibri" w:cs="Calibri"/>
                <w:iCs/>
                <w:sz w:val="20"/>
              </w:rPr>
              <w:t xml:space="preserve"> je k </w:t>
            </w:r>
            <w:proofErr w:type="spellStart"/>
            <w:r w:rsidRPr="00963440">
              <w:rPr>
                <w:rFonts w:ascii="Calibri" w:hAnsi="Calibri" w:cs="Calibri"/>
                <w:iCs/>
                <w:sz w:val="20"/>
              </w:rPr>
              <w:t>dispozici</w:t>
            </w:r>
            <w:proofErr w:type="spellEnd"/>
            <w:r w:rsidRPr="00963440">
              <w:rPr>
                <w:rFonts w:ascii="Calibri" w:hAnsi="Calibri" w:cs="Calibri"/>
                <w:iCs/>
                <w:sz w:val="20"/>
              </w:rPr>
              <w:t>)</w:t>
            </w:r>
          </w:p>
        </w:tc>
      </w:tr>
      <w:tr w:rsidR="00D16E1E" w14:paraId="10D9E626" w14:textId="77777777" w:rsidTr="0014576C">
        <w:trPr>
          <w:trHeight w:hRule="exact" w:val="284"/>
        </w:trPr>
        <w:tc>
          <w:tcPr>
            <w:tcW w:w="562" w:type="dxa"/>
          </w:tcPr>
          <w:p w14:paraId="2E7EAF8C" w14:textId="77777777" w:rsidR="00D16E1E" w:rsidRPr="006C6B8E" w:rsidRDefault="00D16E1E" w:rsidP="0014576C">
            <w:pPr>
              <w:pStyle w:val="Zkladntext"/>
              <w:rPr>
                <w:rFonts w:ascii="Calibri" w:hAnsi="Calibri" w:cs="Calibri"/>
                <w:iCs/>
                <w:sz w:val="20"/>
              </w:rPr>
            </w:pPr>
          </w:p>
        </w:tc>
        <w:tc>
          <w:tcPr>
            <w:tcW w:w="8500" w:type="dxa"/>
          </w:tcPr>
          <w:p w14:paraId="4D214827"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Registr</w:t>
            </w:r>
            <w:proofErr w:type="spellEnd"/>
            <w:r w:rsidRPr="00963440">
              <w:rPr>
                <w:rFonts w:ascii="Calibri" w:hAnsi="Calibri" w:cs="Calibri"/>
                <w:iCs/>
                <w:sz w:val="20"/>
              </w:rPr>
              <w:t xml:space="preserve"> </w:t>
            </w:r>
            <w:proofErr w:type="spellStart"/>
            <w:r w:rsidRPr="00963440">
              <w:rPr>
                <w:rFonts w:ascii="Calibri" w:hAnsi="Calibri" w:cs="Calibri"/>
                <w:iCs/>
                <w:sz w:val="20"/>
              </w:rPr>
              <w:t>informačních</w:t>
            </w:r>
            <w:proofErr w:type="spellEnd"/>
            <w:r w:rsidRPr="00963440">
              <w:rPr>
                <w:rFonts w:ascii="Calibri" w:hAnsi="Calibri" w:cs="Calibri"/>
                <w:iCs/>
                <w:sz w:val="20"/>
              </w:rPr>
              <w:t xml:space="preserve"> </w:t>
            </w:r>
            <w:proofErr w:type="spellStart"/>
            <w:r w:rsidRPr="00963440">
              <w:rPr>
                <w:rFonts w:ascii="Calibri" w:hAnsi="Calibri" w:cs="Calibri"/>
                <w:iCs/>
                <w:sz w:val="20"/>
              </w:rPr>
              <w:t>aktiv</w:t>
            </w:r>
            <w:proofErr w:type="spellEnd"/>
            <w:r w:rsidRPr="00963440">
              <w:rPr>
                <w:rFonts w:ascii="Calibri" w:hAnsi="Calibri" w:cs="Calibri"/>
                <w:iCs/>
                <w:sz w:val="20"/>
              </w:rPr>
              <w:t xml:space="preserve"> (</w:t>
            </w:r>
            <w:proofErr w:type="spellStart"/>
            <w:r w:rsidRPr="00963440">
              <w:rPr>
                <w:rFonts w:ascii="Calibri" w:hAnsi="Calibri" w:cs="Calibri"/>
                <w:iCs/>
                <w:sz w:val="20"/>
              </w:rPr>
              <w:t>pokud</w:t>
            </w:r>
            <w:proofErr w:type="spellEnd"/>
            <w:r w:rsidRPr="00963440">
              <w:rPr>
                <w:rFonts w:ascii="Calibri" w:hAnsi="Calibri" w:cs="Calibri"/>
                <w:iCs/>
                <w:sz w:val="20"/>
              </w:rPr>
              <w:t xml:space="preserve"> </w:t>
            </w:r>
            <w:proofErr w:type="spellStart"/>
            <w:r w:rsidRPr="00963440">
              <w:rPr>
                <w:rFonts w:ascii="Calibri" w:hAnsi="Calibri" w:cs="Calibri"/>
                <w:iCs/>
                <w:sz w:val="20"/>
              </w:rPr>
              <w:t>existuje</w:t>
            </w:r>
            <w:proofErr w:type="spellEnd"/>
            <w:r w:rsidRPr="00963440">
              <w:rPr>
                <w:rFonts w:ascii="Calibri" w:hAnsi="Calibri" w:cs="Calibri"/>
                <w:iCs/>
                <w:sz w:val="20"/>
              </w:rPr>
              <w:t>)</w:t>
            </w:r>
          </w:p>
        </w:tc>
      </w:tr>
      <w:tr w:rsidR="00D16E1E" w14:paraId="3AB0CE7D" w14:textId="77777777" w:rsidTr="0014576C">
        <w:trPr>
          <w:trHeight w:hRule="exact" w:val="284"/>
        </w:trPr>
        <w:tc>
          <w:tcPr>
            <w:tcW w:w="562" w:type="dxa"/>
          </w:tcPr>
          <w:p w14:paraId="125EFB73" w14:textId="77777777" w:rsidR="00D16E1E" w:rsidRPr="006C6B8E" w:rsidRDefault="00D16E1E" w:rsidP="0014576C">
            <w:pPr>
              <w:pStyle w:val="Zkladntext"/>
              <w:rPr>
                <w:rFonts w:ascii="Calibri" w:hAnsi="Calibri" w:cs="Calibri"/>
                <w:iCs/>
                <w:sz w:val="20"/>
              </w:rPr>
            </w:pPr>
          </w:p>
        </w:tc>
        <w:tc>
          <w:tcPr>
            <w:tcW w:w="8500" w:type="dxa"/>
          </w:tcPr>
          <w:p w14:paraId="60E134BB"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Seznam</w:t>
            </w:r>
            <w:proofErr w:type="spellEnd"/>
            <w:r w:rsidRPr="00963440">
              <w:rPr>
                <w:rFonts w:ascii="Calibri" w:hAnsi="Calibri" w:cs="Calibri"/>
                <w:iCs/>
                <w:sz w:val="20"/>
              </w:rPr>
              <w:t xml:space="preserve"> </w:t>
            </w:r>
            <w:proofErr w:type="spellStart"/>
            <w:r w:rsidRPr="00963440">
              <w:rPr>
                <w:rFonts w:ascii="Calibri" w:hAnsi="Calibri" w:cs="Calibri"/>
                <w:iCs/>
                <w:sz w:val="20"/>
              </w:rPr>
              <w:t>bezpečnostních</w:t>
            </w:r>
            <w:proofErr w:type="spellEnd"/>
            <w:r w:rsidRPr="00963440">
              <w:rPr>
                <w:rFonts w:ascii="Calibri" w:hAnsi="Calibri" w:cs="Calibri"/>
                <w:iCs/>
                <w:sz w:val="20"/>
              </w:rPr>
              <w:t xml:space="preserve"> </w:t>
            </w:r>
            <w:proofErr w:type="spellStart"/>
            <w:r w:rsidRPr="00963440">
              <w:rPr>
                <w:rFonts w:ascii="Calibri" w:hAnsi="Calibri" w:cs="Calibri"/>
                <w:iCs/>
                <w:sz w:val="20"/>
              </w:rPr>
              <w:t>incidentů</w:t>
            </w:r>
            <w:proofErr w:type="spellEnd"/>
            <w:r w:rsidRPr="00963440">
              <w:rPr>
                <w:rFonts w:ascii="Calibri" w:hAnsi="Calibri" w:cs="Calibri"/>
                <w:iCs/>
                <w:sz w:val="20"/>
              </w:rPr>
              <w:t xml:space="preserve"> od 1.1.2022 </w:t>
            </w:r>
            <w:proofErr w:type="spellStart"/>
            <w:r w:rsidRPr="00963440">
              <w:rPr>
                <w:rFonts w:ascii="Calibri" w:hAnsi="Calibri" w:cs="Calibri"/>
                <w:iCs/>
                <w:sz w:val="20"/>
              </w:rPr>
              <w:t>doposud</w:t>
            </w:r>
            <w:proofErr w:type="spellEnd"/>
          </w:p>
        </w:tc>
      </w:tr>
      <w:tr w:rsidR="00D16E1E" w14:paraId="10668B77" w14:textId="77777777" w:rsidTr="0014576C">
        <w:trPr>
          <w:trHeight w:hRule="exact" w:val="284"/>
        </w:trPr>
        <w:tc>
          <w:tcPr>
            <w:tcW w:w="562" w:type="dxa"/>
          </w:tcPr>
          <w:p w14:paraId="2BEE621C" w14:textId="77777777" w:rsidR="00D16E1E" w:rsidRPr="006C6B8E" w:rsidRDefault="00D16E1E" w:rsidP="0014576C">
            <w:pPr>
              <w:pStyle w:val="Zkladntext"/>
              <w:rPr>
                <w:rFonts w:ascii="Calibri" w:hAnsi="Calibri" w:cs="Calibri"/>
                <w:iCs/>
                <w:sz w:val="20"/>
              </w:rPr>
            </w:pPr>
          </w:p>
        </w:tc>
        <w:tc>
          <w:tcPr>
            <w:tcW w:w="8500" w:type="dxa"/>
          </w:tcPr>
          <w:p w14:paraId="733697B2" w14:textId="77777777" w:rsidR="00D16E1E" w:rsidRPr="00963440" w:rsidRDefault="00D16E1E" w:rsidP="0014576C">
            <w:pPr>
              <w:pStyle w:val="Zkladntext"/>
              <w:rPr>
                <w:rFonts w:ascii="Calibri" w:hAnsi="Calibri" w:cs="Calibri"/>
                <w:iCs/>
                <w:sz w:val="20"/>
              </w:rPr>
            </w:pPr>
            <w:r w:rsidRPr="00963440">
              <w:rPr>
                <w:rFonts w:ascii="Calibri" w:hAnsi="Calibri" w:cs="Calibri"/>
                <w:iCs/>
                <w:sz w:val="20"/>
              </w:rPr>
              <w:t xml:space="preserve">OPEX a CAPEX </w:t>
            </w:r>
            <w:proofErr w:type="spellStart"/>
            <w:r w:rsidRPr="00963440">
              <w:rPr>
                <w:rFonts w:ascii="Calibri" w:hAnsi="Calibri" w:cs="Calibri"/>
                <w:iCs/>
                <w:sz w:val="20"/>
              </w:rPr>
              <w:t>rozpočet</w:t>
            </w:r>
            <w:proofErr w:type="spellEnd"/>
            <w:r w:rsidRPr="00963440">
              <w:rPr>
                <w:rFonts w:ascii="Calibri" w:hAnsi="Calibri" w:cs="Calibri"/>
                <w:iCs/>
                <w:sz w:val="20"/>
              </w:rPr>
              <w:t xml:space="preserve"> </w:t>
            </w:r>
            <w:proofErr w:type="spellStart"/>
            <w:r w:rsidRPr="00963440">
              <w:rPr>
                <w:rFonts w:ascii="Calibri" w:hAnsi="Calibri" w:cs="Calibri"/>
                <w:iCs/>
                <w:sz w:val="20"/>
              </w:rPr>
              <w:t>útvaru</w:t>
            </w:r>
            <w:proofErr w:type="spellEnd"/>
            <w:r w:rsidRPr="00963440">
              <w:rPr>
                <w:rFonts w:ascii="Calibri" w:hAnsi="Calibri" w:cs="Calibri"/>
                <w:iCs/>
                <w:sz w:val="20"/>
              </w:rPr>
              <w:t xml:space="preserve"> IT </w:t>
            </w:r>
            <w:proofErr w:type="spellStart"/>
            <w:r w:rsidRPr="00963440">
              <w:rPr>
                <w:rFonts w:ascii="Calibri" w:hAnsi="Calibri" w:cs="Calibri"/>
                <w:iCs/>
                <w:sz w:val="20"/>
              </w:rPr>
              <w:t>na</w:t>
            </w:r>
            <w:proofErr w:type="spellEnd"/>
            <w:r w:rsidRPr="00963440">
              <w:rPr>
                <w:rFonts w:ascii="Calibri" w:hAnsi="Calibri" w:cs="Calibri"/>
                <w:iCs/>
                <w:sz w:val="20"/>
              </w:rPr>
              <w:t xml:space="preserve">  2022 (</w:t>
            </w:r>
            <w:proofErr w:type="spellStart"/>
            <w:r w:rsidRPr="00963440">
              <w:rPr>
                <w:rFonts w:ascii="Calibri" w:hAnsi="Calibri" w:cs="Calibri"/>
                <w:iCs/>
                <w:sz w:val="20"/>
              </w:rPr>
              <w:t>plán</w:t>
            </w:r>
            <w:proofErr w:type="spellEnd"/>
            <w:r w:rsidRPr="00963440">
              <w:rPr>
                <w:rFonts w:ascii="Calibri" w:hAnsi="Calibri" w:cs="Calibri"/>
                <w:iCs/>
                <w:sz w:val="20"/>
              </w:rPr>
              <w:t xml:space="preserve"> a </w:t>
            </w:r>
            <w:proofErr w:type="spellStart"/>
            <w:r w:rsidRPr="00963440">
              <w:rPr>
                <w:rFonts w:ascii="Calibri" w:hAnsi="Calibri" w:cs="Calibri"/>
                <w:iCs/>
                <w:sz w:val="20"/>
              </w:rPr>
              <w:t>realita</w:t>
            </w:r>
            <w:proofErr w:type="spellEnd"/>
            <w:r w:rsidRPr="00963440">
              <w:rPr>
                <w:rFonts w:ascii="Calibri" w:hAnsi="Calibri" w:cs="Calibri"/>
                <w:iCs/>
                <w:sz w:val="20"/>
              </w:rPr>
              <w:t>) a 2023 (</w:t>
            </w:r>
            <w:proofErr w:type="spellStart"/>
            <w:r w:rsidRPr="00963440">
              <w:rPr>
                <w:rFonts w:ascii="Calibri" w:hAnsi="Calibri" w:cs="Calibri"/>
                <w:iCs/>
                <w:sz w:val="20"/>
              </w:rPr>
              <w:t>plán</w:t>
            </w:r>
            <w:proofErr w:type="spellEnd"/>
            <w:r w:rsidRPr="00963440">
              <w:rPr>
                <w:rFonts w:ascii="Calibri" w:hAnsi="Calibri" w:cs="Calibri"/>
                <w:iCs/>
                <w:sz w:val="20"/>
              </w:rPr>
              <w:t>)</w:t>
            </w:r>
          </w:p>
        </w:tc>
      </w:tr>
      <w:tr w:rsidR="00D16E1E" w14:paraId="32E2C690" w14:textId="77777777" w:rsidTr="0014576C">
        <w:trPr>
          <w:trHeight w:hRule="exact" w:val="284"/>
        </w:trPr>
        <w:tc>
          <w:tcPr>
            <w:tcW w:w="562" w:type="dxa"/>
          </w:tcPr>
          <w:p w14:paraId="49011B30" w14:textId="77777777" w:rsidR="00D16E1E" w:rsidRPr="006C6B8E" w:rsidRDefault="00D16E1E" w:rsidP="0014576C">
            <w:pPr>
              <w:pStyle w:val="Zkladntext"/>
              <w:rPr>
                <w:rFonts w:ascii="Calibri" w:hAnsi="Calibri" w:cs="Calibri"/>
                <w:iCs/>
                <w:sz w:val="20"/>
              </w:rPr>
            </w:pPr>
          </w:p>
        </w:tc>
        <w:tc>
          <w:tcPr>
            <w:tcW w:w="8500" w:type="dxa"/>
          </w:tcPr>
          <w:p w14:paraId="4A7CDACD" w14:textId="77777777" w:rsidR="00D16E1E" w:rsidRPr="00963440" w:rsidRDefault="00D16E1E" w:rsidP="0014576C">
            <w:pPr>
              <w:pStyle w:val="Zkladntext"/>
              <w:rPr>
                <w:rFonts w:ascii="Calibri" w:hAnsi="Calibri" w:cs="Calibri"/>
                <w:iCs/>
                <w:sz w:val="20"/>
              </w:rPr>
            </w:pPr>
            <w:r w:rsidRPr="00963440">
              <w:rPr>
                <w:rFonts w:ascii="Calibri" w:hAnsi="Calibri" w:cs="Calibri"/>
                <w:iCs/>
                <w:sz w:val="20"/>
              </w:rPr>
              <w:t xml:space="preserve">OPEX a CAPEX </w:t>
            </w:r>
            <w:proofErr w:type="spellStart"/>
            <w:r w:rsidRPr="00963440">
              <w:rPr>
                <w:rFonts w:ascii="Calibri" w:hAnsi="Calibri" w:cs="Calibri"/>
                <w:iCs/>
                <w:sz w:val="20"/>
              </w:rPr>
              <w:t>rozpočet</w:t>
            </w:r>
            <w:proofErr w:type="spellEnd"/>
            <w:r w:rsidRPr="00963440">
              <w:rPr>
                <w:rFonts w:ascii="Calibri" w:hAnsi="Calibri" w:cs="Calibri"/>
                <w:iCs/>
                <w:sz w:val="20"/>
              </w:rPr>
              <w:t xml:space="preserve"> </w:t>
            </w:r>
            <w:proofErr w:type="spellStart"/>
            <w:r w:rsidRPr="00963440">
              <w:rPr>
                <w:rFonts w:ascii="Calibri" w:hAnsi="Calibri" w:cs="Calibri"/>
                <w:iCs/>
                <w:sz w:val="20"/>
              </w:rPr>
              <w:t>informační</w:t>
            </w:r>
            <w:proofErr w:type="spellEnd"/>
            <w:r w:rsidRPr="00963440">
              <w:rPr>
                <w:rFonts w:ascii="Calibri" w:hAnsi="Calibri" w:cs="Calibri"/>
                <w:iCs/>
                <w:sz w:val="20"/>
              </w:rPr>
              <w:t xml:space="preserve"> </w:t>
            </w:r>
            <w:proofErr w:type="spellStart"/>
            <w:r w:rsidRPr="00963440">
              <w:rPr>
                <w:rFonts w:ascii="Calibri" w:hAnsi="Calibri" w:cs="Calibri"/>
                <w:iCs/>
                <w:sz w:val="20"/>
              </w:rPr>
              <w:t>bezpečnosti</w:t>
            </w:r>
            <w:proofErr w:type="spellEnd"/>
            <w:r w:rsidRPr="00963440">
              <w:rPr>
                <w:rFonts w:ascii="Calibri" w:hAnsi="Calibri" w:cs="Calibri"/>
                <w:iCs/>
                <w:sz w:val="20"/>
              </w:rPr>
              <w:t xml:space="preserve"> </w:t>
            </w:r>
            <w:proofErr w:type="spellStart"/>
            <w:r w:rsidRPr="00963440">
              <w:rPr>
                <w:rFonts w:ascii="Calibri" w:hAnsi="Calibri" w:cs="Calibri"/>
                <w:iCs/>
                <w:sz w:val="20"/>
              </w:rPr>
              <w:t>na</w:t>
            </w:r>
            <w:proofErr w:type="spellEnd"/>
            <w:r w:rsidRPr="00963440">
              <w:rPr>
                <w:rFonts w:ascii="Calibri" w:hAnsi="Calibri" w:cs="Calibri"/>
                <w:iCs/>
                <w:sz w:val="20"/>
              </w:rPr>
              <w:t xml:space="preserve">  2022 (</w:t>
            </w:r>
            <w:proofErr w:type="spellStart"/>
            <w:r w:rsidRPr="00963440">
              <w:rPr>
                <w:rFonts w:ascii="Calibri" w:hAnsi="Calibri" w:cs="Calibri"/>
                <w:iCs/>
                <w:sz w:val="20"/>
              </w:rPr>
              <w:t>plán</w:t>
            </w:r>
            <w:proofErr w:type="spellEnd"/>
            <w:r w:rsidRPr="00963440">
              <w:rPr>
                <w:rFonts w:ascii="Calibri" w:hAnsi="Calibri" w:cs="Calibri"/>
                <w:iCs/>
                <w:sz w:val="20"/>
              </w:rPr>
              <w:t xml:space="preserve"> a </w:t>
            </w:r>
            <w:proofErr w:type="spellStart"/>
            <w:r w:rsidRPr="00963440">
              <w:rPr>
                <w:rFonts w:ascii="Calibri" w:hAnsi="Calibri" w:cs="Calibri"/>
                <w:iCs/>
                <w:sz w:val="20"/>
              </w:rPr>
              <w:t>realita</w:t>
            </w:r>
            <w:proofErr w:type="spellEnd"/>
            <w:r w:rsidRPr="00963440">
              <w:rPr>
                <w:rFonts w:ascii="Calibri" w:hAnsi="Calibri" w:cs="Calibri"/>
                <w:iCs/>
                <w:sz w:val="20"/>
              </w:rPr>
              <w:t>) a 2023 (</w:t>
            </w:r>
            <w:proofErr w:type="spellStart"/>
            <w:r w:rsidRPr="00963440">
              <w:rPr>
                <w:rFonts w:ascii="Calibri" w:hAnsi="Calibri" w:cs="Calibri"/>
                <w:iCs/>
                <w:sz w:val="20"/>
              </w:rPr>
              <w:t>plán</w:t>
            </w:r>
            <w:proofErr w:type="spellEnd"/>
            <w:r w:rsidRPr="00963440">
              <w:rPr>
                <w:rFonts w:ascii="Calibri" w:hAnsi="Calibri" w:cs="Calibri"/>
                <w:iCs/>
                <w:sz w:val="20"/>
              </w:rPr>
              <w:t>)</w:t>
            </w:r>
          </w:p>
        </w:tc>
      </w:tr>
      <w:tr w:rsidR="00D16E1E" w14:paraId="6EDAF73E" w14:textId="77777777" w:rsidTr="0014576C">
        <w:trPr>
          <w:trHeight w:hRule="exact" w:val="284"/>
        </w:trPr>
        <w:tc>
          <w:tcPr>
            <w:tcW w:w="562" w:type="dxa"/>
          </w:tcPr>
          <w:p w14:paraId="40E83EDB" w14:textId="77777777" w:rsidR="00D16E1E" w:rsidRPr="006C6B8E" w:rsidRDefault="00D16E1E" w:rsidP="0014576C">
            <w:pPr>
              <w:pStyle w:val="Zkladntext"/>
              <w:rPr>
                <w:rFonts w:ascii="Calibri" w:hAnsi="Calibri" w:cs="Calibri"/>
                <w:iCs/>
                <w:sz w:val="20"/>
              </w:rPr>
            </w:pPr>
          </w:p>
        </w:tc>
        <w:tc>
          <w:tcPr>
            <w:tcW w:w="8500" w:type="dxa"/>
          </w:tcPr>
          <w:p w14:paraId="28C02868"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Organizační</w:t>
            </w:r>
            <w:proofErr w:type="spellEnd"/>
            <w:r w:rsidRPr="00963440">
              <w:rPr>
                <w:rFonts w:ascii="Calibri" w:hAnsi="Calibri" w:cs="Calibri"/>
                <w:iCs/>
                <w:sz w:val="20"/>
              </w:rPr>
              <w:t xml:space="preserve"> </w:t>
            </w:r>
            <w:proofErr w:type="spellStart"/>
            <w:r w:rsidRPr="00963440">
              <w:rPr>
                <w:rFonts w:ascii="Calibri" w:hAnsi="Calibri" w:cs="Calibri"/>
                <w:iCs/>
                <w:sz w:val="20"/>
              </w:rPr>
              <w:t>struktura</w:t>
            </w:r>
            <w:proofErr w:type="spellEnd"/>
            <w:r w:rsidRPr="00963440">
              <w:rPr>
                <w:rFonts w:ascii="Calibri" w:hAnsi="Calibri" w:cs="Calibri"/>
                <w:iCs/>
                <w:sz w:val="20"/>
              </w:rPr>
              <w:t xml:space="preserve"> </w:t>
            </w:r>
            <w:proofErr w:type="spellStart"/>
            <w:r w:rsidRPr="00963440">
              <w:rPr>
                <w:rFonts w:ascii="Calibri" w:hAnsi="Calibri" w:cs="Calibri"/>
                <w:iCs/>
                <w:sz w:val="20"/>
              </w:rPr>
              <w:t>útvaru</w:t>
            </w:r>
            <w:proofErr w:type="spellEnd"/>
            <w:r w:rsidRPr="00963440">
              <w:rPr>
                <w:rFonts w:ascii="Calibri" w:hAnsi="Calibri" w:cs="Calibri"/>
                <w:iCs/>
                <w:sz w:val="20"/>
              </w:rPr>
              <w:t xml:space="preserve"> IT a </w:t>
            </w:r>
            <w:proofErr w:type="spellStart"/>
            <w:r w:rsidRPr="00963440">
              <w:rPr>
                <w:rFonts w:ascii="Calibri" w:hAnsi="Calibri" w:cs="Calibri"/>
                <w:iCs/>
                <w:sz w:val="20"/>
              </w:rPr>
              <w:t>útvaru</w:t>
            </w:r>
            <w:proofErr w:type="spellEnd"/>
            <w:r w:rsidRPr="00963440">
              <w:rPr>
                <w:rFonts w:ascii="Calibri" w:hAnsi="Calibri" w:cs="Calibri"/>
                <w:iCs/>
                <w:sz w:val="20"/>
              </w:rPr>
              <w:t xml:space="preserve"> </w:t>
            </w:r>
            <w:proofErr w:type="spellStart"/>
            <w:r w:rsidRPr="00963440">
              <w:rPr>
                <w:rFonts w:ascii="Calibri" w:hAnsi="Calibri" w:cs="Calibri"/>
                <w:iCs/>
                <w:sz w:val="20"/>
              </w:rPr>
              <w:t>bezpečnosti</w:t>
            </w:r>
            <w:proofErr w:type="spellEnd"/>
            <w:r w:rsidRPr="00963440">
              <w:rPr>
                <w:rFonts w:ascii="Calibri" w:hAnsi="Calibri" w:cs="Calibri"/>
                <w:iCs/>
                <w:sz w:val="20"/>
              </w:rPr>
              <w:t xml:space="preserve"> IT</w:t>
            </w:r>
          </w:p>
        </w:tc>
      </w:tr>
      <w:tr w:rsidR="00D16E1E" w14:paraId="0D7A9891" w14:textId="77777777" w:rsidTr="0014576C">
        <w:trPr>
          <w:trHeight w:hRule="exact" w:val="284"/>
        </w:trPr>
        <w:tc>
          <w:tcPr>
            <w:tcW w:w="562" w:type="dxa"/>
          </w:tcPr>
          <w:p w14:paraId="614C0114" w14:textId="77777777" w:rsidR="00D16E1E" w:rsidRPr="006C6B8E" w:rsidRDefault="00D16E1E" w:rsidP="0014576C">
            <w:pPr>
              <w:pStyle w:val="Zkladntext"/>
              <w:rPr>
                <w:rFonts w:ascii="Calibri" w:hAnsi="Calibri" w:cs="Calibri"/>
                <w:iCs/>
                <w:sz w:val="20"/>
              </w:rPr>
            </w:pPr>
          </w:p>
        </w:tc>
        <w:tc>
          <w:tcPr>
            <w:tcW w:w="8500" w:type="dxa"/>
          </w:tcPr>
          <w:p w14:paraId="3BD24A56"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Seznam</w:t>
            </w:r>
            <w:proofErr w:type="spellEnd"/>
            <w:r w:rsidRPr="00963440">
              <w:rPr>
                <w:rFonts w:ascii="Calibri" w:hAnsi="Calibri" w:cs="Calibri"/>
                <w:iCs/>
                <w:sz w:val="20"/>
              </w:rPr>
              <w:t xml:space="preserve"> </w:t>
            </w:r>
            <w:proofErr w:type="spellStart"/>
            <w:r w:rsidRPr="00963440">
              <w:rPr>
                <w:rFonts w:ascii="Calibri" w:hAnsi="Calibri" w:cs="Calibri"/>
                <w:iCs/>
                <w:sz w:val="20"/>
              </w:rPr>
              <w:t>školeních</w:t>
            </w:r>
            <w:proofErr w:type="spellEnd"/>
            <w:r w:rsidRPr="00963440">
              <w:rPr>
                <w:rFonts w:ascii="Calibri" w:hAnsi="Calibri" w:cs="Calibri"/>
                <w:iCs/>
                <w:sz w:val="20"/>
              </w:rPr>
              <w:t xml:space="preserve"> </w:t>
            </w:r>
            <w:proofErr w:type="spellStart"/>
            <w:r w:rsidRPr="00963440">
              <w:rPr>
                <w:rFonts w:ascii="Calibri" w:hAnsi="Calibri" w:cs="Calibri"/>
                <w:iCs/>
                <w:sz w:val="20"/>
              </w:rPr>
              <w:t>na</w:t>
            </w:r>
            <w:proofErr w:type="spellEnd"/>
            <w:r w:rsidRPr="00963440">
              <w:rPr>
                <w:rFonts w:ascii="Calibri" w:hAnsi="Calibri" w:cs="Calibri"/>
                <w:iCs/>
                <w:sz w:val="20"/>
              </w:rPr>
              <w:t xml:space="preserve"> </w:t>
            </w:r>
            <w:proofErr w:type="spellStart"/>
            <w:r w:rsidRPr="00963440">
              <w:rPr>
                <w:rFonts w:ascii="Calibri" w:hAnsi="Calibri" w:cs="Calibri"/>
                <w:iCs/>
                <w:sz w:val="20"/>
              </w:rPr>
              <w:t>bezpečnostní</w:t>
            </w:r>
            <w:proofErr w:type="spellEnd"/>
            <w:r w:rsidRPr="00963440">
              <w:rPr>
                <w:rFonts w:ascii="Calibri" w:hAnsi="Calibri" w:cs="Calibri"/>
                <w:iCs/>
                <w:sz w:val="20"/>
              </w:rPr>
              <w:t xml:space="preserve"> </w:t>
            </w:r>
            <w:proofErr w:type="spellStart"/>
            <w:r w:rsidRPr="00963440">
              <w:rPr>
                <w:rFonts w:ascii="Calibri" w:hAnsi="Calibri" w:cs="Calibri"/>
                <w:iCs/>
                <w:sz w:val="20"/>
              </w:rPr>
              <w:t>povědomí</w:t>
            </w:r>
            <w:proofErr w:type="spellEnd"/>
            <w:r w:rsidRPr="00963440">
              <w:rPr>
                <w:rFonts w:ascii="Calibri" w:hAnsi="Calibri" w:cs="Calibri"/>
                <w:iCs/>
                <w:sz w:val="20"/>
              </w:rPr>
              <w:t xml:space="preserve"> </w:t>
            </w:r>
            <w:proofErr w:type="spellStart"/>
            <w:r w:rsidRPr="00963440">
              <w:rPr>
                <w:rFonts w:ascii="Calibri" w:hAnsi="Calibri" w:cs="Calibri"/>
                <w:iCs/>
                <w:sz w:val="20"/>
              </w:rPr>
              <w:t>pracovníků</w:t>
            </w:r>
            <w:proofErr w:type="spellEnd"/>
            <w:r w:rsidRPr="00963440">
              <w:rPr>
                <w:rFonts w:ascii="Calibri" w:hAnsi="Calibri" w:cs="Calibri"/>
                <w:iCs/>
                <w:sz w:val="20"/>
              </w:rPr>
              <w:t xml:space="preserve"> </w:t>
            </w:r>
            <w:proofErr w:type="spellStart"/>
            <w:r w:rsidRPr="00963440">
              <w:rPr>
                <w:rFonts w:ascii="Calibri" w:hAnsi="Calibri" w:cs="Calibri"/>
                <w:iCs/>
                <w:sz w:val="20"/>
              </w:rPr>
              <w:t>společnosti</w:t>
            </w:r>
            <w:proofErr w:type="spellEnd"/>
          </w:p>
        </w:tc>
      </w:tr>
      <w:tr w:rsidR="00D16E1E" w14:paraId="613A7D5E" w14:textId="77777777" w:rsidTr="0014576C">
        <w:trPr>
          <w:trHeight w:hRule="exact" w:val="284"/>
        </w:trPr>
        <w:tc>
          <w:tcPr>
            <w:tcW w:w="562" w:type="dxa"/>
          </w:tcPr>
          <w:p w14:paraId="333BA58E" w14:textId="77777777" w:rsidR="00D16E1E" w:rsidRPr="006C6B8E" w:rsidRDefault="00D16E1E" w:rsidP="0014576C">
            <w:pPr>
              <w:pStyle w:val="Zkladntext"/>
              <w:rPr>
                <w:rFonts w:ascii="Calibri" w:hAnsi="Calibri" w:cs="Calibri"/>
                <w:iCs/>
                <w:sz w:val="20"/>
              </w:rPr>
            </w:pPr>
          </w:p>
        </w:tc>
        <w:tc>
          <w:tcPr>
            <w:tcW w:w="8500" w:type="dxa"/>
          </w:tcPr>
          <w:p w14:paraId="124AF8E1" w14:textId="77777777" w:rsidR="00D16E1E" w:rsidRPr="00963440" w:rsidRDefault="00D16E1E" w:rsidP="0014576C">
            <w:pPr>
              <w:pStyle w:val="Zkladntext"/>
              <w:rPr>
                <w:rFonts w:ascii="Calibri" w:hAnsi="Calibri" w:cs="Calibri"/>
                <w:iCs/>
                <w:sz w:val="20"/>
              </w:rPr>
            </w:pPr>
            <w:proofErr w:type="spellStart"/>
            <w:r w:rsidRPr="00963440">
              <w:rPr>
                <w:rFonts w:ascii="Calibri" w:hAnsi="Calibri" w:cs="Calibri"/>
                <w:iCs/>
                <w:sz w:val="20"/>
              </w:rPr>
              <w:t>Příklad</w:t>
            </w:r>
            <w:proofErr w:type="spellEnd"/>
            <w:r w:rsidRPr="00963440">
              <w:rPr>
                <w:rFonts w:ascii="Calibri" w:hAnsi="Calibri" w:cs="Calibri"/>
                <w:iCs/>
                <w:sz w:val="20"/>
              </w:rPr>
              <w:t xml:space="preserve"> </w:t>
            </w:r>
            <w:proofErr w:type="spellStart"/>
            <w:r w:rsidRPr="00963440">
              <w:rPr>
                <w:rFonts w:ascii="Calibri" w:hAnsi="Calibri" w:cs="Calibri"/>
                <w:iCs/>
                <w:sz w:val="20"/>
              </w:rPr>
              <w:t>požadavku</w:t>
            </w:r>
            <w:proofErr w:type="spellEnd"/>
            <w:r w:rsidRPr="00963440">
              <w:rPr>
                <w:rFonts w:ascii="Calibri" w:hAnsi="Calibri" w:cs="Calibri"/>
                <w:iCs/>
                <w:sz w:val="20"/>
              </w:rPr>
              <w:t xml:space="preserve"> </w:t>
            </w:r>
            <w:proofErr w:type="spellStart"/>
            <w:r w:rsidRPr="00963440">
              <w:rPr>
                <w:rFonts w:ascii="Calibri" w:hAnsi="Calibri" w:cs="Calibri"/>
                <w:iCs/>
                <w:sz w:val="20"/>
              </w:rPr>
              <w:t>na</w:t>
            </w:r>
            <w:proofErr w:type="spellEnd"/>
            <w:r w:rsidRPr="00963440">
              <w:rPr>
                <w:rFonts w:ascii="Calibri" w:hAnsi="Calibri" w:cs="Calibri"/>
                <w:iCs/>
                <w:sz w:val="20"/>
              </w:rPr>
              <w:t xml:space="preserve"> </w:t>
            </w:r>
            <w:proofErr w:type="spellStart"/>
            <w:r w:rsidRPr="00963440">
              <w:rPr>
                <w:rFonts w:ascii="Calibri" w:hAnsi="Calibri" w:cs="Calibri"/>
                <w:iCs/>
                <w:sz w:val="20"/>
              </w:rPr>
              <w:t>zřízení</w:t>
            </w:r>
            <w:proofErr w:type="spellEnd"/>
            <w:r w:rsidRPr="00963440">
              <w:rPr>
                <w:rFonts w:ascii="Calibri" w:hAnsi="Calibri" w:cs="Calibri"/>
                <w:iCs/>
                <w:sz w:val="20"/>
              </w:rPr>
              <w:t xml:space="preserve"> </w:t>
            </w:r>
            <w:proofErr w:type="spellStart"/>
            <w:r w:rsidRPr="00963440">
              <w:rPr>
                <w:rFonts w:ascii="Calibri" w:hAnsi="Calibri" w:cs="Calibri"/>
                <w:iCs/>
                <w:sz w:val="20"/>
              </w:rPr>
              <w:t>nového</w:t>
            </w:r>
            <w:proofErr w:type="spellEnd"/>
            <w:r w:rsidRPr="00963440">
              <w:rPr>
                <w:rFonts w:ascii="Calibri" w:hAnsi="Calibri" w:cs="Calibri"/>
                <w:iCs/>
                <w:sz w:val="20"/>
              </w:rPr>
              <w:t xml:space="preserve"> </w:t>
            </w:r>
            <w:proofErr w:type="spellStart"/>
            <w:r w:rsidRPr="00963440">
              <w:rPr>
                <w:rFonts w:ascii="Calibri" w:hAnsi="Calibri" w:cs="Calibri"/>
                <w:iCs/>
                <w:sz w:val="20"/>
              </w:rPr>
              <w:t>přístupu</w:t>
            </w:r>
            <w:proofErr w:type="spellEnd"/>
            <w:r w:rsidRPr="00963440">
              <w:rPr>
                <w:rFonts w:ascii="Calibri" w:hAnsi="Calibri" w:cs="Calibri"/>
                <w:iCs/>
                <w:sz w:val="20"/>
              </w:rPr>
              <w:t xml:space="preserve"> </w:t>
            </w:r>
            <w:proofErr w:type="spellStart"/>
            <w:r w:rsidRPr="00963440">
              <w:rPr>
                <w:rFonts w:ascii="Calibri" w:hAnsi="Calibri" w:cs="Calibri"/>
                <w:iCs/>
                <w:sz w:val="20"/>
              </w:rPr>
              <w:t>uživatele</w:t>
            </w:r>
            <w:proofErr w:type="spellEnd"/>
            <w:r w:rsidRPr="00963440">
              <w:rPr>
                <w:rFonts w:ascii="Calibri" w:hAnsi="Calibri" w:cs="Calibri"/>
                <w:iCs/>
                <w:sz w:val="20"/>
              </w:rPr>
              <w:t xml:space="preserve">/ </w:t>
            </w:r>
            <w:proofErr w:type="spellStart"/>
            <w:r w:rsidRPr="00963440">
              <w:rPr>
                <w:rFonts w:ascii="Calibri" w:hAnsi="Calibri" w:cs="Calibri"/>
                <w:iCs/>
                <w:sz w:val="20"/>
              </w:rPr>
              <w:t>ukončení</w:t>
            </w:r>
            <w:proofErr w:type="spellEnd"/>
            <w:r w:rsidRPr="00963440">
              <w:rPr>
                <w:rFonts w:ascii="Calibri" w:hAnsi="Calibri" w:cs="Calibri"/>
                <w:iCs/>
                <w:sz w:val="20"/>
              </w:rPr>
              <w:t xml:space="preserve"> </w:t>
            </w:r>
            <w:proofErr w:type="spellStart"/>
            <w:r w:rsidRPr="00963440">
              <w:rPr>
                <w:rFonts w:ascii="Calibri" w:hAnsi="Calibri" w:cs="Calibri"/>
                <w:iCs/>
                <w:sz w:val="20"/>
              </w:rPr>
              <w:t>přístupu</w:t>
            </w:r>
            <w:proofErr w:type="spellEnd"/>
            <w:r w:rsidRPr="00963440">
              <w:rPr>
                <w:rFonts w:ascii="Calibri" w:hAnsi="Calibri" w:cs="Calibri"/>
                <w:iCs/>
                <w:sz w:val="20"/>
              </w:rPr>
              <w:t xml:space="preserve"> </w:t>
            </w:r>
            <w:proofErr w:type="spellStart"/>
            <w:r w:rsidRPr="00963440">
              <w:rPr>
                <w:rFonts w:ascii="Calibri" w:hAnsi="Calibri" w:cs="Calibri"/>
                <w:iCs/>
                <w:sz w:val="20"/>
              </w:rPr>
              <w:t>uživatele</w:t>
            </w:r>
            <w:proofErr w:type="spellEnd"/>
          </w:p>
        </w:tc>
      </w:tr>
      <w:tr w:rsidR="00963440" w14:paraId="0A3C3C1C" w14:textId="77777777" w:rsidTr="0014576C">
        <w:trPr>
          <w:trHeight w:hRule="exact" w:val="284"/>
        </w:trPr>
        <w:tc>
          <w:tcPr>
            <w:tcW w:w="562" w:type="dxa"/>
          </w:tcPr>
          <w:p w14:paraId="2909DDED" w14:textId="77777777" w:rsidR="00963440" w:rsidRPr="006C6B8E" w:rsidRDefault="00963440" w:rsidP="0014576C">
            <w:pPr>
              <w:pStyle w:val="Zkladntext"/>
              <w:rPr>
                <w:rFonts w:ascii="Calibri" w:hAnsi="Calibri" w:cs="Calibri"/>
                <w:iCs/>
                <w:sz w:val="20"/>
              </w:rPr>
            </w:pPr>
          </w:p>
        </w:tc>
        <w:tc>
          <w:tcPr>
            <w:tcW w:w="8500" w:type="dxa"/>
          </w:tcPr>
          <w:p w14:paraId="7A93915B" w14:textId="77777777" w:rsidR="00963440" w:rsidRPr="00C41089" w:rsidRDefault="00963440" w:rsidP="0014576C">
            <w:pPr>
              <w:pStyle w:val="Zkladntext"/>
              <w:rPr>
                <w:rFonts w:ascii="Calibri" w:hAnsi="Calibri" w:cs="Calibri"/>
                <w:i/>
                <w:sz w:val="20"/>
              </w:rPr>
            </w:pPr>
          </w:p>
        </w:tc>
      </w:tr>
      <w:tr w:rsidR="00D16E1E" w14:paraId="2BE953DC" w14:textId="77777777" w:rsidTr="0014576C">
        <w:trPr>
          <w:trHeight w:hRule="exact" w:val="284"/>
        </w:trPr>
        <w:tc>
          <w:tcPr>
            <w:tcW w:w="562" w:type="dxa"/>
          </w:tcPr>
          <w:p w14:paraId="1BE870BE" w14:textId="77777777" w:rsidR="00D16E1E" w:rsidRPr="006C6B8E" w:rsidRDefault="00D16E1E" w:rsidP="0014576C">
            <w:pPr>
              <w:pStyle w:val="Zkladntext"/>
              <w:rPr>
                <w:rFonts w:ascii="Calibri" w:hAnsi="Calibri" w:cs="Calibri"/>
                <w:iCs/>
                <w:sz w:val="20"/>
              </w:rPr>
            </w:pPr>
          </w:p>
        </w:tc>
        <w:tc>
          <w:tcPr>
            <w:tcW w:w="8500" w:type="dxa"/>
          </w:tcPr>
          <w:p w14:paraId="3F39EA96" w14:textId="77777777" w:rsidR="00D16E1E" w:rsidRPr="00C41089" w:rsidRDefault="00D16E1E" w:rsidP="0014576C">
            <w:pPr>
              <w:pStyle w:val="Zkladntext"/>
              <w:rPr>
                <w:rFonts w:ascii="Calibri" w:hAnsi="Calibri" w:cs="Calibri"/>
                <w:i/>
                <w:sz w:val="20"/>
              </w:rPr>
            </w:pPr>
            <w:proofErr w:type="spellStart"/>
            <w:r w:rsidRPr="00FB0F31">
              <w:rPr>
                <w:rFonts w:ascii="Calibri" w:hAnsi="Calibri" w:cs="Calibri"/>
                <w:b/>
                <w:bCs/>
                <w:iCs/>
                <w:sz w:val="20"/>
              </w:rPr>
              <w:t>Dokumenty</w:t>
            </w:r>
            <w:proofErr w:type="spellEnd"/>
            <w:r w:rsidRPr="00FB0F31">
              <w:rPr>
                <w:rFonts w:ascii="Calibri" w:hAnsi="Calibri" w:cs="Calibri"/>
                <w:b/>
                <w:bCs/>
                <w:iCs/>
                <w:sz w:val="20"/>
              </w:rPr>
              <w:t xml:space="preserve"> pro </w:t>
            </w:r>
            <w:proofErr w:type="spellStart"/>
            <w:r w:rsidRPr="00FB0F31">
              <w:rPr>
                <w:rFonts w:ascii="Calibri" w:hAnsi="Calibri" w:cs="Calibri"/>
                <w:b/>
                <w:bCs/>
                <w:iCs/>
                <w:sz w:val="20"/>
              </w:rPr>
              <w:t>revizi</w:t>
            </w:r>
            <w:proofErr w:type="spellEnd"/>
            <w:r w:rsidRPr="00FB0F31">
              <w:rPr>
                <w:rFonts w:ascii="Calibri" w:hAnsi="Calibri" w:cs="Calibri"/>
                <w:b/>
                <w:bCs/>
                <w:iCs/>
                <w:sz w:val="20"/>
              </w:rPr>
              <w:t xml:space="preserve"> </w:t>
            </w:r>
            <w:proofErr w:type="spellStart"/>
            <w:r w:rsidRPr="00FB0F31">
              <w:rPr>
                <w:rFonts w:ascii="Calibri" w:hAnsi="Calibri" w:cs="Calibri"/>
                <w:b/>
                <w:bCs/>
                <w:iCs/>
                <w:sz w:val="20"/>
              </w:rPr>
              <w:t>procesů</w:t>
            </w:r>
            <w:proofErr w:type="spellEnd"/>
            <w:r w:rsidRPr="00FB0F31">
              <w:rPr>
                <w:rFonts w:ascii="Calibri" w:hAnsi="Calibri" w:cs="Calibri"/>
                <w:b/>
                <w:bCs/>
                <w:iCs/>
                <w:sz w:val="20"/>
              </w:rPr>
              <w:t xml:space="preserve"> v </w:t>
            </w:r>
            <w:proofErr w:type="spellStart"/>
            <w:r w:rsidRPr="00FB0F31">
              <w:rPr>
                <w:rFonts w:ascii="Calibri" w:hAnsi="Calibri" w:cs="Calibri"/>
                <w:b/>
                <w:bCs/>
                <w:iCs/>
                <w:sz w:val="20"/>
              </w:rPr>
              <w:t>oblasti</w:t>
            </w:r>
            <w:proofErr w:type="spellEnd"/>
            <w:r w:rsidRPr="00FB0F31">
              <w:rPr>
                <w:rFonts w:ascii="Calibri" w:hAnsi="Calibri" w:cs="Calibri"/>
                <w:b/>
                <w:bCs/>
                <w:iCs/>
                <w:sz w:val="20"/>
              </w:rPr>
              <w:t xml:space="preserve"> </w:t>
            </w:r>
            <w:proofErr w:type="spellStart"/>
            <w:r>
              <w:rPr>
                <w:rFonts w:ascii="Calibri" w:hAnsi="Calibri" w:cs="Calibri"/>
                <w:b/>
                <w:bCs/>
                <w:iCs/>
                <w:sz w:val="20"/>
              </w:rPr>
              <w:t>Právní</w:t>
            </w:r>
            <w:proofErr w:type="spellEnd"/>
            <w:r>
              <w:rPr>
                <w:rFonts w:ascii="Calibri" w:hAnsi="Calibri" w:cs="Calibri"/>
                <w:b/>
                <w:bCs/>
                <w:iCs/>
                <w:sz w:val="20"/>
              </w:rPr>
              <w:t xml:space="preserve"> </w:t>
            </w:r>
            <w:proofErr w:type="spellStart"/>
            <w:r>
              <w:rPr>
                <w:rFonts w:ascii="Calibri" w:hAnsi="Calibri" w:cs="Calibri"/>
                <w:b/>
                <w:bCs/>
                <w:iCs/>
                <w:sz w:val="20"/>
              </w:rPr>
              <w:t>agendy</w:t>
            </w:r>
            <w:proofErr w:type="spellEnd"/>
            <w:r>
              <w:rPr>
                <w:rFonts w:ascii="Calibri" w:hAnsi="Calibri" w:cs="Calibri"/>
                <w:b/>
                <w:bCs/>
                <w:iCs/>
                <w:sz w:val="20"/>
              </w:rPr>
              <w:t>:</w:t>
            </w:r>
          </w:p>
        </w:tc>
      </w:tr>
      <w:tr w:rsidR="004E5D0F" w14:paraId="3466FC92" w14:textId="77777777" w:rsidTr="0014576C">
        <w:trPr>
          <w:trHeight w:hRule="exact" w:val="284"/>
        </w:trPr>
        <w:tc>
          <w:tcPr>
            <w:tcW w:w="562" w:type="dxa"/>
          </w:tcPr>
          <w:p w14:paraId="3142F0D2" w14:textId="77777777" w:rsidR="004E5D0F" w:rsidRPr="006C6B8E" w:rsidRDefault="004E5D0F" w:rsidP="004E5D0F">
            <w:pPr>
              <w:pStyle w:val="Zkladntext"/>
              <w:rPr>
                <w:rFonts w:ascii="Calibri" w:hAnsi="Calibri" w:cs="Calibri"/>
                <w:iCs/>
                <w:sz w:val="20"/>
              </w:rPr>
            </w:pPr>
          </w:p>
        </w:tc>
        <w:tc>
          <w:tcPr>
            <w:tcW w:w="8500" w:type="dxa"/>
          </w:tcPr>
          <w:p w14:paraId="701D7038" w14:textId="69B4A53C"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interních</w:t>
            </w:r>
            <w:proofErr w:type="spellEnd"/>
            <w:r w:rsidRPr="004E5D0F">
              <w:rPr>
                <w:rFonts w:ascii="Calibri" w:hAnsi="Calibri" w:cs="Calibri"/>
                <w:iCs/>
                <w:sz w:val="20"/>
              </w:rPr>
              <w:t xml:space="preserve"> </w:t>
            </w:r>
            <w:proofErr w:type="spellStart"/>
            <w:r w:rsidRPr="004E5D0F">
              <w:rPr>
                <w:rFonts w:ascii="Calibri" w:hAnsi="Calibri" w:cs="Calibri"/>
                <w:iCs/>
                <w:sz w:val="20"/>
              </w:rPr>
              <w:t>předpisů</w:t>
            </w:r>
            <w:proofErr w:type="spellEnd"/>
            <w:r w:rsidRPr="004E5D0F">
              <w:rPr>
                <w:rFonts w:ascii="Calibri" w:hAnsi="Calibri" w:cs="Calibri"/>
                <w:iCs/>
                <w:sz w:val="20"/>
              </w:rPr>
              <w:t xml:space="preserve"> pro </w:t>
            </w:r>
            <w:proofErr w:type="spellStart"/>
            <w:r w:rsidRPr="004E5D0F">
              <w:rPr>
                <w:rFonts w:ascii="Calibri" w:hAnsi="Calibri" w:cs="Calibri"/>
                <w:iCs/>
                <w:sz w:val="20"/>
              </w:rPr>
              <w:t>Právní</w:t>
            </w:r>
            <w:proofErr w:type="spellEnd"/>
            <w:r w:rsidRPr="004E5D0F">
              <w:rPr>
                <w:rFonts w:ascii="Calibri" w:hAnsi="Calibri" w:cs="Calibri"/>
                <w:iCs/>
                <w:sz w:val="20"/>
              </w:rPr>
              <w:t xml:space="preserve"> oblast (</w:t>
            </w:r>
            <w:proofErr w:type="spellStart"/>
            <w:r w:rsidRPr="004E5D0F">
              <w:rPr>
                <w:rFonts w:ascii="Calibri" w:hAnsi="Calibri" w:cs="Calibri"/>
                <w:iCs/>
                <w:sz w:val="20"/>
              </w:rPr>
              <w:t>vč</w:t>
            </w:r>
            <w:proofErr w:type="spellEnd"/>
            <w:r w:rsidRPr="004E5D0F">
              <w:rPr>
                <w:rFonts w:ascii="Calibri" w:hAnsi="Calibri" w:cs="Calibri"/>
                <w:iCs/>
                <w:sz w:val="20"/>
              </w:rPr>
              <w:t>. Compliance)</w:t>
            </w:r>
          </w:p>
        </w:tc>
      </w:tr>
      <w:tr w:rsidR="004E5D0F" w14:paraId="2862C154" w14:textId="77777777" w:rsidTr="0014576C">
        <w:trPr>
          <w:trHeight w:hRule="exact" w:val="284"/>
        </w:trPr>
        <w:tc>
          <w:tcPr>
            <w:tcW w:w="562" w:type="dxa"/>
          </w:tcPr>
          <w:p w14:paraId="28A12EB7" w14:textId="77777777" w:rsidR="004E5D0F" w:rsidRPr="006C6B8E" w:rsidRDefault="004E5D0F" w:rsidP="004E5D0F">
            <w:pPr>
              <w:pStyle w:val="Zkladntext"/>
              <w:rPr>
                <w:rFonts w:ascii="Calibri" w:hAnsi="Calibri" w:cs="Calibri"/>
                <w:iCs/>
                <w:sz w:val="20"/>
              </w:rPr>
            </w:pPr>
          </w:p>
        </w:tc>
        <w:tc>
          <w:tcPr>
            <w:tcW w:w="8500" w:type="dxa"/>
          </w:tcPr>
          <w:p w14:paraId="4A89ED55" w14:textId="5233E4CF"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Interní</w:t>
            </w:r>
            <w:proofErr w:type="spellEnd"/>
            <w:r w:rsidRPr="004E5D0F">
              <w:rPr>
                <w:rFonts w:ascii="Calibri" w:hAnsi="Calibri" w:cs="Calibri"/>
                <w:iCs/>
                <w:sz w:val="20"/>
              </w:rPr>
              <w:t xml:space="preserve"> </w:t>
            </w:r>
            <w:proofErr w:type="spellStart"/>
            <w:r w:rsidRPr="004E5D0F">
              <w:rPr>
                <w:rFonts w:ascii="Calibri" w:hAnsi="Calibri" w:cs="Calibri"/>
                <w:iCs/>
                <w:sz w:val="20"/>
              </w:rPr>
              <w:t>předpisy</w:t>
            </w:r>
            <w:proofErr w:type="spellEnd"/>
            <w:r w:rsidRPr="004E5D0F">
              <w:rPr>
                <w:rFonts w:ascii="Calibri" w:hAnsi="Calibri" w:cs="Calibri"/>
                <w:iCs/>
                <w:sz w:val="20"/>
              </w:rPr>
              <w:t xml:space="preserve"> pro </w:t>
            </w:r>
            <w:proofErr w:type="spellStart"/>
            <w:r w:rsidRPr="004E5D0F">
              <w:rPr>
                <w:rFonts w:ascii="Calibri" w:hAnsi="Calibri" w:cs="Calibri"/>
                <w:iCs/>
                <w:sz w:val="20"/>
              </w:rPr>
              <w:t>Právní</w:t>
            </w:r>
            <w:proofErr w:type="spellEnd"/>
            <w:r w:rsidRPr="004E5D0F">
              <w:rPr>
                <w:rFonts w:ascii="Calibri" w:hAnsi="Calibri" w:cs="Calibri"/>
                <w:iCs/>
                <w:sz w:val="20"/>
              </w:rPr>
              <w:t xml:space="preserve"> oblast (</w:t>
            </w:r>
            <w:proofErr w:type="spellStart"/>
            <w:r w:rsidRPr="004E5D0F">
              <w:rPr>
                <w:rFonts w:ascii="Calibri" w:hAnsi="Calibri" w:cs="Calibri"/>
                <w:iCs/>
                <w:sz w:val="20"/>
              </w:rPr>
              <w:t>vč</w:t>
            </w:r>
            <w:proofErr w:type="spellEnd"/>
            <w:r w:rsidRPr="004E5D0F">
              <w:rPr>
                <w:rFonts w:ascii="Calibri" w:hAnsi="Calibri" w:cs="Calibri"/>
                <w:iCs/>
                <w:sz w:val="20"/>
              </w:rPr>
              <w:t>. Compliance)</w:t>
            </w:r>
          </w:p>
        </w:tc>
      </w:tr>
      <w:tr w:rsidR="004E5D0F" w14:paraId="2B1A4BDC" w14:textId="77777777" w:rsidTr="0014576C">
        <w:trPr>
          <w:trHeight w:hRule="exact" w:val="284"/>
        </w:trPr>
        <w:tc>
          <w:tcPr>
            <w:tcW w:w="562" w:type="dxa"/>
          </w:tcPr>
          <w:p w14:paraId="26E69B81" w14:textId="77777777" w:rsidR="004E5D0F" w:rsidRPr="006C6B8E" w:rsidRDefault="004E5D0F" w:rsidP="004E5D0F">
            <w:pPr>
              <w:pStyle w:val="Zkladntext"/>
              <w:rPr>
                <w:rFonts w:ascii="Calibri" w:hAnsi="Calibri" w:cs="Calibri"/>
                <w:iCs/>
                <w:sz w:val="20"/>
              </w:rPr>
            </w:pPr>
          </w:p>
        </w:tc>
        <w:tc>
          <w:tcPr>
            <w:tcW w:w="8500" w:type="dxa"/>
          </w:tcPr>
          <w:p w14:paraId="77E86FEA" w14:textId="2BDDB643"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osob</w:t>
            </w:r>
            <w:proofErr w:type="spellEnd"/>
            <w:r w:rsidRPr="004E5D0F">
              <w:rPr>
                <w:rFonts w:ascii="Calibri" w:hAnsi="Calibri" w:cs="Calibri"/>
                <w:iCs/>
                <w:sz w:val="20"/>
              </w:rPr>
              <w:t xml:space="preserve"> </w:t>
            </w:r>
            <w:proofErr w:type="spellStart"/>
            <w:r w:rsidRPr="004E5D0F">
              <w:rPr>
                <w:rFonts w:ascii="Calibri" w:hAnsi="Calibri" w:cs="Calibri"/>
                <w:iCs/>
                <w:sz w:val="20"/>
              </w:rPr>
              <w:t>odpovědných</w:t>
            </w:r>
            <w:proofErr w:type="spellEnd"/>
            <w:r w:rsidRPr="004E5D0F">
              <w:rPr>
                <w:rFonts w:ascii="Calibri" w:hAnsi="Calibri" w:cs="Calibri"/>
                <w:iCs/>
                <w:sz w:val="20"/>
              </w:rPr>
              <w:t xml:space="preserve"> za </w:t>
            </w:r>
            <w:proofErr w:type="spellStart"/>
            <w:r w:rsidRPr="004E5D0F">
              <w:rPr>
                <w:rFonts w:ascii="Calibri" w:hAnsi="Calibri" w:cs="Calibri"/>
                <w:iCs/>
                <w:sz w:val="20"/>
              </w:rPr>
              <w:t>Právní</w:t>
            </w:r>
            <w:proofErr w:type="spellEnd"/>
            <w:r w:rsidRPr="004E5D0F">
              <w:rPr>
                <w:rFonts w:ascii="Calibri" w:hAnsi="Calibri" w:cs="Calibri"/>
                <w:iCs/>
                <w:sz w:val="20"/>
              </w:rPr>
              <w:t xml:space="preserve"> oblast</w:t>
            </w:r>
          </w:p>
        </w:tc>
      </w:tr>
      <w:tr w:rsidR="004E5D0F" w14:paraId="769B394A" w14:textId="77777777" w:rsidTr="0014576C">
        <w:trPr>
          <w:trHeight w:hRule="exact" w:val="284"/>
        </w:trPr>
        <w:tc>
          <w:tcPr>
            <w:tcW w:w="562" w:type="dxa"/>
          </w:tcPr>
          <w:p w14:paraId="1CE32AC4" w14:textId="77777777" w:rsidR="004E5D0F" w:rsidRPr="006C6B8E" w:rsidRDefault="004E5D0F" w:rsidP="004E5D0F">
            <w:pPr>
              <w:pStyle w:val="Zkladntext"/>
              <w:rPr>
                <w:rFonts w:ascii="Calibri" w:hAnsi="Calibri" w:cs="Calibri"/>
                <w:iCs/>
                <w:sz w:val="20"/>
              </w:rPr>
            </w:pPr>
          </w:p>
        </w:tc>
        <w:tc>
          <w:tcPr>
            <w:tcW w:w="8500" w:type="dxa"/>
          </w:tcPr>
          <w:p w14:paraId="51EC7040" w14:textId="73A5F2BE"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Odpovědnosti</w:t>
            </w:r>
            <w:proofErr w:type="spellEnd"/>
            <w:r w:rsidRPr="004E5D0F">
              <w:rPr>
                <w:rFonts w:ascii="Calibri" w:hAnsi="Calibri" w:cs="Calibri"/>
                <w:iCs/>
                <w:sz w:val="20"/>
              </w:rPr>
              <w:t xml:space="preserve"> </w:t>
            </w:r>
            <w:proofErr w:type="spellStart"/>
            <w:r w:rsidRPr="004E5D0F">
              <w:rPr>
                <w:rFonts w:ascii="Calibri" w:hAnsi="Calibri" w:cs="Calibri"/>
                <w:iCs/>
                <w:sz w:val="20"/>
              </w:rPr>
              <w:t>jednotlivých</w:t>
            </w:r>
            <w:proofErr w:type="spellEnd"/>
            <w:r w:rsidRPr="004E5D0F">
              <w:rPr>
                <w:rFonts w:ascii="Calibri" w:hAnsi="Calibri" w:cs="Calibri"/>
                <w:iCs/>
                <w:sz w:val="20"/>
              </w:rPr>
              <w:t xml:space="preserve"> </w:t>
            </w:r>
            <w:proofErr w:type="spellStart"/>
            <w:r w:rsidRPr="004E5D0F">
              <w:rPr>
                <w:rFonts w:ascii="Calibri" w:hAnsi="Calibri" w:cs="Calibri"/>
                <w:iCs/>
                <w:sz w:val="20"/>
              </w:rPr>
              <w:t>pracovních</w:t>
            </w:r>
            <w:proofErr w:type="spellEnd"/>
            <w:r w:rsidRPr="004E5D0F">
              <w:rPr>
                <w:rFonts w:ascii="Calibri" w:hAnsi="Calibri" w:cs="Calibri"/>
                <w:iCs/>
                <w:sz w:val="20"/>
              </w:rPr>
              <w:t xml:space="preserve"> </w:t>
            </w:r>
            <w:proofErr w:type="spellStart"/>
            <w:r w:rsidRPr="004E5D0F">
              <w:rPr>
                <w:rFonts w:ascii="Calibri" w:hAnsi="Calibri" w:cs="Calibri"/>
                <w:iCs/>
                <w:sz w:val="20"/>
              </w:rPr>
              <w:t>pozic</w:t>
            </w:r>
            <w:proofErr w:type="spellEnd"/>
            <w:r w:rsidRPr="004E5D0F">
              <w:rPr>
                <w:rFonts w:ascii="Calibri" w:hAnsi="Calibri" w:cs="Calibri"/>
                <w:iCs/>
                <w:sz w:val="20"/>
              </w:rPr>
              <w:t xml:space="preserve"> v </w:t>
            </w:r>
            <w:proofErr w:type="spellStart"/>
            <w:r w:rsidRPr="004E5D0F">
              <w:rPr>
                <w:rFonts w:ascii="Calibri" w:hAnsi="Calibri" w:cs="Calibri"/>
                <w:iCs/>
                <w:sz w:val="20"/>
              </w:rPr>
              <w:t>Právní</w:t>
            </w:r>
            <w:proofErr w:type="spellEnd"/>
            <w:r w:rsidRPr="004E5D0F">
              <w:rPr>
                <w:rFonts w:ascii="Calibri" w:hAnsi="Calibri" w:cs="Calibri"/>
                <w:iCs/>
                <w:sz w:val="20"/>
              </w:rPr>
              <w:t xml:space="preserve"> </w:t>
            </w:r>
            <w:proofErr w:type="spellStart"/>
            <w:r w:rsidRPr="004E5D0F">
              <w:rPr>
                <w:rFonts w:ascii="Calibri" w:hAnsi="Calibri" w:cs="Calibri"/>
                <w:iCs/>
                <w:sz w:val="20"/>
              </w:rPr>
              <w:t>oblasti</w:t>
            </w:r>
            <w:proofErr w:type="spellEnd"/>
          </w:p>
        </w:tc>
      </w:tr>
      <w:tr w:rsidR="004E5D0F" w14:paraId="6D4D1874" w14:textId="77777777" w:rsidTr="0014576C">
        <w:trPr>
          <w:trHeight w:hRule="exact" w:val="284"/>
        </w:trPr>
        <w:tc>
          <w:tcPr>
            <w:tcW w:w="562" w:type="dxa"/>
          </w:tcPr>
          <w:p w14:paraId="402C67B5" w14:textId="77777777" w:rsidR="004E5D0F" w:rsidRPr="006C6B8E" w:rsidRDefault="004E5D0F" w:rsidP="004E5D0F">
            <w:pPr>
              <w:pStyle w:val="Zkladntext"/>
              <w:rPr>
                <w:rFonts w:ascii="Calibri" w:hAnsi="Calibri" w:cs="Calibri"/>
                <w:iCs/>
                <w:sz w:val="20"/>
              </w:rPr>
            </w:pPr>
          </w:p>
        </w:tc>
        <w:tc>
          <w:tcPr>
            <w:tcW w:w="8500" w:type="dxa"/>
          </w:tcPr>
          <w:p w14:paraId="02937070" w14:textId="405E4B06"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všech</w:t>
            </w:r>
            <w:proofErr w:type="spellEnd"/>
            <w:r w:rsidRPr="004E5D0F">
              <w:rPr>
                <w:rFonts w:ascii="Calibri" w:hAnsi="Calibri" w:cs="Calibri"/>
                <w:iCs/>
                <w:sz w:val="20"/>
              </w:rPr>
              <w:t xml:space="preserve"> </w:t>
            </w:r>
            <w:proofErr w:type="spellStart"/>
            <w:r w:rsidRPr="004E5D0F">
              <w:rPr>
                <w:rFonts w:ascii="Calibri" w:hAnsi="Calibri" w:cs="Calibri"/>
                <w:iCs/>
                <w:sz w:val="20"/>
              </w:rPr>
              <w:t>soudních</w:t>
            </w:r>
            <w:proofErr w:type="spellEnd"/>
            <w:r w:rsidRPr="004E5D0F">
              <w:rPr>
                <w:rFonts w:ascii="Calibri" w:hAnsi="Calibri" w:cs="Calibri"/>
                <w:iCs/>
                <w:sz w:val="20"/>
              </w:rPr>
              <w:t xml:space="preserve"> </w:t>
            </w:r>
            <w:proofErr w:type="spellStart"/>
            <w:r w:rsidRPr="004E5D0F">
              <w:rPr>
                <w:rFonts w:ascii="Calibri" w:hAnsi="Calibri" w:cs="Calibri"/>
                <w:iCs/>
                <w:sz w:val="20"/>
              </w:rPr>
              <w:t>sporů</w:t>
            </w:r>
            <w:proofErr w:type="spellEnd"/>
            <w:r w:rsidRPr="004E5D0F">
              <w:rPr>
                <w:rFonts w:ascii="Calibri" w:hAnsi="Calibri" w:cs="Calibri"/>
                <w:iCs/>
                <w:sz w:val="20"/>
              </w:rPr>
              <w:t xml:space="preserve"> (</w:t>
            </w:r>
            <w:proofErr w:type="spellStart"/>
            <w:r w:rsidRPr="004E5D0F">
              <w:rPr>
                <w:rFonts w:ascii="Calibri" w:hAnsi="Calibri" w:cs="Calibri"/>
                <w:iCs/>
                <w:sz w:val="20"/>
              </w:rPr>
              <w:t>aktivních</w:t>
            </w:r>
            <w:proofErr w:type="spellEnd"/>
            <w:r w:rsidRPr="004E5D0F">
              <w:rPr>
                <w:rFonts w:ascii="Calibri" w:hAnsi="Calibri" w:cs="Calibri"/>
                <w:iCs/>
                <w:sz w:val="20"/>
              </w:rPr>
              <w:t xml:space="preserve"> </w:t>
            </w:r>
            <w:proofErr w:type="spellStart"/>
            <w:r w:rsidRPr="004E5D0F">
              <w:rPr>
                <w:rFonts w:ascii="Calibri" w:hAnsi="Calibri" w:cs="Calibri"/>
                <w:iCs/>
                <w:sz w:val="20"/>
              </w:rPr>
              <w:t>i</w:t>
            </w:r>
            <w:proofErr w:type="spellEnd"/>
            <w:r w:rsidRPr="004E5D0F">
              <w:rPr>
                <w:rFonts w:ascii="Calibri" w:hAnsi="Calibri" w:cs="Calibri"/>
                <w:iCs/>
                <w:sz w:val="20"/>
              </w:rPr>
              <w:t xml:space="preserve"> </w:t>
            </w:r>
            <w:proofErr w:type="spellStart"/>
            <w:r w:rsidRPr="004E5D0F">
              <w:rPr>
                <w:rFonts w:ascii="Calibri" w:hAnsi="Calibri" w:cs="Calibri"/>
                <w:iCs/>
                <w:sz w:val="20"/>
              </w:rPr>
              <w:t>pasivních</w:t>
            </w:r>
            <w:proofErr w:type="spellEnd"/>
            <w:r w:rsidRPr="004E5D0F">
              <w:rPr>
                <w:rFonts w:ascii="Calibri" w:hAnsi="Calibri" w:cs="Calibri"/>
                <w:iCs/>
                <w:sz w:val="20"/>
              </w:rPr>
              <w:t xml:space="preserve">) </w:t>
            </w:r>
          </w:p>
        </w:tc>
      </w:tr>
      <w:tr w:rsidR="004E5D0F" w14:paraId="1A81B999" w14:textId="77777777" w:rsidTr="0014576C">
        <w:trPr>
          <w:trHeight w:hRule="exact" w:val="284"/>
        </w:trPr>
        <w:tc>
          <w:tcPr>
            <w:tcW w:w="562" w:type="dxa"/>
          </w:tcPr>
          <w:p w14:paraId="2E6E2DC4" w14:textId="77777777" w:rsidR="004E5D0F" w:rsidRPr="006C6B8E" w:rsidRDefault="004E5D0F" w:rsidP="004E5D0F">
            <w:pPr>
              <w:pStyle w:val="Zkladntext"/>
              <w:rPr>
                <w:rFonts w:ascii="Calibri" w:hAnsi="Calibri" w:cs="Calibri"/>
                <w:iCs/>
                <w:sz w:val="20"/>
              </w:rPr>
            </w:pPr>
          </w:p>
        </w:tc>
        <w:tc>
          <w:tcPr>
            <w:tcW w:w="8500" w:type="dxa"/>
          </w:tcPr>
          <w:p w14:paraId="53DE842E" w14:textId="7C710383"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všech</w:t>
            </w:r>
            <w:proofErr w:type="spellEnd"/>
            <w:r w:rsidRPr="004E5D0F">
              <w:rPr>
                <w:rFonts w:ascii="Calibri" w:hAnsi="Calibri" w:cs="Calibri"/>
                <w:iCs/>
                <w:sz w:val="20"/>
              </w:rPr>
              <w:t xml:space="preserve"> </w:t>
            </w:r>
            <w:proofErr w:type="spellStart"/>
            <w:r w:rsidRPr="004E5D0F">
              <w:rPr>
                <w:rFonts w:ascii="Calibri" w:hAnsi="Calibri" w:cs="Calibri"/>
                <w:iCs/>
                <w:sz w:val="20"/>
              </w:rPr>
              <w:t>spolupracujících</w:t>
            </w:r>
            <w:proofErr w:type="spellEnd"/>
            <w:r w:rsidRPr="004E5D0F">
              <w:rPr>
                <w:rFonts w:ascii="Calibri" w:hAnsi="Calibri" w:cs="Calibri"/>
                <w:iCs/>
                <w:sz w:val="20"/>
              </w:rPr>
              <w:t>/</w:t>
            </w:r>
            <w:proofErr w:type="spellStart"/>
            <w:r w:rsidRPr="004E5D0F">
              <w:rPr>
                <w:rFonts w:ascii="Calibri" w:hAnsi="Calibri" w:cs="Calibri"/>
                <w:iCs/>
                <w:sz w:val="20"/>
              </w:rPr>
              <w:t>smluvních</w:t>
            </w:r>
            <w:proofErr w:type="spellEnd"/>
            <w:r w:rsidRPr="004E5D0F">
              <w:rPr>
                <w:rFonts w:ascii="Calibri" w:hAnsi="Calibri" w:cs="Calibri"/>
                <w:iCs/>
                <w:sz w:val="20"/>
              </w:rPr>
              <w:t xml:space="preserve"> </w:t>
            </w:r>
            <w:proofErr w:type="spellStart"/>
            <w:r w:rsidRPr="004E5D0F">
              <w:rPr>
                <w:rFonts w:ascii="Calibri" w:hAnsi="Calibri" w:cs="Calibri"/>
                <w:iCs/>
                <w:sz w:val="20"/>
              </w:rPr>
              <w:t>advokátních</w:t>
            </w:r>
            <w:proofErr w:type="spellEnd"/>
            <w:r w:rsidRPr="004E5D0F">
              <w:rPr>
                <w:rFonts w:ascii="Calibri" w:hAnsi="Calibri" w:cs="Calibri"/>
                <w:iCs/>
                <w:sz w:val="20"/>
              </w:rPr>
              <w:t xml:space="preserve"> </w:t>
            </w:r>
            <w:proofErr w:type="spellStart"/>
            <w:r w:rsidRPr="004E5D0F">
              <w:rPr>
                <w:rFonts w:ascii="Calibri" w:hAnsi="Calibri" w:cs="Calibri"/>
                <w:iCs/>
                <w:sz w:val="20"/>
              </w:rPr>
              <w:t>kanceláří</w:t>
            </w:r>
            <w:proofErr w:type="spellEnd"/>
          </w:p>
        </w:tc>
      </w:tr>
      <w:tr w:rsidR="004E5D0F" w14:paraId="67FEC64D" w14:textId="77777777" w:rsidTr="004E5D0F">
        <w:trPr>
          <w:trHeight w:hRule="exact" w:val="577"/>
        </w:trPr>
        <w:tc>
          <w:tcPr>
            <w:tcW w:w="562" w:type="dxa"/>
          </w:tcPr>
          <w:p w14:paraId="5304B01B" w14:textId="77777777" w:rsidR="004E5D0F" w:rsidRPr="006C6B8E" w:rsidRDefault="004E5D0F" w:rsidP="004E5D0F">
            <w:pPr>
              <w:pStyle w:val="Zkladntext"/>
              <w:rPr>
                <w:rFonts w:ascii="Calibri" w:hAnsi="Calibri" w:cs="Calibri"/>
                <w:iCs/>
                <w:sz w:val="20"/>
              </w:rPr>
            </w:pPr>
          </w:p>
        </w:tc>
        <w:tc>
          <w:tcPr>
            <w:tcW w:w="8500" w:type="dxa"/>
          </w:tcPr>
          <w:p w14:paraId="75E4DCFD" w14:textId="305E875A"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všech</w:t>
            </w:r>
            <w:proofErr w:type="spellEnd"/>
            <w:r w:rsidRPr="004E5D0F">
              <w:rPr>
                <w:rFonts w:ascii="Calibri" w:hAnsi="Calibri" w:cs="Calibri"/>
                <w:iCs/>
                <w:sz w:val="20"/>
              </w:rPr>
              <w:t xml:space="preserve"> </w:t>
            </w:r>
            <w:proofErr w:type="spellStart"/>
            <w:r w:rsidRPr="004E5D0F">
              <w:rPr>
                <w:rFonts w:ascii="Calibri" w:hAnsi="Calibri" w:cs="Calibri"/>
                <w:iCs/>
                <w:sz w:val="20"/>
              </w:rPr>
              <w:t>legislativních</w:t>
            </w:r>
            <w:proofErr w:type="spellEnd"/>
            <w:r w:rsidRPr="004E5D0F">
              <w:rPr>
                <w:rFonts w:ascii="Calibri" w:hAnsi="Calibri" w:cs="Calibri"/>
                <w:iCs/>
                <w:sz w:val="20"/>
              </w:rPr>
              <w:t xml:space="preserve"> </w:t>
            </w:r>
            <w:proofErr w:type="spellStart"/>
            <w:r w:rsidRPr="004E5D0F">
              <w:rPr>
                <w:rFonts w:ascii="Calibri" w:hAnsi="Calibri" w:cs="Calibri"/>
                <w:iCs/>
                <w:sz w:val="20"/>
              </w:rPr>
              <w:t>nařízení</w:t>
            </w:r>
            <w:proofErr w:type="spellEnd"/>
            <w:r w:rsidRPr="004E5D0F">
              <w:rPr>
                <w:rFonts w:ascii="Calibri" w:hAnsi="Calibri" w:cs="Calibri"/>
                <w:iCs/>
                <w:sz w:val="20"/>
              </w:rPr>
              <w:t xml:space="preserve">, z </w:t>
            </w:r>
            <w:proofErr w:type="spellStart"/>
            <w:r w:rsidRPr="004E5D0F">
              <w:rPr>
                <w:rFonts w:ascii="Calibri" w:hAnsi="Calibri" w:cs="Calibri"/>
                <w:iCs/>
                <w:sz w:val="20"/>
              </w:rPr>
              <w:t>kterých</w:t>
            </w:r>
            <w:proofErr w:type="spellEnd"/>
            <w:r w:rsidRPr="004E5D0F">
              <w:rPr>
                <w:rFonts w:ascii="Calibri" w:hAnsi="Calibri" w:cs="Calibri"/>
                <w:iCs/>
                <w:sz w:val="20"/>
              </w:rPr>
              <w:t xml:space="preserve"> </w:t>
            </w:r>
            <w:proofErr w:type="spellStart"/>
            <w:r w:rsidRPr="004E5D0F">
              <w:rPr>
                <w:rFonts w:ascii="Calibri" w:hAnsi="Calibri" w:cs="Calibri"/>
                <w:iCs/>
                <w:sz w:val="20"/>
              </w:rPr>
              <w:t>vyplývá</w:t>
            </w:r>
            <w:proofErr w:type="spellEnd"/>
            <w:r w:rsidRPr="004E5D0F">
              <w:rPr>
                <w:rFonts w:ascii="Calibri" w:hAnsi="Calibri" w:cs="Calibri"/>
                <w:iCs/>
                <w:sz w:val="20"/>
              </w:rPr>
              <w:t xml:space="preserve"> </w:t>
            </w:r>
            <w:proofErr w:type="spellStart"/>
            <w:r w:rsidRPr="004E5D0F">
              <w:rPr>
                <w:rFonts w:ascii="Calibri" w:hAnsi="Calibri" w:cs="Calibri"/>
                <w:iCs/>
                <w:sz w:val="20"/>
              </w:rPr>
              <w:t>povinnost</w:t>
            </w:r>
            <w:proofErr w:type="spellEnd"/>
            <w:r w:rsidRPr="004E5D0F">
              <w:rPr>
                <w:rFonts w:ascii="Calibri" w:hAnsi="Calibri" w:cs="Calibri"/>
                <w:iCs/>
                <w:sz w:val="20"/>
              </w:rPr>
              <w:t xml:space="preserve"> </w:t>
            </w:r>
            <w:proofErr w:type="spellStart"/>
            <w:r w:rsidRPr="004E5D0F">
              <w:rPr>
                <w:rFonts w:ascii="Calibri" w:hAnsi="Calibri" w:cs="Calibri"/>
                <w:iCs/>
                <w:sz w:val="20"/>
              </w:rPr>
              <w:t>reportování</w:t>
            </w:r>
            <w:proofErr w:type="spellEnd"/>
            <w:r w:rsidRPr="004E5D0F">
              <w:rPr>
                <w:rFonts w:ascii="Calibri" w:hAnsi="Calibri" w:cs="Calibri"/>
                <w:iCs/>
                <w:sz w:val="20"/>
              </w:rPr>
              <w:t xml:space="preserve"> </w:t>
            </w:r>
            <w:proofErr w:type="spellStart"/>
            <w:r>
              <w:rPr>
                <w:rFonts w:ascii="Calibri" w:hAnsi="Calibri" w:cs="Calibri"/>
                <w:iCs/>
                <w:sz w:val="20"/>
              </w:rPr>
              <w:t>zřizovateli</w:t>
            </w:r>
            <w:proofErr w:type="spellEnd"/>
            <w:r>
              <w:rPr>
                <w:rFonts w:ascii="Calibri" w:hAnsi="Calibri" w:cs="Calibri"/>
                <w:iCs/>
                <w:sz w:val="20"/>
              </w:rPr>
              <w:t xml:space="preserve"> </w:t>
            </w:r>
            <w:proofErr w:type="spellStart"/>
            <w:r>
              <w:rPr>
                <w:rFonts w:ascii="Calibri" w:hAnsi="Calibri" w:cs="Calibri"/>
                <w:iCs/>
                <w:sz w:val="20"/>
              </w:rPr>
              <w:t>nebo</w:t>
            </w:r>
            <w:proofErr w:type="spellEnd"/>
            <w:r>
              <w:rPr>
                <w:rFonts w:ascii="Calibri" w:hAnsi="Calibri" w:cs="Calibri"/>
                <w:iCs/>
                <w:sz w:val="20"/>
              </w:rPr>
              <w:t xml:space="preserve"> </w:t>
            </w:r>
            <w:proofErr w:type="spellStart"/>
            <w:r>
              <w:rPr>
                <w:rFonts w:ascii="Calibri" w:hAnsi="Calibri" w:cs="Calibri"/>
                <w:iCs/>
                <w:sz w:val="20"/>
              </w:rPr>
              <w:t>jiným</w:t>
            </w:r>
            <w:proofErr w:type="spellEnd"/>
            <w:r>
              <w:rPr>
                <w:rFonts w:ascii="Calibri" w:hAnsi="Calibri" w:cs="Calibri"/>
                <w:iCs/>
                <w:sz w:val="20"/>
              </w:rPr>
              <w:t xml:space="preserve"> </w:t>
            </w:r>
            <w:proofErr w:type="spellStart"/>
            <w:r>
              <w:rPr>
                <w:rFonts w:ascii="Calibri" w:hAnsi="Calibri" w:cs="Calibri"/>
                <w:iCs/>
                <w:sz w:val="20"/>
              </w:rPr>
              <w:t>autoritám</w:t>
            </w:r>
            <w:proofErr w:type="spellEnd"/>
          </w:p>
        </w:tc>
      </w:tr>
      <w:tr w:rsidR="004E5D0F" w14:paraId="348D8705" w14:textId="77777777" w:rsidTr="0014576C">
        <w:trPr>
          <w:trHeight w:hRule="exact" w:val="284"/>
        </w:trPr>
        <w:tc>
          <w:tcPr>
            <w:tcW w:w="562" w:type="dxa"/>
          </w:tcPr>
          <w:p w14:paraId="45C5619B" w14:textId="77777777" w:rsidR="004E5D0F" w:rsidRPr="006C6B8E" w:rsidRDefault="004E5D0F" w:rsidP="004E5D0F">
            <w:pPr>
              <w:pStyle w:val="Zkladntext"/>
              <w:rPr>
                <w:rFonts w:ascii="Calibri" w:hAnsi="Calibri" w:cs="Calibri"/>
                <w:iCs/>
                <w:sz w:val="20"/>
              </w:rPr>
            </w:pPr>
          </w:p>
        </w:tc>
        <w:tc>
          <w:tcPr>
            <w:tcW w:w="8500" w:type="dxa"/>
          </w:tcPr>
          <w:p w14:paraId="403E63F5" w14:textId="2D0F4A64"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všech</w:t>
            </w:r>
            <w:proofErr w:type="spellEnd"/>
            <w:r w:rsidRPr="004E5D0F">
              <w:rPr>
                <w:rFonts w:ascii="Calibri" w:hAnsi="Calibri" w:cs="Calibri"/>
                <w:iCs/>
                <w:sz w:val="20"/>
              </w:rPr>
              <w:t xml:space="preserve"> </w:t>
            </w:r>
            <w:proofErr w:type="spellStart"/>
            <w:r w:rsidRPr="004E5D0F">
              <w:rPr>
                <w:rFonts w:ascii="Calibri" w:hAnsi="Calibri" w:cs="Calibri"/>
                <w:iCs/>
                <w:sz w:val="20"/>
              </w:rPr>
              <w:t>aktivních</w:t>
            </w:r>
            <w:proofErr w:type="spellEnd"/>
            <w:r w:rsidRPr="004E5D0F">
              <w:rPr>
                <w:rFonts w:ascii="Calibri" w:hAnsi="Calibri" w:cs="Calibri"/>
                <w:iCs/>
                <w:sz w:val="20"/>
              </w:rPr>
              <w:t xml:space="preserve"> </w:t>
            </w:r>
            <w:proofErr w:type="spellStart"/>
            <w:r w:rsidRPr="004E5D0F">
              <w:rPr>
                <w:rFonts w:ascii="Calibri" w:hAnsi="Calibri" w:cs="Calibri"/>
                <w:iCs/>
                <w:sz w:val="20"/>
              </w:rPr>
              <w:t>výběrových</w:t>
            </w:r>
            <w:proofErr w:type="spellEnd"/>
            <w:r w:rsidRPr="004E5D0F">
              <w:rPr>
                <w:rFonts w:ascii="Calibri" w:hAnsi="Calibri" w:cs="Calibri"/>
                <w:iCs/>
                <w:sz w:val="20"/>
              </w:rPr>
              <w:t xml:space="preserve"> </w:t>
            </w:r>
            <w:proofErr w:type="spellStart"/>
            <w:r w:rsidRPr="004E5D0F">
              <w:rPr>
                <w:rFonts w:ascii="Calibri" w:hAnsi="Calibri" w:cs="Calibri"/>
                <w:iCs/>
                <w:sz w:val="20"/>
              </w:rPr>
              <w:t>řízení</w:t>
            </w:r>
            <w:proofErr w:type="spellEnd"/>
          </w:p>
        </w:tc>
      </w:tr>
      <w:tr w:rsidR="004E5D0F" w14:paraId="73E4EA2C" w14:textId="77777777" w:rsidTr="0014576C">
        <w:trPr>
          <w:trHeight w:hRule="exact" w:val="284"/>
        </w:trPr>
        <w:tc>
          <w:tcPr>
            <w:tcW w:w="562" w:type="dxa"/>
          </w:tcPr>
          <w:p w14:paraId="144A0151" w14:textId="77777777" w:rsidR="004E5D0F" w:rsidRPr="006C6B8E" w:rsidRDefault="004E5D0F" w:rsidP="004E5D0F">
            <w:pPr>
              <w:pStyle w:val="Zkladntext"/>
              <w:rPr>
                <w:rFonts w:ascii="Calibri" w:hAnsi="Calibri" w:cs="Calibri"/>
                <w:iCs/>
                <w:sz w:val="20"/>
              </w:rPr>
            </w:pPr>
          </w:p>
        </w:tc>
        <w:tc>
          <w:tcPr>
            <w:tcW w:w="8500" w:type="dxa"/>
          </w:tcPr>
          <w:p w14:paraId="76213B17" w14:textId="748ED2B3"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Podpisový</w:t>
            </w:r>
            <w:proofErr w:type="spellEnd"/>
            <w:r w:rsidRPr="004E5D0F">
              <w:rPr>
                <w:rFonts w:ascii="Calibri" w:hAnsi="Calibri" w:cs="Calibri"/>
                <w:iCs/>
                <w:sz w:val="20"/>
              </w:rPr>
              <w:t xml:space="preserve"> </w:t>
            </w:r>
            <w:proofErr w:type="spellStart"/>
            <w:r w:rsidRPr="004E5D0F">
              <w:rPr>
                <w:rFonts w:ascii="Calibri" w:hAnsi="Calibri" w:cs="Calibri"/>
                <w:iCs/>
                <w:sz w:val="20"/>
              </w:rPr>
              <w:t>řád</w:t>
            </w:r>
            <w:proofErr w:type="spellEnd"/>
            <w:r w:rsidRPr="004E5D0F">
              <w:rPr>
                <w:rFonts w:ascii="Calibri" w:hAnsi="Calibri" w:cs="Calibri"/>
                <w:iCs/>
                <w:sz w:val="20"/>
              </w:rPr>
              <w:t xml:space="preserve"> </w:t>
            </w:r>
          </w:p>
        </w:tc>
      </w:tr>
      <w:tr w:rsidR="004E5D0F" w14:paraId="729ECC1F" w14:textId="77777777" w:rsidTr="0014576C">
        <w:trPr>
          <w:trHeight w:hRule="exact" w:val="284"/>
        </w:trPr>
        <w:tc>
          <w:tcPr>
            <w:tcW w:w="562" w:type="dxa"/>
          </w:tcPr>
          <w:p w14:paraId="276729AF" w14:textId="77777777" w:rsidR="004E5D0F" w:rsidRPr="006C6B8E" w:rsidRDefault="004E5D0F" w:rsidP="004E5D0F">
            <w:pPr>
              <w:pStyle w:val="Zkladntext"/>
              <w:rPr>
                <w:rFonts w:ascii="Calibri" w:hAnsi="Calibri" w:cs="Calibri"/>
                <w:iCs/>
                <w:sz w:val="20"/>
              </w:rPr>
            </w:pPr>
          </w:p>
        </w:tc>
        <w:tc>
          <w:tcPr>
            <w:tcW w:w="8500" w:type="dxa"/>
          </w:tcPr>
          <w:p w14:paraId="3BB6E5E8" w14:textId="2636076D"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Etický</w:t>
            </w:r>
            <w:proofErr w:type="spellEnd"/>
            <w:r w:rsidRPr="004E5D0F">
              <w:rPr>
                <w:rFonts w:ascii="Calibri" w:hAnsi="Calibri" w:cs="Calibri"/>
                <w:iCs/>
                <w:sz w:val="20"/>
              </w:rPr>
              <w:t xml:space="preserve"> </w:t>
            </w:r>
            <w:proofErr w:type="spellStart"/>
            <w:r w:rsidRPr="004E5D0F">
              <w:rPr>
                <w:rFonts w:ascii="Calibri" w:hAnsi="Calibri" w:cs="Calibri"/>
                <w:iCs/>
                <w:sz w:val="20"/>
              </w:rPr>
              <w:t>kodex</w:t>
            </w:r>
            <w:proofErr w:type="spellEnd"/>
            <w:r w:rsidRPr="004E5D0F">
              <w:rPr>
                <w:rFonts w:ascii="Calibri" w:hAnsi="Calibri" w:cs="Calibri"/>
                <w:iCs/>
                <w:sz w:val="20"/>
              </w:rPr>
              <w:t xml:space="preserve"> </w:t>
            </w:r>
          </w:p>
        </w:tc>
      </w:tr>
      <w:tr w:rsidR="004E5D0F" w14:paraId="600C2500" w14:textId="77777777" w:rsidTr="0014576C">
        <w:trPr>
          <w:trHeight w:hRule="exact" w:val="284"/>
        </w:trPr>
        <w:tc>
          <w:tcPr>
            <w:tcW w:w="562" w:type="dxa"/>
          </w:tcPr>
          <w:p w14:paraId="4742E10F" w14:textId="77777777" w:rsidR="004E5D0F" w:rsidRPr="006C6B8E" w:rsidRDefault="004E5D0F" w:rsidP="004E5D0F">
            <w:pPr>
              <w:pStyle w:val="Zkladntext"/>
              <w:rPr>
                <w:rFonts w:ascii="Calibri" w:hAnsi="Calibri" w:cs="Calibri"/>
                <w:iCs/>
                <w:sz w:val="20"/>
              </w:rPr>
            </w:pPr>
          </w:p>
        </w:tc>
        <w:tc>
          <w:tcPr>
            <w:tcW w:w="8500" w:type="dxa"/>
          </w:tcPr>
          <w:p w14:paraId="6BC0D72F" w14:textId="01C7B7BE" w:rsidR="004E5D0F" w:rsidRPr="004E5D0F" w:rsidRDefault="004E5D0F" w:rsidP="004E5D0F">
            <w:pPr>
              <w:pStyle w:val="Zkladntext"/>
              <w:rPr>
                <w:rFonts w:ascii="Calibri" w:hAnsi="Calibri" w:cs="Calibri"/>
                <w:iCs/>
                <w:sz w:val="20"/>
              </w:rPr>
            </w:pPr>
            <w:proofErr w:type="spellStart"/>
            <w:r w:rsidRPr="004E5D0F">
              <w:rPr>
                <w:rFonts w:ascii="Calibri" w:hAnsi="Calibri" w:cs="Calibri"/>
                <w:iCs/>
                <w:sz w:val="20"/>
              </w:rPr>
              <w:t>Seznam</w:t>
            </w:r>
            <w:proofErr w:type="spellEnd"/>
            <w:r w:rsidRPr="004E5D0F">
              <w:rPr>
                <w:rFonts w:ascii="Calibri" w:hAnsi="Calibri" w:cs="Calibri"/>
                <w:iCs/>
                <w:sz w:val="20"/>
              </w:rPr>
              <w:t xml:space="preserve"> </w:t>
            </w:r>
            <w:proofErr w:type="spellStart"/>
            <w:r w:rsidRPr="004E5D0F">
              <w:rPr>
                <w:rFonts w:ascii="Calibri" w:hAnsi="Calibri" w:cs="Calibri"/>
                <w:iCs/>
                <w:sz w:val="20"/>
              </w:rPr>
              <w:t>všech</w:t>
            </w:r>
            <w:proofErr w:type="spellEnd"/>
            <w:r w:rsidRPr="004E5D0F">
              <w:rPr>
                <w:rFonts w:ascii="Calibri" w:hAnsi="Calibri" w:cs="Calibri"/>
                <w:iCs/>
                <w:sz w:val="20"/>
              </w:rPr>
              <w:t xml:space="preserve"> IT </w:t>
            </w:r>
            <w:proofErr w:type="spellStart"/>
            <w:r w:rsidRPr="004E5D0F">
              <w:rPr>
                <w:rFonts w:ascii="Calibri" w:hAnsi="Calibri" w:cs="Calibri"/>
                <w:iCs/>
                <w:sz w:val="20"/>
              </w:rPr>
              <w:t>systémů</w:t>
            </w:r>
            <w:proofErr w:type="spellEnd"/>
            <w:r w:rsidRPr="004E5D0F">
              <w:rPr>
                <w:rFonts w:ascii="Calibri" w:hAnsi="Calibri" w:cs="Calibri"/>
                <w:iCs/>
                <w:sz w:val="20"/>
              </w:rPr>
              <w:t xml:space="preserve"> </w:t>
            </w:r>
            <w:proofErr w:type="spellStart"/>
            <w:r w:rsidRPr="004E5D0F">
              <w:rPr>
                <w:rFonts w:ascii="Calibri" w:hAnsi="Calibri" w:cs="Calibri"/>
                <w:iCs/>
                <w:sz w:val="20"/>
              </w:rPr>
              <w:t>využívaných</w:t>
            </w:r>
            <w:proofErr w:type="spellEnd"/>
            <w:r w:rsidRPr="004E5D0F">
              <w:rPr>
                <w:rFonts w:ascii="Calibri" w:hAnsi="Calibri" w:cs="Calibri"/>
                <w:iCs/>
                <w:sz w:val="20"/>
              </w:rPr>
              <w:t xml:space="preserve"> v </w:t>
            </w:r>
            <w:proofErr w:type="spellStart"/>
            <w:r w:rsidRPr="004E5D0F">
              <w:rPr>
                <w:rFonts w:ascii="Calibri" w:hAnsi="Calibri" w:cs="Calibri"/>
                <w:iCs/>
                <w:sz w:val="20"/>
              </w:rPr>
              <w:t>Právní</w:t>
            </w:r>
            <w:proofErr w:type="spellEnd"/>
            <w:r w:rsidRPr="004E5D0F">
              <w:rPr>
                <w:rFonts w:ascii="Calibri" w:hAnsi="Calibri" w:cs="Calibri"/>
                <w:iCs/>
                <w:sz w:val="20"/>
              </w:rPr>
              <w:t xml:space="preserve"> </w:t>
            </w:r>
            <w:proofErr w:type="spellStart"/>
            <w:r w:rsidRPr="004E5D0F">
              <w:rPr>
                <w:rFonts w:ascii="Calibri" w:hAnsi="Calibri" w:cs="Calibri"/>
                <w:iCs/>
                <w:sz w:val="20"/>
              </w:rPr>
              <w:t>oblasti</w:t>
            </w:r>
            <w:proofErr w:type="spellEnd"/>
          </w:p>
        </w:tc>
      </w:tr>
    </w:tbl>
    <w:p w14:paraId="594B4F70" w14:textId="27BBB2BC" w:rsidR="001C1920" w:rsidRDefault="001C1920" w:rsidP="000A7DF6">
      <w:pPr>
        <w:pStyle w:val="Zkladntext"/>
        <w:jc w:val="center"/>
        <w:rPr>
          <w:rFonts w:ascii="Calibri" w:hAnsi="Calibri" w:cs="Calibri"/>
          <w:sz w:val="20"/>
          <w:lang w:val="cs-CZ"/>
        </w:rPr>
      </w:pPr>
    </w:p>
    <w:p w14:paraId="0C02060F" w14:textId="77777777" w:rsidR="001C1920" w:rsidRDefault="001C1920" w:rsidP="000A7DF6">
      <w:pPr>
        <w:pStyle w:val="Zkladntext"/>
        <w:jc w:val="center"/>
        <w:rPr>
          <w:rFonts w:ascii="Calibri" w:hAnsi="Calibri" w:cs="Calibri"/>
          <w:sz w:val="20"/>
          <w:lang w:val="cs-CZ"/>
        </w:rPr>
        <w:sectPr w:rsidR="001C1920" w:rsidSect="001C1920">
          <w:type w:val="continuous"/>
          <w:pgSz w:w="11906" w:h="16838" w:code="9"/>
          <w:pgMar w:top="1417" w:right="1417" w:bottom="1417" w:left="1417" w:header="680" w:footer="567" w:gutter="0"/>
          <w:cols w:space="709"/>
          <w:titlePg/>
          <w:docGrid w:linePitch="360"/>
        </w:sectPr>
      </w:pPr>
    </w:p>
    <w:p w14:paraId="66C49DC7" w14:textId="77777777" w:rsidR="001C1920" w:rsidRPr="009D5B7E" w:rsidRDefault="001C1920" w:rsidP="000A7DF6">
      <w:pPr>
        <w:pStyle w:val="Zkladntext"/>
        <w:jc w:val="center"/>
        <w:rPr>
          <w:rFonts w:ascii="Calibri" w:hAnsi="Calibri" w:cs="Calibri"/>
          <w:sz w:val="20"/>
          <w:lang w:val="cs-CZ"/>
        </w:rPr>
      </w:pPr>
    </w:p>
    <w:sectPr w:rsidR="001C1920" w:rsidRPr="009D5B7E" w:rsidSect="000F0DFC">
      <w:type w:val="continuous"/>
      <w:pgSz w:w="11906" w:h="16838" w:code="9"/>
      <w:pgMar w:top="1417" w:right="1417" w:bottom="1417" w:left="1417" w:header="680" w:footer="567" w:gutter="0"/>
      <w:cols w:num="2"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uskova, Lenka" w:date="2023-03-01T11:56:00Z" w:initials="ML">
    <w:p w14:paraId="152B13C3" w14:textId="77777777" w:rsidR="00404330" w:rsidRDefault="00404330" w:rsidP="001153F0">
      <w:pPr>
        <w:pStyle w:val="Textkomente"/>
      </w:pPr>
      <w:r>
        <w:rPr>
          <w:rStyle w:val="Odkaznakoment"/>
        </w:rPr>
        <w:annotationRef/>
      </w:r>
      <w:r>
        <w:t>Prosím o doplnění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B13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BBF4" w16cex:dateUtc="2023-03-01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B13C3" w16cid:durableId="27A9B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2C5C" w14:textId="77777777" w:rsidR="00B5131C" w:rsidRDefault="00B5131C" w:rsidP="00C702C7">
      <w:pPr>
        <w:spacing w:after="0" w:line="240" w:lineRule="auto"/>
      </w:pPr>
      <w:r>
        <w:separator/>
      </w:r>
    </w:p>
  </w:endnote>
  <w:endnote w:type="continuationSeparator" w:id="0">
    <w:p w14:paraId="4304D1B5" w14:textId="77777777" w:rsidR="00B5131C" w:rsidRDefault="00B5131C"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6A76" w14:textId="77777777" w:rsidR="002E1737" w:rsidRDefault="002E17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544"/>
      <w:gridCol w:w="7002"/>
    </w:tblGrid>
    <w:tr w:rsidR="00B253A1" w:rsidRPr="00D6230E" w14:paraId="3E39C752" w14:textId="77777777" w:rsidTr="00D6230E">
      <w:tc>
        <w:tcPr>
          <w:tcW w:w="3544" w:type="dxa"/>
          <w:tcBorders>
            <w:top w:val="nil"/>
            <w:left w:val="nil"/>
            <w:bottom w:val="nil"/>
            <w:right w:val="nil"/>
            <w:tl2br w:val="nil"/>
            <w:tr2bl w:val="nil"/>
          </w:tcBorders>
          <w:shd w:val="clear" w:color="auto" w:fill="auto"/>
          <w:vAlign w:val="bottom"/>
        </w:tcPr>
        <w:p w14:paraId="625BCB83" w14:textId="7C900788" w:rsidR="00B253A1" w:rsidRPr="00D6230E" w:rsidRDefault="00F23266" w:rsidP="00BC0047">
          <w:pPr>
            <w:pStyle w:val="Zpat"/>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A3469C">
            <w:rPr>
              <w:noProof/>
            </w:rPr>
            <w:instrText>19</w:instrText>
          </w:r>
          <w:r w:rsidRPr="00D6230E">
            <w:fldChar w:fldCharType="end"/>
          </w:r>
          <w:r w:rsidRPr="00D6230E">
            <w:instrText xml:space="preserve"> &lt; </w:instrText>
          </w:r>
          <w:r w:rsidR="00BC0047" w:rsidRPr="00D6230E">
            <w:instrText>10</w:instrText>
          </w:r>
          <w:r w:rsidRPr="00D6230E">
            <w:instrText xml:space="preserve">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A3469C">
            <w:rPr>
              <w:noProof/>
            </w:rPr>
            <w:instrText>9</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A3469C">
            <w:rPr>
              <w:noProof/>
            </w:rPr>
            <w:instrText>9</w:instrText>
          </w:r>
          <w:r w:rsidRPr="00D6230E">
            <w:fldChar w:fldCharType="end"/>
          </w:r>
          <w:r w:rsidRPr="00D6230E">
            <w:instrText xml:space="preserve">" \* MERGEFORMAT </w:instrText>
          </w:r>
          <w:r w:rsidRPr="00D6230E">
            <w:fldChar w:fldCharType="separate"/>
          </w:r>
          <w:r w:rsidR="00A3469C" w:rsidRPr="00D6230E">
            <w:rPr>
              <w:noProof/>
            </w:rPr>
            <w:instrText>0</w:instrText>
          </w:r>
          <w:r w:rsidR="00A3469C">
            <w:rPr>
              <w:noProof/>
            </w:rPr>
            <w:instrText>9</w:instrText>
          </w:r>
          <w:r w:rsidRPr="00D6230E">
            <w:fldChar w:fldCharType="end"/>
          </w:r>
          <w:r w:rsidR="00BC0047" w:rsidRPr="00D6230E">
            <w:instrText xml:space="preserve"> </w:instrText>
          </w:r>
          <w:r w:rsidR="00BC0047" w:rsidRPr="00D6230E">
            <w:fldChar w:fldCharType="begin"/>
          </w:r>
          <w:r w:rsidR="00BC0047" w:rsidRPr="00D6230E">
            <w:instrText xml:space="preserve"> PAGE  \* Arabic  \* MERGEFORMAT </w:instrText>
          </w:r>
          <w:r w:rsidR="00BC0047" w:rsidRPr="00D6230E">
            <w:fldChar w:fldCharType="separate"/>
          </w:r>
          <w:r w:rsidR="009D5B7E">
            <w:rPr>
              <w:noProof/>
            </w:rPr>
            <w:instrText>21</w:instrText>
          </w:r>
          <w:r w:rsidR="00BC0047" w:rsidRPr="00D6230E">
            <w:fldChar w:fldCharType="end"/>
          </w:r>
          <w:r w:rsidRPr="00D6230E">
            <w:instrText xml:space="preserve"> \* MERGEFORMAT </w:instrText>
          </w:r>
          <w:r w:rsidRPr="00D6230E">
            <w:fldChar w:fldCharType="separate"/>
          </w:r>
          <w:r w:rsidR="00A3469C">
            <w:rPr>
              <w:noProof/>
            </w:rPr>
            <w:t>21</w:t>
          </w:r>
          <w:r w:rsidRPr="00D6230E">
            <w:fldChar w:fldCharType="end"/>
          </w:r>
        </w:p>
      </w:tc>
      <w:tc>
        <w:tcPr>
          <w:tcW w:w="7002" w:type="dxa"/>
          <w:tcBorders>
            <w:top w:val="nil"/>
            <w:left w:val="nil"/>
            <w:bottom w:val="nil"/>
            <w:right w:val="nil"/>
            <w:tl2br w:val="nil"/>
            <w:tr2bl w:val="nil"/>
          </w:tcBorders>
          <w:shd w:val="clear" w:color="auto" w:fill="auto"/>
          <w:vAlign w:val="bottom"/>
        </w:tcPr>
        <w:p w14:paraId="769B4883" w14:textId="77777777" w:rsidR="00B253A1" w:rsidRPr="00D6230E" w:rsidRDefault="00B253A1" w:rsidP="00D6230E">
          <w:pPr>
            <w:pStyle w:val="Zpat"/>
            <w:spacing w:line="180" w:lineRule="atLeast"/>
            <w:rPr>
              <w:sz w:val="14"/>
              <w:szCs w:val="14"/>
            </w:rPr>
          </w:pPr>
        </w:p>
      </w:tc>
    </w:tr>
  </w:tbl>
  <w:p w14:paraId="49A066D6" w14:textId="77777777" w:rsidR="00F15F5C" w:rsidRPr="00904097" w:rsidRDefault="00F15F5C" w:rsidP="00904097">
    <w:pPr>
      <w:pStyle w:val="Zpat"/>
      <w:spacing w:line="240"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41A7" w14:textId="27A7649B" w:rsidR="00B36B5C" w:rsidRDefault="00B36B5C">
    <w:pPr>
      <w:pStyle w:val="Zpat"/>
    </w:pPr>
    <w:r>
      <w:fldChar w:fldCharType="begin"/>
    </w:r>
    <w:r>
      <w:instrText xml:space="preserve"> IF </w:instrText>
    </w:r>
    <w:r>
      <w:fldChar w:fldCharType="begin"/>
    </w:r>
    <w:r>
      <w:instrText xml:space="preserve"> PAGE  \* Arabic  \* MERGEFORMAT </w:instrText>
    </w:r>
    <w:r>
      <w:fldChar w:fldCharType="separate"/>
    </w:r>
    <w:r w:rsidR="00A3469C">
      <w:rPr>
        <w:noProof/>
      </w:rPr>
      <w:instrText>20</w:instrText>
    </w:r>
    <w:r>
      <w:fldChar w:fldCharType="end"/>
    </w:r>
    <w:r>
      <w:instrText xml:space="preserve"> &lt; "10" "0</w:instrText>
    </w:r>
    <w:r>
      <w:fldChar w:fldCharType="begin"/>
    </w:r>
    <w:r>
      <w:instrText xml:space="preserve"> PAGE  \* Arabic  \* MERGEFORMAT </w:instrText>
    </w:r>
    <w:r>
      <w:fldChar w:fldCharType="separate"/>
    </w:r>
    <w:r w:rsidR="00F41AD7">
      <w:rPr>
        <w:noProof/>
      </w:rPr>
      <w:instrText>1</w:instrText>
    </w:r>
    <w:r>
      <w:fldChar w:fldCharType="end"/>
    </w:r>
    <w:r>
      <w:instrText xml:space="preserve">" \* MERGEFORMAT </w:instrText>
    </w:r>
    <w:r>
      <w:fldChar w:fldCharType="end"/>
    </w:r>
  </w:p>
  <w:p w14:paraId="006F97A9" w14:textId="77777777" w:rsidR="00904097" w:rsidRPr="00904097" w:rsidRDefault="00904097" w:rsidP="00904097">
    <w:pPr>
      <w:pStyle w:val="Zpat"/>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818F" w14:textId="77777777" w:rsidR="00B5131C" w:rsidRDefault="00B5131C" w:rsidP="00C702C7">
      <w:pPr>
        <w:spacing w:after="0" w:line="240" w:lineRule="auto"/>
      </w:pPr>
      <w:r>
        <w:separator/>
      </w:r>
    </w:p>
  </w:footnote>
  <w:footnote w:type="continuationSeparator" w:id="0">
    <w:p w14:paraId="2239BB26" w14:textId="77777777" w:rsidR="00B5131C" w:rsidRDefault="00B5131C"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45A2" w14:textId="77777777" w:rsidR="002E1737" w:rsidRDefault="002E17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35F4" w14:textId="77777777" w:rsidR="00F41AD7" w:rsidRPr="003D0346" w:rsidRDefault="00F41AD7" w:rsidP="00F41AD7">
    <w:pPr>
      <w:pStyle w:val="Zhlav"/>
      <w:rPr>
        <w:rFonts w:ascii="Calibri" w:hAnsi="Calibri" w:cs="Calibri"/>
      </w:rPr>
    </w:pPr>
    <w:proofErr w:type="spellStart"/>
    <w:r w:rsidRPr="003D0346">
      <w:rPr>
        <w:rFonts w:ascii="Calibri" w:hAnsi="Calibri" w:cs="Calibri"/>
      </w:rPr>
      <w:t>Smlouva</w:t>
    </w:r>
    <w:proofErr w:type="spellEnd"/>
    <w:r w:rsidRPr="003D0346">
      <w:rPr>
        <w:rFonts w:ascii="Calibri" w:hAnsi="Calibri" w:cs="Calibri"/>
      </w:rPr>
      <w:t xml:space="preserve"> o </w:t>
    </w:r>
    <w:proofErr w:type="spellStart"/>
    <w:r w:rsidRPr="003D0346">
      <w:rPr>
        <w:rFonts w:ascii="Calibri" w:hAnsi="Calibri" w:cs="Calibri"/>
      </w:rPr>
      <w:t>poskytování</w:t>
    </w:r>
    <w:proofErr w:type="spellEnd"/>
    <w:r w:rsidRPr="003D0346">
      <w:rPr>
        <w:rFonts w:ascii="Calibri" w:hAnsi="Calibri" w:cs="Calibri"/>
      </w:rPr>
      <w:t xml:space="preserve"> </w:t>
    </w:r>
    <w:proofErr w:type="spellStart"/>
    <w:r w:rsidRPr="003D0346">
      <w:rPr>
        <w:rFonts w:ascii="Calibri" w:hAnsi="Calibri" w:cs="Calibri"/>
      </w:rPr>
      <w:t>poradenských</w:t>
    </w:r>
    <w:proofErr w:type="spellEnd"/>
    <w:r w:rsidRPr="003D0346">
      <w:rPr>
        <w:rFonts w:ascii="Calibri" w:hAnsi="Calibri" w:cs="Calibri"/>
      </w:rPr>
      <w:t xml:space="preserve"> </w:t>
    </w:r>
    <w:proofErr w:type="spellStart"/>
    <w:r w:rsidRPr="003D0346">
      <w:rPr>
        <w:rFonts w:ascii="Calibri" w:hAnsi="Calibri" w:cs="Calibri"/>
      </w:rPr>
      <w:t>služeb</w:t>
    </w:r>
    <w:proofErr w:type="spellEnd"/>
  </w:p>
  <w:p w14:paraId="4D57CB57" w14:textId="2F427A42" w:rsidR="00F41AD7" w:rsidRPr="003D0346" w:rsidRDefault="00F41AD7" w:rsidP="00F41AD7">
    <w:pPr>
      <w:pStyle w:val="Zhlav"/>
      <w:jc w:val="right"/>
      <w:rPr>
        <w:rFonts w:ascii="Calibri" w:hAnsi="Calibri" w:cs="Calibri"/>
        <w:i/>
      </w:rPr>
    </w:pPr>
    <w:proofErr w:type="spellStart"/>
    <w:r w:rsidRPr="003D0346">
      <w:rPr>
        <w:rFonts w:ascii="Calibri" w:hAnsi="Calibri" w:cs="Calibri"/>
        <w:i/>
      </w:rPr>
      <w:t>Důvěrné</w:t>
    </w:r>
    <w:proofErr w:type="spellEnd"/>
    <w:r w:rsidRPr="003D0346">
      <w:rPr>
        <w:rFonts w:ascii="Calibri" w:hAnsi="Calibri" w:cs="Calibri"/>
        <w:i/>
      </w:rPr>
      <w:t xml:space="preserve"> </w:t>
    </w:r>
    <w:proofErr w:type="spellStart"/>
    <w:r w:rsidRPr="003D0346">
      <w:rPr>
        <w:rFonts w:ascii="Calibri" w:hAnsi="Calibri" w:cs="Calibri"/>
        <w:i/>
      </w:rPr>
      <w:t>informace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E33E" w14:textId="7126022C" w:rsidR="00F41AD7" w:rsidRDefault="00F41AD7" w:rsidP="00F41AD7">
    <w:pPr>
      <w:pStyle w:val="Zhlav"/>
    </w:pPr>
    <w:proofErr w:type="spellStart"/>
    <w:r>
      <w:t>Smlouva</w:t>
    </w:r>
    <w:proofErr w:type="spellEnd"/>
    <w:r>
      <w:t xml:space="preserve"> o </w:t>
    </w:r>
    <w:proofErr w:type="spellStart"/>
    <w:r>
      <w:t>poskytování</w:t>
    </w:r>
    <w:proofErr w:type="spellEnd"/>
    <w:r>
      <w:t xml:space="preserve"> </w:t>
    </w:r>
    <w:proofErr w:type="spellStart"/>
    <w:r>
      <w:t>poradenských</w:t>
    </w:r>
    <w:proofErr w:type="spellEnd"/>
    <w:r>
      <w:t xml:space="preserve"> </w:t>
    </w:r>
    <w:proofErr w:type="spellStart"/>
    <w:r>
      <w:t>služeb</w:t>
    </w:r>
    <w:proofErr w:type="spellEnd"/>
  </w:p>
  <w:p w14:paraId="469E4FE8" w14:textId="46008063" w:rsidR="00F41AD7" w:rsidRDefault="00F41AD7" w:rsidP="00F41AD7">
    <w:pPr>
      <w:pStyle w:val="Zhlav"/>
      <w:jc w:val="right"/>
    </w:pPr>
    <w:proofErr w:type="spellStart"/>
    <w:r>
      <w:t>Důvěrné</w:t>
    </w:r>
    <w:proofErr w:type="spellEnd"/>
    <w:r>
      <w:t xml:space="preserve"> </w:t>
    </w:r>
    <w:proofErr w:type="spellStart"/>
    <w:r>
      <w:t>informace</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E225" w14:textId="2C536F53" w:rsidR="00C56476" w:rsidRDefault="00C56476" w:rsidP="00F41AD7">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7C0A" w14:textId="076F4B9A" w:rsidR="000A7DF6" w:rsidRPr="003D0346" w:rsidRDefault="000A7DF6" w:rsidP="002F2418">
    <w:pPr>
      <w:pStyle w:val="Zhlav"/>
      <w:rPr>
        <w:rFonts w:ascii="Calibri" w:hAnsi="Calibri" w:cs="Calibri"/>
      </w:rPr>
    </w:pPr>
    <w:r w:rsidRPr="003D0346">
      <w:rPr>
        <w:rFonts w:ascii="Calibri" w:hAnsi="Calibri" w:cs="Calibri"/>
      </w:rPr>
      <w:t xml:space="preserve">1. </w:t>
    </w:r>
    <w:proofErr w:type="spellStart"/>
    <w:r w:rsidR="00361898" w:rsidRPr="003D0346">
      <w:rPr>
        <w:rFonts w:ascii="Calibri" w:hAnsi="Calibri" w:cs="Calibri"/>
      </w:rPr>
      <w:t>dubna</w:t>
    </w:r>
    <w:proofErr w:type="spellEnd"/>
    <w:r w:rsidRPr="003D0346">
      <w:rPr>
        <w:rFonts w:ascii="Calibri" w:hAnsi="Calibri" w:cs="Calibri"/>
      </w:rPr>
      <w:t xml:space="preserve">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32AA" w14:textId="1FE799FE" w:rsidR="002F2418" w:rsidRPr="002F2418" w:rsidRDefault="002F2418" w:rsidP="002F2418">
    <w:pPr>
      <w:pStyle w:val="Zhlav"/>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7"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641AE0"/>
    <w:multiLevelType w:val="multilevel"/>
    <w:tmpl w:val="1B805A24"/>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D341618"/>
    <w:multiLevelType w:val="hybridMultilevel"/>
    <w:tmpl w:val="A5A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890591"/>
    <w:multiLevelType w:val="multilevel"/>
    <w:tmpl w:val="21EE0974"/>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8"/>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42338E"/>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1"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B03963"/>
    <w:multiLevelType w:val="multilevel"/>
    <w:tmpl w:val="94D4FF74"/>
    <w:lvl w:ilvl="0">
      <w:start w:val="1"/>
      <w:numFmt w:val="decimal"/>
      <w:lvlText w:val="%1."/>
      <w:lvlJc w:val="left"/>
      <w:pPr>
        <w:ind w:left="644" w:hanging="360"/>
      </w:pPr>
      <w:rPr>
        <w:rFonts w:ascii="Calibri" w:hAnsi="Calibri" w:cs="Calibri" w:hint="default"/>
        <w:b/>
        <w:bCs/>
        <w:i w:val="0"/>
        <w:iCs w:val="0"/>
        <w:caps w:val="0"/>
        <w:smallCaps w:val="0"/>
        <w:strike w:val="0"/>
        <w:dstrike w:val="0"/>
        <w:vanish w:val="0"/>
        <w:color w:val="auto"/>
        <w:spacing w:val="0"/>
        <w:w w:val="100"/>
        <w:kern w:val="0"/>
        <w:position w:val="0"/>
        <w:sz w:val="18"/>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4" w15:restartNumberingAfterBreak="0">
    <w:nsid w:val="64E61953"/>
    <w:multiLevelType w:val="multilevel"/>
    <w:tmpl w:val="8EB40C52"/>
    <w:lvl w:ilvl="0">
      <w:start w:val="1"/>
      <w:numFmt w:val="lowerRoman"/>
      <w:lvlText w:val="%1."/>
      <w:lvlJc w:val="left"/>
      <w:pPr>
        <w:ind w:left="644" w:hanging="360"/>
      </w:pPr>
      <w:rPr>
        <w:rFonts w:ascii="Calibri" w:hAnsi="Calibri" w:cs="Calibri" w:hint="default"/>
        <w:b w:val="0"/>
        <w:bCs/>
        <w:i w:val="0"/>
        <w:iCs w:val="0"/>
        <w:caps w:val="0"/>
        <w:smallCaps w:val="0"/>
        <w:strike w:val="0"/>
        <w:dstrike w:val="0"/>
        <w:vanish w:val="0"/>
        <w:color w:val="auto"/>
        <w:spacing w:val="0"/>
        <w:w w:val="100"/>
        <w:kern w:val="0"/>
        <w:position w:val="0"/>
        <w:sz w:val="18"/>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5" w15:restartNumberingAfterBreak="0">
    <w:nsid w:val="68251CBC"/>
    <w:multiLevelType w:val="multilevel"/>
    <w:tmpl w:val="BCD6FB2C"/>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E28068C"/>
    <w:multiLevelType w:val="multilevel"/>
    <w:tmpl w:val="8C5630D4"/>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7846713">
    <w:abstractNumId w:val="3"/>
  </w:num>
  <w:num w:numId="2" w16cid:durableId="1544832777">
    <w:abstractNumId w:val="1"/>
  </w:num>
  <w:num w:numId="3" w16cid:durableId="814566808">
    <w:abstractNumId w:val="2"/>
  </w:num>
  <w:num w:numId="4" w16cid:durableId="649023689">
    <w:abstractNumId w:val="0"/>
  </w:num>
  <w:num w:numId="5" w16cid:durableId="695546666">
    <w:abstractNumId w:val="12"/>
  </w:num>
  <w:num w:numId="6" w16cid:durableId="892931586">
    <w:abstractNumId w:val="4"/>
  </w:num>
  <w:num w:numId="7" w16cid:durableId="102313632">
    <w:abstractNumId w:val="28"/>
  </w:num>
  <w:num w:numId="8" w16cid:durableId="1421756490">
    <w:abstractNumId w:val="22"/>
  </w:num>
  <w:num w:numId="9" w16cid:durableId="1348216439">
    <w:abstractNumId w:val="10"/>
  </w:num>
  <w:num w:numId="10" w16cid:durableId="704450954">
    <w:abstractNumId w:val="16"/>
  </w:num>
  <w:num w:numId="11" w16cid:durableId="1301497174">
    <w:abstractNumId w:val="25"/>
  </w:num>
  <w:num w:numId="12" w16cid:durableId="250893391">
    <w:abstractNumId w:val="23"/>
  </w:num>
  <w:num w:numId="13" w16cid:durableId="1012955532">
    <w:abstractNumId w:val="24"/>
  </w:num>
  <w:num w:numId="14" w16cid:durableId="5708195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8318541">
    <w:abstractNumId w:val="7"/>
  </w:num>
  <w:num w:numId="16" w16cid:durableId="1810123510">
    <w:abstractNumId w:val="9"/>
  </w:num>
  <w:num w:numId="17" w16cid:durableId="1420442776">
    <w:abstractNumId w:val="20"/>
  </w:num>
  <w:num w:numId="18" w16cid:durableId="1661619738">
    <w:abstractNumId w:val="13"/>
  </w:num>
  <w:num w:numId="19" w16cid:durableId="2009096632">
    <w:abstractNumId w:val="15"/>
  </w:num>
  <w:num w:numId="20" w16cid:durableId="1412123954">
    <w:abstractNumId w:val="8"/>
  </w:num>
  <w:num w:numId="21" w16cid:durableId="116293575">
    <w:abstractNumId w:val="18"/>
  </w:num>
  <w:num w:numId="22" w16cid:durableId="86318387">
    <w:abstractNumId w:val="26"/>
  </w:num>
  <w:num w:numId="23" w16cid:durableId="1011107448">
    <w:abstractNumId w:val="27"/>
  </w:num>
  <w:num w:numId="24" w16cid:durableId="1485123788">
    <w:abstractNumId w:val="5"/>
  </w:num>
  <w:num w:numId="25" w16cid:durableId="243419732">
    <w:abstractNumId w:val="11"/>
  </w:num>
  <w:num w:numId="26" w16cid:durableId="1552493763">
    <w:abstractNumId w:val="21"/>
  </w:num>
  <w:num w:numId="27" w16cid:durableId="1228344553">
    <w:abstractNumId w:val="6"/>
  </w:num>
  <w:num w:numId="28" w16cid:durableId="812019278">
    <w:abstractNumId w:val="17"/>
  </w:num>
  <w:num w:numId="29" w16cid:durableId="1617133333">
    <w:abstractNumId w:val="19"/>
  </w:num>
  <w:num w:numId="30" w16cid:durableId="1997373363">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kova, Lenka">
    <w15:presenceInfo w15:providerId="AD" w15:userId="S::lmuskova@deloittece.com::9faf4feb-0fd1-4f3d-8813-e865e69f5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proofState w:spelling="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43"/>
    <w:rsid w:val="000005FE"/>
    <w:rsid w:val="0000173F"/>
    <w:rsid w:val="000131A3"/>
    <w:rsid w:val="00013C0A"/>
    <w:rsid w:val="00014B89"/>
    <w:rsid w:val="000173B3"/>
    <w:rsid w:val="00020D44"/>
    <w:rsid w:val="00020D61"/>
    <w:rsid w:val="000219AF"/>
    <w:rsid w:val="00021A39"/>
    <w:rsid w:val="00025E7D"/>
    <w:rsid w:val="000354B6"/>
    <w:rsid w:val="00035DBA"/>
    <w:rsid w:val="00036066"/>
    <w:rsid w:val="00037C17"/>
    <w:rsid w:val="00041DB4"/>
    <w:rsid w:val="000429AC"/>
    <w:rsid w:val="00042B6A"/>
    <w:rsid w:val="00042B99"/>
    <w:rsid w:val="000445D6"/>
    <w:rsid w:val="0004657A"/>
    <w:rsid w:val="000510A2"/>
    <w:rsid w:val="000516C4"/>
    <w:rsid w:val="000517C0"/>
    <w:rsid w:val="00061444"/>
    <w:rsid w:val="000637A6"/>
    <w:rsid w:val="00066BBA"/>
    <w:rsid w:val="00071509"/>
    <w:rsid w:val="00083DD5"/>
    <w:rsid w:val="00085546"/>
    <w:rsid w:val="0008662A"/>
    <w:rsid w:val="00092341"/>
    <w:rsid w:val="000A5FAE"/>
    <w:rsid w:val="000A7DF6"/>
    <w:rsid w:val="000A7F05"/>
    <w:rsid w:val="000B6C05"/>
    <w:rsid w:val="000B7FD6"/>
    <w:rsid w:val="000C20BD"/>
    <w:rsid w:val="000C2B24"/>
    <w:rsid w:val="000C5EA5"/>
    <w:rsid w:val="000D25C8"/>
    <w:rsid w:val="000D2DE0"/>
    <w:rsid w:val="000D771E"/>
    <w:rsid w:val="000E0948"/>
    <w:rsid w:val="000E2C94"/>
    <w:rsid w:val="000E4AA4"/>
    <w:rsid w:val="000F0DFC"/>
    <w:rsid w:val="000F221D"/>
    <w:rsid w:val="000F5C22"/>
    <w:rsid w:val="0010113D"/>
    <w:rsid w:val="0010462B"/>
    <w:rsid w:val="001063F4"/>
    <w:rsid w:val="00111011"/>
    <w:rsid w:val="001165BF"/>
    <w:rsid w:val="0011755F"/>
    <w:rsid w:val="00123AD3"/>
    <w:rsid w:val="001263BF"/>
    <w:rsid w:val="001265CF"/>
    <w:rsid w:val="00127820"/>
    <w:rsid w:val="00130191"/>
    <w:rsid w:val="001323FF"/>
    <w:rsid w:val="00135844"/>
    <w:rsid w:val="00136294"/>
    <w:rsid w:val="001457BC"/>
    <w:rsid w:val="00157BD7"/>
    <w:rsid w:val="00160BDD"/>
    <w:rsid w:val="00163881"/>
    <w:rsid w:val="001659E4"/>
    <w:rsid w:val="00167186"/>
    <w:rsid w:val="001708B9"/>
    <w:rsid w:val="0017280D"/>
    <w:rsid w:val="00174FFA"/>
    <w:rsid w:val="001757CE"/>
    <w:rsid w:val="00180BDA"/>
    <w:rsid w:val="0018108F"/>
    <w:rsid w:val="001840F7"/>
    <w:rsid w:val="00186FC8"/>
    <w:rsid w:val="00193BE3"/>
    <w:rsid w:val="001975EF"/>
    <w:rsid w:val="0019765A"/>
    <w:rsid w:val="001A45CF"/>
    <w:rsid w:val="001B0F94"/>
    <w:rsid w:val="001B5C19"/>
    <w:rsid w:val="001C1920"/>
    <w:rsid w:val="001C25D5"/>
    <w:rsid w:val="001D03A7"/>
    <w:rsid w:val="001D3086"/>
    <w:rsid w:val="001D5A7C"/>
    <w:rsid w:val="001E016B"/>
    <w:rsid w:val="001E5A04"/>
    <w:rsid w:val="001E7D3E"/>
    <w:rsid w:val="001F38BE"/>
    <w:rsid w:val="001F61B8"/>
    <w:rsid w:val="001F6839"/>
    <w:rsid w:val="00204CBA"/>
    <w:rsid w:val="00211AB1"/>
    <w:rsid w:val="00212852"/>
    <w:rsid w:val="00214FC4"/>
    <w:rsid w:val="00215D2C"/>
    <w:rsid w:val="00216CF6"/>
    <w:rsid w:val="00220CCF"/>
    <w:rsid w:val="00221C4A"/>
    <w:rsid w:val="00227F1F"/>
    <w:rsid w:val="00231B44"/>
    <w:rsid w:val="002340B6"/>
    <w:rsid w:val="00234BA2"/>
    <w:rsid w:val="00235582"/>
    <w:rsid w:val="00236207"/>
    <w:rsid w:val="00237008"/>
    <w:rsid w:val="002370AB"/>
    <w:rsid w:val="00237872"/>
    <w:rsid w:val="0024202F"/>
    <w:rsid w:val="00244010"/>
    <w:rsid w:val="00245BEB"/>
    <w:rsid w:val="00253D2A"/>
    <w:rsid w:val="00254CD6"/>
    <w:rsid w:val="00255D53"/>
    <w:rsid w:val="00277DBB"/>
    <w:rsid w:val="002930B2"/>
    <w:rsid w:val="00293F1F"/>
    <w:rsid w:val="00294BBA"/>
    <w:rsid w:val="00295B52"/>
    <w:rsid w:val="00297214"/>
    <w:rsid w:val="002A4546"/>
    <w:rsid w:val="002A49C5"/>
    <w:rsid w:val="002B077E"/>
    <w:rsid w:val="002B2376"/>
    <w:rsid w:val="002B3C11"/>
    <w:rsid w:val="002B4054"/>
    <w:rsid w:val="002B4D02"/>
    <w:rsid w:val="002B6D2E"/>
    <w:rsid w:val="002C5FEA"/>
    <w:rsid w:val="002C690A"/>
    <w:rsid w:val="002C6F50"/>
    <w:rsid w:val="002D09B0"/>
    <w:rsid w:val="002D41F7"/>
    <w:rsid w:val="002D43EF"/>
    <w:rsid w:val="002E1737"/>
    <w:rsid w:val="002E1C00"/>
    <w:rsid w:val="002E7099"/>
    <w:rsid w:val="002F027D"/>
    <w:rsid w:val="002F2418"/>
    <w:rsid w:val="002F2771"/>
    <w:rsid w:val="002F279A"/>
    <w:rsid w:val="00304A4B"/>
    <w:rsid w:val="003121C1"/>
    <w:rsid w:val="00316F63"/>
    <w:rsid w:val="0032373B"/>
    <w:rsid w:val="00331D1F"/>
    <w:rsid w:val="0033562A"/>
    <w:rsid w:val="00337680"/>
    <w:rsid w:val="003457AA"/>
    <w:rsid w:val="00350886"/>
    <w:rsid w:val="00357E4F"/>
    <w:rsid w:val="00361898"/>
    <w:rsid w:val="00367B44"/>
    <w:rsid w:val="00375EB8"/>
    <w:rsid w:val="0037653B"/>
    <w:rsid w:val="00377AE4"/>
    <w:rsid w:val="00385D61"/>
    <w:rsid w:val="003863C7"/>
    <w:rsid w:val="0039181B"/>
    <w:rsid w:val="003923FD"/>
    <w:rsid w:val="00392568"/>
    <w:rsid w:val="003A3D9F"/>
    <w:rsid w:val="003A494E"/>
    <w:rsid w:val="003B3379"/>
    <w:rsid w:val="003B3C47"/>
    <w:rsid w:val="003B3F96"/>
    <w:rsid w:val="003C12AF"/>
    <w:rsid w:val="003C4BE4"/>
    <w:rsid w:val="003C4DE4"/>
    <w:rsid w:val="003C7BAE"/>
    <w:rsid w:val="003D0346"/>
    <w:rsid w:val="003D0767"/>
    <w:rsid w:val="003D0809"/>
    <w:rsid w:val="003D1A80"/>
    <w:rsid w:val="003E138D"/>
    <w:rsid w:val="003E1820"/>
    <w:rsid w:val="003E49BA"/>
    <w:rsid w:val="003E572E"/>
    <w:rsid w:val="003E5BF9"/>
    <w:rsid w:val="003F2224"/>
    <w:rsid w:val="00404297"/>
    <w:rsid w:val="00404330"/>
    <w:rsid w:val="004052BC"/>
    <w:rsid w:val="004052D4"/>
    <w:rsid w:val="004066C3"/>
    <w:rsid w:val="00412EA0"/>
    <w:rsid w:val="00413084"/>
    <w:rsid w:val="00414575"/>
    <w:rsid w:val="004314E1"/>
    <w:rsid w:val="00432002"/>
    <w:rsid w:val="0044117C"/>
    <w:rsid w:val="004432FB"/>
    <w:rsid w:val="0044558B"/>
    <w:rsid w:val="004509E3"/>
    <w:rsid w:val="00451886"/>
    <w:rsid w:val="00451AD9"/>
    <w:rsid w:val="00456DF9"/>
    <w:rsid w:val="00472241"/>
    <w:rsid w:val="00473614"/>
    <w:rsid w:val="0048008E"/>
    <w:rsid w:val="0048369A"/>
    <w:rsid w:val="004860A3"/>
    <w:rsid w:val="00486736"/>
    <w:rsid w:val="004945DF"/>
    <w:rsid w:val="004A0DCC"/>
    <w:rsid w:val="004A6C6D"/>
    <w:rsid w:val="004C2616"/>
    <w:rsid w:val="004D159E"/>
    <w:rsid w:val="004D1F57"/>
    <w:rsid w:val="004D49FC"/>
    <w:rsid w:val="004E5D0F"/>
    <w:rsid w:val="004F47B4"/>
    <w:rsid w:val="004F4A4B"/>
    <w:rsid w:val="00501EFF"/>
    <w:rsid w:val="005020D2"/>
    <w:rsid w:val="0051349F"/>
    <w:rsid w:val="00526863"/>
    <w:rsid w:val="005270F9"/>
    <w:rsid w:val="00532F96"/>
    <w:rsid w:val="005408F9"/>
    <w:rsid w:val="0054187C"/>
    <w:rsid w:val="00542505"/>
    <w:rsid w:val="00543BA8"/>
    <w:rsid w:val="00544D24"/>
    <w:rsid w:val="005568E8"/>
    <w:rsid w:val="005619B0"/>
    <w:rsid w:val="00563C6F"/>
    <w:rsid w:val="00564F21"/>
    <w:rsid w:val="00573556"/>
    <w:rsid w:val="00573D2F"/>
    <w:rsid w:val="00582922"/>
    <w:rsid w:val="005843DE"/>
    <w:rsid w:val="00585334"/>
    <w:rsid w:val="00593BF7"/>
    <w:rsid w:val="00593C4B"/>
    <w:rsid w:val="005967D7"/>
    <w:rsid w:val="0059682F"/>
    <w:rsid w:val="005969FB"/>
    <w:rsid w:val="005A28A4"/>
    <w:rsid w:val="005A2F04"/>
    <w:rsid w:val="005A5D31"/>
    <w:rsid w:val="005A6392"/>
    <w:rsid w:val="005A67C0"/>
    <w:rsid w:val="005A7C4D"/>
    <w:rsid w:val="005B6B53"/>
    <w:rsid w:val="005C004C"/>
    <w:rsid w:val="005C23D6"/>
    <w:rsid w:val="005C42A6"/>
    <w:rsid w:val="005D5512"/>
    <w:rsid w:val="005E3501"/>
    <w:rsid w:val="005F24AD"/>
    <w:rsid w:val="005F3D7B"/>
    <w:rsid w:val="005F525A"/>
    <w:rsid w:val="005F54F5"/>
    <w:rsid w:val="005F68FD"/>
    <w:rsid w:val="005F74C0"/>
    <w:rsid w:val="00600F1A"/>
    <w:rsid w:val="00605199"/>
    <w:rsid w:val="00624C5E"/>
    <w:rsid w:val="00626F7B"/>
    <w:rsid w:val="00626FD8"/>
    <w:rsid w:val="006270EC"/>
    <w:rsid w:val="006464CD"/>
    <w:rsid w:val="00650D85"/>
    <w:rsid w:val="006528C9"/>
    <w:rsid w:val="00660840"/>
    <w:rsid w:val="006673E8"/>
    <w:rsid w:val="00671EC0"/>
    <w:rsid w:val="00676F48"/>
    <w:rsid w:val="0067770B"/>
    <w:rsid w:val="00686056"/>
    <w:rsid w:val="00691C32"/>
    <w:rsid w:val="0069330A"/>
    <w:rsid w:val="00693623"/>
    <w:rsid w:val="006947C4"/>
    <w:rsid w:val="006A473D"/>
    <w:rsid w:val="006A5E7E"/>
    <w:rsid w:val="006B0513"/>
    <w:rsid w:val="006B16E0"/>
    <w:rsid w:val="006B1A65"/>
    <w:rsid w:val="006B24BB"/>
    <w:rsid w:val="006B30D1"/>
    <w:rsid w:val="006B3255"/>
    <w:rsid w:val="006B4816"/>
    <w:rsid w:val="006C0902"/>
    <w:rsid w:val="006C1E9E"/>
    <w:rsid w:val="006C4B90"/>
    <w:rsid w:val="006C5AD3"/>
    <w:rsid w:val="006C617F"/>
    <w:rsid w:val="006C6B8E"/>
    <w:rsid w:val="006D6A17"/>
    <w:rsid w:val="006E1911"/>
    <w:rsid w:val="006E3221"/>
    <w:rsid w:val="00705766"/>
    <w:rsid w:val="007172D9"/>
    <w:rsid w:val="00720888"/>
    <w:rsid w:val="0072138D"/>
    <w:rsid w:val="0072746D"/>
    <w:rsid w:val="007312AA"/>
    <w:rsid w:val="00733D56"/>
    <w:rsid w:val="007342AA"/>
    <w:rsid w:val="00734C1B"/>
    <w:rsid w:val="00745FCC"/>
    <w:rsid w:val="007460A4"/>
    <w:rsid w:val="00750D3B"/>
    <w:rsid w:val="00750F80"/>
    <w:rsid w:val="007516F0"/>
    <w:rsid w:val="00753841"/>
    <w:rsid w:val="00753A99"/>
    <w:rsid w:val="007550AB"/>
    <w:rsid w:val="007604FB"/>
    <w:rsid w:val="007653DA"/>
    <w:rsid w:val="0076614E"/>
    <w:rsid w:val="00773725"/>
    <w:rsid w:val="007804DE"/>
    <w:rsid w:val="00784EB7"/>
    <w:rsid w:val="0079305A"/>
    <w:rsid w:val="007A1421"/>
    <w:rsid w:val="007B29C4"/>
    <w:rsid w:val="007B2FB1"/>
    <w:rsid w:val="007C008A"/>
    <w:rsid w:val="007C0C20"/>
    <w:rsid w:val="007C2A5C"/>
    <w:rsid w:val="007C7944"/>
    <w:rsid w:val="007C7C55"/>
    <w:rsid w:val="007E03C0"/>
    <w:rsid w:val="007E2034"/>
    <w:rsid w:val="007E2836"/>
    <w:rsid w:val="007E326E"/>
    <w:rsid w:val="007E568A"/>
    <w:rsid w:val="007F0D03"/>
    <w:rsid w:val="007F4828"/>
    <w:rsid w:val="008005C8"/>
    <w:rsid w:val="008006BE"/>
    <w:rsid w:val="00802289"/>
    <w:rsid w:val="0080397A"/>
    <w:rsid w:val="00803CB7"/>
    <w:rsid w:val="00807054"/>
    <w:rsid w:val="0080728A"/>
    <w:rsid w:val="00807803"/>
    <w:rsid w:val="00813DBC"/>
    <w:rsid w:val="00813F7A"/>
    <w:rsid w:val="00821714"/>
    <w:rsid w:val="00821F18"/>
    <w:rsid w:val="00822995"/>
    <w:rsid w:val="00822FC7"/>
    <w:rsid w:val="00825CB7"/>
    <w:rsid w:val="00826E16"/>
    <w:rsid w:val="00831295"/>
    <w:rsid w:val="008364AC"/>
    <w:rsid w:val="00841104"/>
    <w:rsid w:val="00855A9A"/>
    <w:rsid w:val="00856A0E"/>
    <w:rsid w:val="008631CE"/>
    <w:rsid w:val="0086443E"/>
    <w:rsid w:val="008679E9"/>
    <w:rsid w:val="00867E1C"/>
    <w:rsid w:val="00872FD2"/>
    <w:rsid w:val="00873D35"/>
    <w:rsid w:val="00876869"/>
    <w:rsid w:val="008832E9"/>
    <w:rsid w:val="00887A84"/>
    <w:rsid w:val="00894F9A"/>
    <w:rsid w:val="00896BD0"/>
    <w:rsid w:val="008B26FD"/>
    <w:rsid w:val="008B2E86"/>
    <w:rsid w:val="008B2F37"/>
    <w:rsid w:val="008B434C"/>
    <w:rsid w:val="008C0AB9"/>
    <w:rsid w:val="008C0EAA"/>
    <w:rsid w:val="008C5A91"/>
    <w:rsid w:val="008E1D41"/>
    <w:rsid w:val="008E2830"/>
    <w:rsid w:val="008E3008"/>
    <w:rsid w:val="008E7B8E"/>
    <w:rsid w:val="008E7ED3"/>
    <w:rsid w:val="008F1380"/>
    <w:rsid w:val="008F31BA"/>
    <w:rsid w:val="00904097"/>
    <w:rsid w:val="009053F7"/>
    <w:rsid w:val="00905422"/>
    <w:rsid w:val="0090724F"/>
    <w:rsid w:val="009258AE"/>
    <w:rsid w:val="00926AA3"/>
    <w:rsid w:val="009272A2"/>
    <w:rsid w:val="00930258"/>
    <w:rsid w:val="00930A39"/>
    <w:rsid w:val="009350F0"/>
    <w:rsid w:val="009371F0"/>
    <w:rsid w:val="009419A4"/>
    <w:rsid w:val="00952D32"/>
    <w:rsid w:val="00954C51"/>
    <w:rsid w:val="00957BA0"/>
    <w:rsid w:val="00963440"/>
    <w:rsid w:val="00971261"/>
    <w:rsid w:val="00971AA3"/>
    <w:rsid w:val="00977BEA"/>
    <w:rsid w:val="00991538"/>
    <w:rsid w:val="0099372E"/>
    <w:rsid w:val="00994C96"/>
    <w:rsid w:val="00995104"/>
    <w:rsid w:val="009A0464"/>
    <w:rsid w:val="009A44A5"/>
    <w:rsid w:val="009A4B11"/>
    <w:rsid w:val="009B058D"/>
    <w:rsid w:val="009B139F"/>
    <w:rsid w:val="009B2D95"/>
    <w:rsid w:val="009B60B8"/>
    <w:rsid w:val="009C403B"/>
    <w:rsid w:val="009C598D"/>
    <w:rsid w:val="009C6EE0"/>
    <w:rsid w:val="009C7B66"/>
    <w:rsid w:val="009D2440"/>
    <w:rsid w:val="009D3564"/>
    <w:rsid w:val="009D47EF"/>
    <w:rsid w:val="009D5174"/>
    <w:rsid w:val="009D57E3"/>
    <w:rsid w:val="009D5B7E"/>
    <w:rsid w:val="009D5F93"/>
    <w:rsid w:val="009E006D"/>
    <w:rsid w:val="009E0A65"/>
    <w:rsid w:val="009E246B"/>
    <w:rsid w:val="009E5122"/>
    <w:rsid w:val="009E7724"/>
    <w:rsid w:val="009F1F31"/>
    <w:rsid w:val="009F560F"/>
    <w:rsid w:val="009F6226"/>
    <w:rsid w:val="00A01EE2"/>
    <w:rsid w:val="00A043CA"/>
    <w:rsid w:val="00A0447D"/>
    <w:rsid w:val="00A0593F"/>
    <w:rsid w:val="00A063EE"/>
    <w:rsid w:val="00A0784F"/>
    <w:rsid w:val="00A161A4"/>
    <w:rsid w:val="00A17957"/>
    <w:rsid w:val="00A22C63"/>
    <w:rsid w:val="00A253B8"/>
    <w:rsid w:val="00A31E80"/>
    <w:rsid w:val="00A32258"/>
    <w:rsid w:val="00A33333"/>
    <w:rsid w:val="00A3469C"/>
    <w:rsid w:val="00A37554"/>
    <w:rsid w:val="00A40933"/>
    <w:rsid w:val="00A43B3E"/>
    <w:rsid w:val="00A659E1"/>
    <w:rsid w:val="00A7281A"/>
    <w:rsid w:val="00A80E26"/>
    <w:rsid w:val="00A8104F"/>
    <w:rsid w:val="00A85445"/>
    <w:rsid w:val="00A8558A"/>
    <w:rsid w:val="00A900CC"/>
    <w:rsid w:val="00A9095F"/>
    <w:rsid w:val="00A96951"/>
    <w:rsid w:val="00A97235"/>
    <w:rsid w:val="00A97EDE"/>
    <w:rsid w:val="00AA34E3"/>
    <w:rsid w:val="00AA4905"/>
    <w:rsid w:val="00AB32A9"/>
    <w:rsid w:val="00AB3DD5"/>
    <w:rsid w:val="00AB7A78"/>
    <w:rsid w:val="00AC02AA"/>
    <w:rsid w:val="00AC1D94"/>
    <w:rsid w:val="00AC2081"/>
    <w:rsid w:val="00AD1199"/>
    <w:rsid w:val="00AD1749"/>
    <w:rsid w:val="00AD6475"/>
    <w:rsid w:val="00AD7B0E"/>
    <w:rsid w:val="00AE0FC7"/>
    <w:rsid w:val="00AE6C40"/>
    <w:rsid w:val="00AE710A"/>
    <w:rsid w:val="00AF1E66"/>
    <w:rsid w:val="00AF26C6"/>
    <w:rsid w:val="00B020E4"/>
    <w:rsid w:val="00B055B1"/>
    <w:rsid w:val="00B0660D"/>
    <w:rsid w:val="00B06697"/>
    <w:rsid w:val="00B176C3"/>
    <w:rsid w:val="00B204BA"/>
    <w:rsid w:val="00B20E03"/>
    <w:rsid w:val="00B23B4B"/>
    <w:rsid w:val="00B253A1"/>
    <w:rsid w:val="00B262AB"/>
    <w:rsid w:val="00B33CB7"/>
    <w:rsid w:val="00B352FA"/>
    <w:rsid w:val="00B36B5C"/>
    <w:rsid w:val="00B36D31"/>
    <w:rsid w:val="00B43146"/>
    <w:rsid w:val="00B43495"/>
    <w:rsid w:val="00B46969"/>
    <w:rsid w:val="00B47A1D"/>
    <w:rsid w:val="00B5131C"/>
    <w:rsid w:val="00B53802"/>
    <w:rsid w:val="00B615EA"/>
    <w:rsid w:val="00B617CD"/>
    <w:rsid w:val="00B64DE7"/>
    <w:rsid w:val="00B66FC9"/>
    <w:rsid w:val="00B7025F"/>
    <w:rsid w:val="00B71F0C"/>
    <w:rsid w:val="00B76AF5"/>
    <w:rsid w:val="00B805E0"/>
    <w:rsid w:val="00B955FF"/>
    <w:rsid w:val="00B962CB"/>
    <w:rsid w:val="00BB12C1"/>
    <w:rsid w:val="00BB4A7A"/>
    <w:rsid w:val="00BB6CB3"/>
    <w:rsid w:val="00BC0047"/>
    <w:rsid w:val="00BC266F"/>
    <w:rsid w:val="00BD2206"/>
    <w:rsid w:val="00BE48D2"/>
    <w:rsid w:val="00BE7509"/>
    <w:rsid w:val="00BE77B1"/>
    <w:rsid w:val="00BF67EE"/>
    <w:rsid w:val="00BF6F8B"/>
    <w:rsid w:val="00C04DCF"/>
    <w:rsid w:val="00C04F0F"/>
    <w:rsid w:val="00C06177"/>
    <w:rsid w:val="00C075EA"/>
    <w:rsid w:val="00C14C5A"/>
    <w:rsid w:val="00C158DA"/>
    <w:rsid w:val="00C23990"/>
    <w:rsid w:val="00C24E37"/>
    <w:rsid w:val="00C25EC1"/>
    <w:rsid w:val="00C34C43"/>
    <w:rsid w:val="00C41089"/>
    <w:rsid w:val="00C41BEB"/>
    <w:rsid w:val="00C46B3C"/>
    <w:rsid w:val="00C50A26"/>
    <w:rsid w:val="00C56476"/>
    <w:rsid w:val="00C61AC6"/>
    <w:rsid w:val="00C702C7"/>
    <w:rsid w:val="00C7429C"/>
    <w:rsid w:val="00C762EB"/>
    <w:rsid w:val="00C7751E"/>
    <w:rsid w:val="00C8093A"/>
    <w:rsid w:val="00C81837"/>
    <w:rsid w:val="00C8703B"/>
    <w:rsid w:val="00C87F2D"/>
    <w:rsid w:val="00C90294"/>
    <w:rsid w:val="00CA4E63"/>
    <w:rsid w:val="00CA5B05"/>
    <w:rsid w:val="00CB4511"/>
    <w:rsid w:val="00CC2A1A"/>
    <w:rsid w:val="00CC5E8F"/>
    <w:rsid w:val="00CC69B1"/>
    <w:rsid w:val="00CD2311"/>
    <w:rsid w:val="00CD5842"/>
    <w:rsid w:val="00CE1D9F"/>
    <w:rsid w:val="00CE2DE3"/>
    <w:rsid w:val="00CF3CA4"/>
    <w:rsid w:val="00CF546E"/>
    <w:rsid w:val="00CF7F7F"/>
    <w:rsid w:val="00D0023B"/>
    <w:rsid w:val="00D01239"/>
    <w:rsid w:val="00D05129"/>
    <w:rsid w:val="00D149B4"/>
    <w:rsid w:val="00D15733"/>
    <w:rsid w:val="00D16E1E"/>
    <w:rsid w:val="00D21B41"/>
    <w:rsid w:val="00D236E8"/>
    <w:rsid w:val="00D27B73"/>
    <w:rsid w:val="00D3243E"/>
    <w:rsid w:val="00D329DF"/>
    <w:rsid w:val="00D33A2B"/>
    <w:rsid w:val="00D35C72"/>
    <w:rsid w:val="00D36E73"/>
    <w:rsid w:val="00D4280C"/>
    <w:rsid w:val="00D46F6C"/>
    <w:rsid w:val="00D5297D"/>
    <w:rsid w:val="00D52A6A"/>
    <w:rsid w:val="00D551BA"/>
    <w:rsid w:val="00D61DFC"/>
    <w:rsid w:val="00D6230E"/>
    <w:rsid w:val="00D768FD"/>
    <w:rsid w:val="00D7732D"/>
    <w:rsid w:val="00D77643"/>
    <w:rsid w:val="00D776CC"/>
    <w:rsid w:val="00D8016F"/>
    <w:rsid w:val="00D815D0"/>
    <w:rsid w:val="00DA1962"/>
    <w:rsid w:val="00DA2169"/>
    <w:rsid w:val="00DB0CB1"/>
    <w:rsid w:val="00DB1816"/>
    <w:rsid w:val="00DB5D79"/>
    <w:rsid w:val="00DC4D91"/>
    <w:rsid w:val="00DC65D0"/>
    <w:rsid w:val="00DD266F"/>
    <w:rsid w:val="00DD5A1B"/>
    <w:rsid w:val="00DD715C"/>
    <w:rsid w:val="00DE18BC"/>
    <w:rsid w:val="00DE4E01"/>
    <w:rsid w:val="00DF4B62"/>
    <w:rsid w:val="00E00289"/>
    <w:rsid w:val="00E0517E"/>
    <w:rsid w:val="00E0575B"/>
    <w:rsid w:val="00E105C1"/>
    <w:rsid w:val="00E15DEF"/>
    <w:rsid w:val="00E15E9E"/>
    <w:rsid w:val="00E17A81"/>
    <w:rsid w:val="00E26113"/>
    <w:rsid w:val="00E26386"/>
    <w:rsid w:val="00E266A4"/>
    <w:rsid w:val="00E307B8"/>
    <w:rsid w:val="00E35306"/>
    <w:rsid w:val="00E35847"/>
    <w:rsid w:val="00E36C7A"/>
    <w:rsid w:val="00E4362E"/>
    <w:rsid w:val="00E50FBB"/>
    <w:rsid w:val="00E51605"/>
    <w:rsid w:val="00E54BEF"/>
    <w:rsid w:val="00E56993"/>
    <w:rsid w:val="00E56F4A"/>
    <w:rsid w:val="00E6072F"/>
    <w:rsid w:val="00E667B1"/>
    <w:rsid w:val="00E7797E"/>
    <w:rsid w:val="00E82807"/>
    <w:rsid w:val="00E867F7"/>
    <w:rsid w:val="00E87432"/>
    <w:rsid w:val="00E943B8"/>
    <w:rsid w:val="00E94C20"/>
    <w:rsid w:val="00EA0D5A"/>
    <w:rsid w:val="00EA300D"/>
    <w:rsid w:val="00EA44E1"/>
    <w:rsid w:val="00EB209E"/>
    <w:rsid w:val="00EB5CD1"/>
    <w:rsid w:val="00EC3DAE"/>
    <w:rsid w:val="00EC6CC9"/>
    <w:rsid w:val="00ED5DBC"/>
    <w:rsid w:val="00EE16D4"/>
    <w:rsid w:val="00EE2C87"/>
    <w:rsid w:val="00EE61A2"/>
    <w:rsid w:val="00EE70F9"/>
    <w:rsid w:val="00EF0925"/>
    <w:rsid w:val="00EF4086"/>
    <w:rsid w:val="00F045B9"/>
    <w:rsid w:val="00F1518C"/>
    <w:rsid w:val="00F15F5C"/>
    <w:rsid w:val="00F17C20"/>
    <w:rsid w:val="00F23266"/>
    <w:rsid w:val="00F3081C"/>
    <w:rsid w:val="00F41AD7"/>
    <w:rsid w:val="00F448EC"/>
    <w:rsid w:val="00F45C79"/>
    <w:rsid w:val="00F506EF"/>
    <w:rsid w:val="00F5140D"/>
    <w:rsid w:val="00F55BAD"/>
    <w:rsid w:val="00F565A3"/>
    <w:rsid w:val="00F600EA"/>
    <w:rsid w:val="00F63242"/>
    <w:rsid w:val="00F64334"/>
    <w:rsid w:val="00F66FD8"/>
    <w:rsid w:val="00F7435C"/>
    <w:rsid w:val="00F86AFE"/>
    <w:rsid w:val="00F87CCF"/>
    <w:rsid w:val="00F9119D"/>
    <w:rsid w:val="00F91722"/>
    <w:rsid w:val="00F921BE"/>
    <w:rsid w:val="00F94990"/>
    <w:rsid w:val="00F973D7"/>
    <w:rsid w:val="00FA6EC4"/>
    <w:rsid w:val="00FB0CB7"/>
    <w:rsid w:val="00FB0F31"/>
    <w:rsid w:val="00FB25C1"/>
    <w:rsid w:val="00FB6C38"/>
    <w:rsid w:val="00FC1E31"/>
    <w:rsid w:val="00FC2104"/>
    <w:rsid w:val="00FC2B0D"/>
    <w:rsid w:val="00FC3A87"/>
    <w:rsid w:val="00FC5C06"/>
    <w:rsid w:val="00FC7B9F"/>
    <w:rsid w:val="00FD505C"/>
    <w:rsid w:val="00FD5421"/>
    <w:rsid w:val="00FD59D7"/>
    <w:rsid w:val="00FE7D65"/>
    <w:rsid w:val="00FE7E6F"/>
    <w:rsid w:val="00FF0073"/>
    <w:rsid w:val="00FF0F52"/>
    <w:rsid w:val="00FF1E8D"/>
    <w:rsid w:val="00FF4574"/>
    <w:rsid w:val="00FF6D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81B8"/>
  <w15:chartTrackingRefBased/>
  <w15:docId w15:val="{BAFE8D87-EAE1-4E7F-B209-21706E5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uiPriority="0"/>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0AB"/>
    <w:pPr>
      <w:spacing w:after="240" w:line="240" w:lineRule="atLeast"/>
    </w:pPr>
    <w:rPr>
      <w:sz w:val="18"/>
      <w:szCs w:val="22"/>
      <w:lang w:val="en-US" w:eastAsia="en-US"/>
    </w:rPr>
  </w:style>
  <w:style w:type="paragraph" w:styleId="Nadpis1">
    <w:name w:val="heading 1"/>
    <w:basedOn w:val="Normln"/>
    <w:next w:val="Normln"/>
    <w:link w:val="Nadpis1Char"/>
    <w:qFormat/>
    <w:rsid w:val="007550AB"/>
    <w:pPr>
      <w:keepNext/>
      <w:keepLines/>
      <w:spacing w:after="0"/>
      <w:outlineLvl w:val="0"/>
    </w:pPr>
    <w:rPr>
      <w:rFonts w:eastAsia="MingLiU"/>
      <w:b/>
      <w:bCs/>
      <w:color w:val="62B5E5"/>
      <w:szCs w:val="28"/>
    </w:rPr>
  </w:style>
  <w:style w:type="paragraph" w:styleId="Nadpis2">
    <w:name w:val="heading 2"/>
    <w:basedOn w:val="Normln"/>
    <w:next w:val="Normln"/>
    <w:link w:val="Nadpis2Char"/>
    <w:qFormat/>
    <w:rsid w:val="007550AB"/>
    <w:pPr>
      <w:keepNext/>
      <w:keepLines/>
      <w:spacing w:after="0"/>
      <w:outlineLvl w:val="1"/>
    </w:pPr>
    <w:rPr>
      <w:rFonts w:eastAsia="MingLiU"/>
      <w:b/>
      <w:bCs/>
      <w:color w:val="000000"/>
      <w:szCs w:val="26"/>
    </w:rPr>
  </w:style>
  <w:style w:type="paragraph" w:styleId="Nadpis3">
    <w:name w:val="heading 3"/>
    <w:basedOn w:val="Normln"/>
    <w:next w:val="Normln"/>
    <w:link w:val="Nadpis3Char"/>
    <w:qFormat/>
    <w:rsid w:val="00CC2A1A"/>
    <w:pPr>
      <w:keepNext/>
      <w:keepLines/>
      <w:spacing w:after="0"/>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spacing w:after="0"/>
      <w:outlineLvl w:val="3"/>
    </w:pPr>
    <w:rPr>
      <w:rFonts w:eastAsia="MingLiU"/>
      <w:b/>
      <w:bCs/>
      <w:iCs/>
      <w:color w:val="000000"/>
    </w:rPr>
  </w:style>
  <w:style w:type="paragraph" w:styleId="Nadpis5">
    <w:name w:val="heading 5"/>
    <w:basedOn w:val="Normln"/>
    <w:next w:val="Normln"/>
    <w:link w:val="Nadpis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Nadpis6">
    <w:name w:val="heading 6"/>
    <w:basedOn w:val="Normln"/>
    <w:next w:val="Normln"/>
    <w:link w:val="Nadpis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Nadpis7">
    <w:name w:val="heading 7"/>
    <w:basedOn w:val="Normln"/>
    <w:next w:val="Normln"/>
    <w:link w:val="Nadpis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Nadpis8">
    <w:name w:val="heading 8"/>
    <w:aliases w:val="(Appendici)"/>
    <w:basedOn w:val="Normln"/>
    <w:next w:val="Normln"/>
    <w:link w:val="Nadpis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Nadpis9">
    <w:name w:val="heading 9"/>
    <w:aliases w:val="(Bibliografia)"/>
    <w:basedOn w:val="Normln"/>
    <w:next w:val="Normln"/>
    <w:link w:val="Nadpis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aliases w:val="Deloitte table 3"/>
    <w:basedOn w:val="Normlntabulka"/>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rsid w:val="00F3081C"/>
    <w:pPr>
      <w:spacing w:after="0" w:line="240" w:lineRule="auto"/>
    </w:pPr>
    <w:rPr>
      <w:sz w:val="16"/>
      <w:szCs w:val="20"/>
    </w:rPr>
  </w:style>
  <w:style w:type="character" w:customStyle="1" w:styleId="TextpoznpodarouChar">
    <w:name w:val="Text pozn. pod čarou Char"/>
    <w:link w:val="Textpoznpodarou"/>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D0346"/>
    <w:rPr>
      <w:rFonts w:ascii="Times New Roman" w:eastAsia="Calibri Light" w:hAnsi="Times New Roman"/>
      <w:sz w:val="17"/>
    </w:rPr>
    <w:tblPr>
      <w:tblBorders>
        <w:top w:val="single" w:sz="4" w:space="0" w:color="26890D"/>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26890D"/>
        </w:tcBorders>
      </w:tcPr>
    </w:tblStylePr>
  </w:style>
  <w:style w:type="paragraph" w:customStyle="1" w:styleId="Tabletext">
    <w:name w:val="Table text"/>
    <w:basedOn w:val="Normln"/>
    <w:qFormat/>
    <w:rsid w:val="003D0346"/>
    <w:pPr>
      <w:spacing w:after="0" w:line="200" w:lineRule="atLeast"/>
    </w:pPr>
    <w:rPr>
      <w:rFonts w:ascii="Calibri" w:eastAsia="Calibri Light" w:hAnsi="Calibri"/>
      <w:sz w:val="17"/>
      <w:szCs w:val="20"/>
      <w:lang w:val="cs-CZ" w:eastAsia="cs-CZ"/>
    </w:rPr>
  </w:style>
  <w:style w:type="paragraph" w:customStyle="1" w:styleId="Tabletitle">
    <w:name w:val="Table title"/>
    <w:basedOn w:val="Tabletext"/>
    <w:qFormat/>
    <w:rsid w:val="003D0346"/>
    <w:rPr>
      <w:b/>
      <w:color w:val="26890D"/>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ind w:left="425" w:hanging="425"/>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ind w:left="1049" w:hanging="624"/>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ind w:left="1843"/>
      <w:jc w:val="both"/>
    </w:pPr>
    <w:rPr>
      <w:sz w:val="18"/>
      <w:szCs w:val="22"/>
      <w:lang w:val="en-US" w:eastAsia="en-US"/>
    </w:rPr>
  </w:style>
  <w:style w:type="character" w:customStyle="1" w:styleId="Nadpis5Char">
    <w:name w:val="Nadpis 5 Char"/>
    <w:basedOn w:val="Standardnpsmoodstavce"/>
    <w:link w:val="Nadpis5"/>
    <w:rsid w:val="00B7025F"/>
    <w:rPr>
      <w:rFonts w:ascii="Arial" w:eastAsiaTheme="majorEastAsia" w:hAnsi="Arial" w:cstheme="majorBidi"/>
      <w:b/>
      <w:i/>
      <w:color w:val="425D12" w:themeColor="accent1" w:themeShade="7F"/>
      <w:sz w:val="24"/>
      <w:szCs w:val="24"/>
      <w:lang w:val="en-US" w:eastAsia="en-US"/>
    </w:rPr>
  </w:style>
  <w:style w:type="character" w:customStyle="1" w:styleId="Nadpis6Char">
    <w:name w:val="Nadpis 6 Char"/>
    <w:basedOn w:val="Standardnpsmoodstavce"/>
    <w:link w:val="Nadpis6"/>
    <w:rsid w:val="00B7025F"/>
    <w:rPr>
      <w:rFonts w:ascii="Arial" w:eastAsiaTheme="majorEastAsia" w:hAnsi="Arial" w:cstheme="majorBidi"/>
      <w:i/>
      <w:iCs/>
      <w:color w:val="425D12" w:themeColor="accent1" w:themeShade="7F"/>
      <w:sz w:val="24"/>
      <w:szCs w:val="24"/>
      <w:lang w:val="en-US" w:eastAsia="en-US"/>
    </w:rPr>
  </w:style>
  <w:style w:type="character" w:customStyle="1" w:styleId="Nadpis7Char">
    <w:name w:val="Nadpis 7 Char"/>
    <w:basedOn w:val="Standardnpsmoodstavce"/>
    <w:link w:val="Nadpis7"/>
    <w:rsid w:val="00B7025F"/>
    <w:rPr>
      <w:rFonts w:ascii="Arial" w:eastAsiaTheme="majorEastAsia" w:hAnsi="Arial" w:cstheme="majorBidi"/>
      <w:i/>
      <w:iCs/>
      <w:color w:val="404040" w:themeColor="text1" w:themeTint="BF"/>
      <w:sz w:val="22"/>
      <w:szCs w:val="24"/>
      <w:lang w:val="en-US" w:eastAsia="en-US"/>
    </w:rPr>
  </w:style>
  <w:style w:type="character" w:customStyle="1" w:styleId="Nadpis8Char">
    <w:name w:val="Nadpis 8 Char"/>
    <w:aliases w:val="(Appendici) Char"/>
    <w:basedOn w:val="Standardnpsmoodstavce"/>
    <w:link w:val="Nadpis8"/>
    <w:rsid w:val="00B7025F"/>
    <w:rPr>
      <w:rFonts w:ascii="Arial" w:eastAsiaTheme="majorEastAsia" w:hAnsi="Arial" w:cstheme="majorBidi"/>
      <w:i/>
      <w:color w:val="404040" w:themeColor="text1" w:themeTint="BF"/>
      <w:lang w:val="en-US" w:eastAsia="en-US"/>
    </w:rPr>
  </w:style>
  <w:style w:type="character" w:customStyle="1" w:styleId="Nadpis9Char">
    <w:name w:val="Nadpis 9 Char"/>
    <w:aliases w:val="(Bibliografia) Char"/>
    <w:basedOn w:val="Standardnpsmoodstavce"/>
    <w:link w:val="Nadpis9"/>
    <w:rsid w:val="00B7025F"/>
    <w:rPr>
      <w:rFonts w:ascii="Arial" w:eastAsiaTheme="majorEastAsia" w:hAnsi="Arial" w:cstheme="majorBidi"/>
      <w:i/>
      <w:iCs/>
      <w:color w:val="404040" w:themeColor="text1" w:themeTint="BF"/>
      <w:sz w:val="18"/>
      <w:lang w:val="en-US" w:eastAsia="en-US"/>
    </w:rPr>
  </w:style>
  <w:style w:type="character" w:styleId="slostrnky">
    <w:name w:val="page number"/>
    <w:basedOn w:val="Standardnpsmoodstavce"/>
    <w:rsid w:val="00B7025F"/>
    <w:rPr>
      <w:rFonts w:ascii="Arial" w:hAnsi="Arial"/>
      <w:sz w:val="16"/>
    </w:rPr>
  </w:style>
  <w:style w:type="paragraph" w:styleId="Obsah2">
    <w:name w:val="toc 2"/>
    <w:basedOn w:val="Normln"/>
    <w:next w:val="Normln"/>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Obsah3">
    <w:name w:val="toc 3"/>
    <w:basedOn w:val="Normln"/>
    <w:next w:val="Normln"/>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ln"/>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ln"/>
    <w:next w:val="Normln"/>
    <w:qFormat/>
    <w:rsid w:val="00B204BA"/>
    <w:pPr>
      <w:jc w:val="both"/>
    </w:pPr>
    <w:rPr>
      <w:rFonts w:eastAsia="Times New Roman"/>
      <w:b/>
      <w:lang w:val="cs-CZ"/>
    </w:rPr>
  </w:style>
  <w:style w:type="character" w:customStyle="1" w:styleId="CaptionbodyChar">
    <w:name w:val="Caption body Char"/>
    <w:basedOn w:val="Standardnpsmoodstavce"/>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ln"/>
    <w:rsid w:val="00B7025F"/>
    <w:pPr>
      <w:keepLines/>
      <w:tabs>
        <w:tab w:val="left" w:pos="851"/>
      </w:tabs>
      <w:jc w:val="both"/>
    </w:pPr>
    <w:rPr>
      <w:rFonts w:eastAsia="Times"/>
      <w:noProof/>
      <w:szCs w:val="18"/>
      <w:lang w:val="cs-CZ"/>
    </w:rPr>
  </w:style>
  <w:style w:type="paragraph" w:customStyle="1" w:styleId="Highlight1">
    <w:name w:val="Highlight 1"/>
    <w:basedOn w:val="Normln"/>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Normlntabulka"/>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Normlntabulka"/>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B7025F"/>
    <w:rPr>
      <w:rFonts w:ascii="Arial" w:eastAsia="Times New Roman" w:hAnsi="Arial"/>
      <w:sz w:val="19"/>
      <w:lang w:val="en-US" w:eastAsia="en-US"/>
    </w:rPr>
    <w:tblPr/>
  </w:style>
  <w:style w:type="table" w:customStyle="1" w:styleId="Deloittetable6">
    <w:name w:val="Deloitte table 6"/>
    <w:basedOn w:val="Normlntabulka"/>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Nadpisobsahu">
    <w:name w:val="TOC Heading"/>
    <w:basedOn w:val="Nadpis1"/>
    <w:next w:val="Normln"/>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Zkladntext">
    <w:name w:val="Body Text"/>
    <w:basedOn w:val="Normln"/>
    <w:link w:val="ZkladntextChar"/>
    <w:rsid w:val="00B7025F"/>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B7025F"/>
    <w:rPr>
      <w:rFonts w:eastAsia="Times New Roman"/>
      <w:sz w:val="18"/>
      <w:szCs w:val="18"/>
      <w:lang w:val="en-GB" w:eastAsia="en-US"/>
    </w:rPr>
  </w:style>
  <w:style w:type="paragraph" w:customStyle="1" w:styleId="Table">
    <w:name w:val="Table"/>
    <w:basedOn w:val="Normln"/>
    <w:rsid w:val="00B7025F"/>
    <w:pPr>
      <w:keepLines/>
      <w:tabs>
        <w:tab w:val="left" w:pos="851"/>
      </w:tabs>
      <w:spacing w:before="120" w:after="0" w:line="240" w:lineRule="auto"/>
      <w:jc w:val="both"/>
    </w:pPr>
    <w:rPr>
      <w:rFonts w:ascii="Arial" w:eastAsia="Times New Roman" w:hAnsi="Arial"/>
      <w:szCs w:val="18"/>
      <w:lang w:val="cs-CZ"/>
    </w:rPr>
  </w:style>
  <w:style w:type="character" w:styleId="Odkaznakoment">
    <w:name w:val="annotation reference"/>
    <w:basedOn w:val="Standardnpsmoodstavce"/>
    <w:rsid w:val="00B7025F"/>
    <w:rPr>
      <w:sz w:val="16"/>
      <w:szCs w:val="16"/>
    </w:rPr>
  </w:style>
  <w:style w:type="paragraph" w:styleId="Normlnweb">
    <w:name w:val="Normal (Web)"/>
    <w:basedOn w:val="Normln"/>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Nadpis1"/>
    <w:next w:val="Normln"/>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Odstavecseseznamem">
    <w:name w:val="List Paragraph"/>
    <w:basedOn w:val="Normln"/>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ln"/>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ln"/>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ln"/>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Bezseznamu"/>
    <w:semiHidden/>
    <w:rsid w:val="00B7025F"/>
  </w:style>
  <w:style w:type="paragraph" w:customStyle="1" w:styleId="StyleOdstavecItalic">
    <w:name w:val="Style Odstavec + Italic"/>
    <w:basedOn w:val="Normln"/>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Standardnpsmoodstavce"/>
    <w:link w:val="StyleOdstavecItalic"/>
    <w:rsid w:val="00B7025F"/>
    <w:rPr>
      <w:rFonts w:ascii="Arial" w:eastAsia="Times New Roman" w:hAnsi="Arial"/>
      <w:i/>
      <w:iCs/>
      <w:sz w:val="18"/>
      <w:szCs w:val="18"/>
      <w:lang w:eastAsia="en-US"/>
    </w:rPr>
  </w:style>
  <w:style w:type="paragraph" w:styleId="Pedmtkomente">
    <w:name w:val="annotation subject"/>
    <w:basedOn w:val="Normln"/>
    <w:link w:val="Pedmtkomente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PedmtkomenteChar">
    <w:name w:val="Předmět komentáře Char"/>
    <w:basedOn w:val="Standardnpsmoodstavce"/>
    <w:link w:val="Pedmtkomente"/>
    <w:rsid w:val="00B7025F"/>
    <w:rPr>
      <w:rFonts w:ascii="Arial" w:eastAsia="Times New Roman" w:hAnsi="Arial"/>
      <w:b/>
      <w:bCs/>
      <w:lang w:eastAsia="en-US"/>
    </w:rPr>
  </w:style>
  <w:style w:type="paragraph" w:styleId="Prosttext">
    <w:name w:val="Plain Text"/>
    <w:basedOn w:val="Normln"/>
    <w:link w:val="Prost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B7025F"/>
    <w:rPr>
      <w:rFonts w:ascii="Calibri" w:eastAsiaTheme="minorHAnsi" w:hAnsi="Calibri" w:cs="Consolas"/>
      <w:sz w:val="22"/>
      <w:szCs w:val="21"/>
      <w:lang w:eastAsia="en-US"/>
    </w:rPr>
  </w:style>
  <w:style w:type="paragraph" w:styleId="Textkomente">
    <w:name w:val="annotation text"/>
    <w:basedOn w:val="Normln"/>
    <w:link w:val="TextkomenteChar"/>
    <w:semiHidden/>
    <w:pPr>
      <w:spacing w:line="240" w:lineRule="auto"/>
    </w:pPr>
    <w:rPr>
      <w:sz w:val="20"/>
      <w:szCs w:val="20"/>
    </w:rPr>
  </w:style>
  <w:style w:type="character" w:customStyle="1" w:styleId="TextkomenteChar">
    <w:name w:val="Text komentáře Char"/>
    <w:basedOn w:val="Standardnpsmoodstavce"/>
    <w:link w:val="Textkomente"/>
    <w:semiHidden/>
    <w:rPr>
      <w:lang w:val="en-US" w:eastAsia="en-US"/>
    </w:rPr>
  </w:style>
  <w:style w:type="paragraph" w:customStyle="1" w:styleId="smlouvaheading10">
    <w:name w:val="smlouva heading 1"/>
    <w:next w:val="Normln"/>
    <w:qFormat/>
    <w:rsid w:val="00FD59D7"/>
    <w:pPr>
      <w:tabs>
        <w:tab w:val="num" w:pos="425"/>
      </w:tabs>
      <w:spacing w:before="240" w:after="120"/>
      <w:ind w:left="850" w:hanging="425"/>
    </w:pPr>
    <w:rPr>
      <w:rFonts w:eastAsia="Times New Roman"/>
      <w:b/>
      <w:noProof/>
      <w:color w:val="000000" w:themeColor="text1"/>
      <w:sz w:val="18"/>
      <w:szCs w:val="24"/>
      <w:lang w:eastAsia="en-US"/>
    </w:rPr>
  </w:style>
  <w:style w:type="paragraph" w:styleId="Revize">
    <w:name w:val="Revision"/>
    <w:hidden/>
    <w:uiPriority w:val="99"/>
    <w:semiHidden/>
    <w:rsid w:val="000510A2"/>
    <w:rPr>
      <w:sz w:val="18"/>
      <w:szCs w:val="22"/>
      <w:lang w:val="en-US" w:eastAsia="en-US"/>
    </w:rPr>
  </w:style>
  <w:style w:type="character" w:styleId="Nevyeenzmnka">
    <w:name w:val="Unresolved Mention"/>
    <w:basedOn w:val="Standardnpsmoodstavce"/>
    <w:uiPriority w:val="99"/>
    <w:semiHidden/>
    <w:unhideWhenUsed/>
    <w:rsid w:val="003E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431582239">
      <w:bodyDiv w:val="1"/>
      <w:marLeft w:val="0"/>
      <w:marRight w:val="0"/>
      <w:marTop w:val="0"/>
      <w:marBottom w:val="0"/>
      <w:divBdr>
        <w:top w:val="none" w:sz="0" w:space="0" w:color="auto"/>
        <w:left w:val="none" w:sz="0" w:space="0" w:color="auto"/>
        <w:bottom w:val="none" w:sz="0" w:space="0" w:color="auto"/>
        <w:right w:val="none" w:sz="0" w:space="0" w:color="auto"/>
      </w:divBdr>
    </w:div>
    <w:div w:id="1483080606">
      <w:bodyDiv w:val="1"/>
      <w:marLeft w:val="0"/>
      <w:marRight w:val="0"/>
      <w:marTop w:val="0"/>
      <w:marBottom w:val="0"/>
      <w:divBdr>
        <w:top w:val="none" w:sz="0" w:space="0" w:color="auto"/>
        <w:left w:val="none" w:sz="0" w:space="0" w:color="auto"/>
        <w:bottom w:val="none" w:sz="0" w:space="0" w:color="auto"/>
        <w:right w:val="none" w:sz="0" w:space="0" w:color="auto"/>
      </w:divBdr>
      <w:divsChild>
        <w:div w:id="1806238805">
          <w:marLeft w:val="274"/>
          <w:marRight w:val="0"/>
          <w:marTop w:val="0"/>
          <w:marBottom w:val="200"/>
          <w:divBdr>
            <w:top w:val="none" w:sz="0" w:space="0" w:color="auto"/>
            <w:left w:val="none" w:sz="0" w:space="0" w:color="auto"/>
            <w:bottom w:val="none" w:sz="0" w:space="0" w:color="auto"/>
            <w:right w:val="none" w:sz="0" w:space="0" w:color="auto"/>
          </w:divBdr>
        </w:div>
        <w:div w:id="1850366975">
          <w:marLeft w:val="562"/>
          <w:marRight w:val="0"/>
          <w:marTop w:val="0"/>
          <w:marBottom w:val="200"/>
          <w:divBdr>
            <w:top w:val="none" w:sz="0" w:space="0" w:color="auto"/>
            <w:left w:val="none" w:sz="0" w:space="0" w:color="auto"/>
            <w:bottom w:val="none" w:sz="0" w:space="0" w:color="auto"/>
            <w:right w:val="none" w:sz="0" w:space="0" w:color="auto"/>
          </w:divBdr>
        </w:div>
        <w:div w:id="1089235885">
          <w:marLeft w:val="562"/>
          <w:marRight w:val="0"/>
          <w:marTop w:val="0"/>
          <w:marBottom w:val="200"/>
          <w:divBdr>
            <w:top w:val="none" w:sz="0" w:space="0" w:color="auto"/>
            <w:left w:val="none" w:sz="0" w:space="0" w:color="auto"/>
            <w:bottom w:val="none" w:sz="0" w:space="0" w:color="auto"/>
            <w:right w:val="none" w:sz="0" w:space="0" w:color="auto"/>
          </w:divBdr>
        </w:div>
        <w:div w:id="726614234">
          <w:marLeft w:val="562"/>
          <w:marRight w:val="0"/>
          <w:marTop w:val="0"/>
          <w:marBottom w:val="200"/>
          <w:divBdr>
            <w:top w:val="none" w:sz="0" w:space="0" w:color="auto"/>
            <w:left w:val="none" w:sz="0" w:space="0" w:color="auto"/>
            <w:bottom w:val="none" w:sz="0" w:space="0" w:color="auto"/>
            <w:right w:val="none" w:sz="0" w:space="0" w:color="auto"/>
          </w:divBdr>
        </w:div>
        <w:div w:id="669672874">
          <w:marLeft w:val="274"/>
          <w:marRight w:val="0"/>
          <w:marTop w:val="0"/>
          <w:marBottom w:val="200"/>
          <w:divBdr>
            <w:top w:val="none" w:sz="0" w:space="0" w:color="auto"/>
            <w:left w:val="none" w:sz="0" w:space="0" w:color="auto"/>
            <w:bottom w:val="none" w:sz="0" w:space="0" w:color="auto"/>
            <w:right w:val="none" w:sz="0" w:space="0" w:color="auto"/>
          </w:divBdr>
        </w:div>
      </w:divsChild>
    </w:div>
    <w:div w:id="1990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aktury@muzeumprahy.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787A0-3CED-4985-BC34-BB1D9DCA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DC214-7FE6-4EF1-B8B1-313C492B0110}">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3.xml><?xml version="1.0" encoding="utf-8"?>
<ds:datastoreItem xmlns:ds="http://schemas.openxmlformats.org/officeDocument/2006/customXml" ds:itemID="{0E4B922D-E860-40F7-B99F-C6DD6D3B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9854</Words>
  <Characters>58140</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Proposal_A4</vt:lpstr>
    </vt:vector>
  </TitlesOfParts>
  <Company>Deloitte Touche Tohmatsu Services, Inc.</Company>
  <LinksUpToDate>false</LinksUpToDate>
  <CharactersWithSpaces>67859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Havlova, Pavlina (CZ - Prague)</dc:creator>
  <cp:keywords/>
  <dc:description/>
  <cp:lastModifiedBy>Vychodilová Gabriela</cp:lastModifiedBy>
  <cp:revision>23</cp:revision>
  <cp:lastPrinted>2016-04-04T15:14:00Z</cp:lastPrinted>
  <dcterms:created xsi:type="dcterms:W3CDTF">2023-03-21T13:47:00Z</dcterms:created>
  <dcterms:modified xsi:type="dcterms:W3CDTF">2023-03-27T13:03:00Z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SIP_Label_ea60d57e-af5b-4752-ac57-3e4f28ca11dc_Enabled">
    <vt:lpwstr>true</vt:lpwstr>
  </property>
  <property fmtid="{D5CDD505-2E9C-101B-9397-08002B2CF9AE}" pid="4" name="MSIP_Label_ea60d57e-af5b-4752-ac57-3e4f28ca11dc_SetDate">
    <vt:lpwstr>2021-07-21T10:27:00Z</vt:lpwstr>
  </property>
  <property fmtid="{D5CDD505-2E9C-101B-9397-08002B2CF9AE}" pid="5" name="MSIP_Label_ea60d57e-af5b-4752-ac57-3e4f28ca11dc_Method">
    <vt:lpwstr>Privileged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e70e34d0-3ece-4bf5-b4bb-fba4e657114e</vt:lpwstr>
  </property>
  <property fmtid="{D5CDD505-2E9C-101B-9397-08002B2CF9AE}" pid="9" name="MSIP_Label_ea60d57e-af5b-4752-ac57-3e4f28ca11dc_ContentBits">
    <vt:lpwstr>0</vt:lpwstr>
  </property>
  <property fmtid="{D5CDD505-2E9C-101B-9397-08002B2CF9AE}" pid="10" name="MediaServiceImageTags">
    <vt:lpwstr/>
  </property>
</Properties>
</file>