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Nzev"/>
      </w:pPr>
      <w:r>
        <w:t>Dodatek č. 26</w:t>
      </w:r>
      <w:r>
        <w:br/>
        <w:t>ke smlouvě o dílo č. 150/2004</w:t>
      </w:r>
      <w:r>
        <w:br/>
        <w:t>pro rok 2023</w:t>
      </w:r>
    </w:p>
    <w:p/>
    <w:p>
      <w:pPr>
        <w:pStyle w:val="Zkladntext-prvnodsazen1"/>
      </w:pPr>
      <w:r>
        <w:t>uzavřený v souladu s ustanovením § 536 a násl. zákona č. 513/1991 Sb., obchodního zákoníku, ve znění pozdějších předpisů, s přihlédnutím k ustanovení § 46 a násl. zákona č. 121/2000 Sb., o právu autorském, o právech souvisejících s právem autorským a o změně některých zákonů (autorský zákon).</w:t>
      </w:r>
    </w:p>
    <w:p/>
    <w:p>
      <w:pPr>
        <w:pStyle w:val="lnekslo"/>
      </w:pPr>
      <w:r>
        <w:t>I.</w:t>
      </w:r>
    </w:p>
    <w:p>
      <w:pPr>
        <w:pStyle w:val="lneknzev"/>
      </w:pPr>
      <w:r>
        <w:t>Smluvní strany</w:t>
      </w:r>
    </w:p>
    <w:p>
      <w:pPr>
        <w:pStyle w:val="Nadpis2"/>
      </w:pPr>
      <w:r>
        <w:t xml:space="preserve">Objednatel: </w:t>
      </w:r>
      <w:r>
        <w:tab/>
        <w:t>Město Bruntál</w:t>
      </w:r>
    </w:p>
    <w:p>
      <w:pPr>
        <w:tabs>
          <w:tab w:val="left" w:pos="3119"/>
        </w:tabs>
        <w:ind w:left="993"/>
      </w:pPr>
      <w:r>
        <w:t xml:space="preserve">se sídlem: </w:t>
      </w:r>
      <w:r>
        <w:tab/>
        <w:t>Nádražní 994/20, 792 01 Bruntál</w:t>
      </w:r>
    </w:p>
    <w:p>
      <w:pPr>
        <w:tabs>
          <w:tab w:val="left" w:pos="3119"/>
        </w:tabs>
        <w:ind w:left="993"/>
      </w:pPr>
      <w:r>
        <w:t>zastoupený:</w:t>
      </w:r>
      <w:r>
        <w:tab/>
        <w:t xml:space="preserve">Bc. Martinem </w:t>
      </w:r>
      <w:proofErr w:type="spellStart"/>
      <w:r>
        <w:t>Henčem</w:t>
      </w:r>
      <w:proofErr w:type="spellEnd"/>
      <w:r>
        <w:t>, starostou</w:t>
      </w:r>
    </w:p>
    <w:p>
      <w:pPr>
        <w:tabs>
          <w:tab w:val="left" w:pos="3119"/>
        </w:tabs>
        <w:ind w:left="993"/>
      </w:pPr>
      <w:r>
        <w:t>IČ:</w:t>
      </w:r>
      <w:r>
        <w:tab/>
        <w:t>00 29 58 92</w:t>
      </w:r>
    </w:p>
    <w:p>
      <w:pPr>
        <w:tabs>
          <w:tab w:val="left" w:pos="3119"/>
        </w:tabs>
        <w:ind w:left="993"/>
      </w:pPr>
      <w:r>
        <w:t>DIČ:</w:t>
      </w:r>
      <w:r>
        <w:tab/>
        <w:t>CZ 00 29 58 92</w:t>
      </w:r>
    </w:p>
    <w:p>
      <w:pPr>
        <w:tabs>
          <w:tab w:val="left" w:pos="3119"/>
        </w:tabs>
        <w:ind w:left="993"/>
      </w:pPr>
      <w:r>
        <w:t xml:space="preserve">Bankovní spojení: </w:t>
      </w:r>
      <w:r>
        <w:tab/>
        <w:t xml:space="preserve">KB Bruntál </w:t>
      </w:r>
    </w:p>
    <w:p>
      <w:pPr>
        <w:tabs>
          <w:tab w:val="left" w:pos="3119"/>
        </w:tabs>
        <w:ind w:left="993"/>
      </w:pPr>
      <w:r>
        <w:t>Číslo účtu:</w:t>
      </w:r>
      <w:r>
        <w:tab/>
        <w:t>525771 / 0100</w:t>
      </w:r>
    </w:p>
    <w:p>
      <w:pPr>
        <w:pStyle w:val="Nadpis2"/>
      </w:pPr>
      <w:r>
        <w:t xml:space="preserve">Zhotovitel: </w:t>
      </w:r>
      <w:r>
        <w:tab/>
        <w:t>T-MAPY spol. s r.o.</w:t>
      </w:r>
    </w:p>
    <w:p>
      <w:pPr>
        <w:tabs>
          <w:tab w:val="left" w:pos="3119"/>
        </w:tabs>
        <w:ind w:left="993"/>
      </w:pPr>
      <w:r>
        <w:t xml:space="preserve">se sídlem: </w:t>
      </w:r>
      <w:r>
        <w:tab/>
        <w:t>Špitálská 150, Hradec Králové, 500 03</w:t>
      </w:r>
    </w:p>
    <w:p>
      <w:pPr>
        <w:tabs>
          <w:tab w:val="left" w:pos="3119"/>
        </w:tabs>
        <w:ind w:left="3119" w:hanging="2126"/>
      </w:pPr>
      <w:r>
        <w:t xml:space="preserve">zastoupený: </w:t>
      </w:r>
      <w:r>
        <w:tab/>
        <w:t>Ing. Milanem Novotným, jednatelem firmy</w:t>
      </w:r>
    </w:p>
    <w:p>
      <w:pPr>
        <w:tabs>
          <w:tab w:val="left" w:pos="3119"/>
        </w:tabs>
        <w:ind w:left="993"/>
      </w:pPr>
      <w:r>
        <w:t xml:space="preserve">IČO: </w:t>
      </w:r>
      <w:r>
        <w:tab/>
        <w:t>47451084</w:t>
      </w:r>
    </w:p>
    <w:p>
      <w:pPr>
        <w:tabs>
          <w:tab w:val="left" w:pos="3119"/>
        </w:tabs>
        <w:ind w:left="993"/>
      </w:pPr>
      <w:r>
        <w:t xml:space="preserve">DIČ: </w:t>
      </w:r>
      <w:r>
        <w:tab/>
        <w:t>CZ47451084</w:t>
      </w:r>
    </w:p>
    <w:p>
      <w:pPr>
        <w:tabs>
          <w:tab w:val="left" w:pos="3119"/>
        </w:tabs>
        <w:ind w:left="993"/>
      </w:pPr>
      <w:r>
        <w:t xml:space="preserve">Bankovní spojení: </w:t>
      </w:r>
      <w:r>
        <w:tab/>
        <w:t>ČSOB a.s., Hradec Králové</w:t>
      </w:r>
    </w:p>
    <w:p>
      <w:pPr>
        <w:tabs>
          <w:tab w:val="left" w:pos="3119"/>
        </w:tabs>
        <w:ind w:left="993"/>
      </w:pPr>
      <w:r>
        <w:t xml:space="preserve">Číslo účtu: </w:t>
      </w:r>
      <w:r>
        <w:tab/>
        <w:t>8688743 / 0300</w:t>
      </w:r>
    </w:p>
    <w:p>
      <w:pPr>
        <w:pStyle w:val="lnekslo"/>
        <w:jc w:val="left"/>
      </w:pPr>
    </w:p>
    <w:p>
      <w:pPr>
        <w:pStyle w:val="lnekslo"/>
      </w:pPr>
      <w:r>
        <w:t>II.</w:t>
      </w:r>
    </w:p>
    <w:p>
      <w:pPr>
        <w:pStyle w:val="lneknzev"/>
        <w:rPr>
          <w:szCs w:val="22"/>
        </w:rPr>
      </w:pPr>
      <w:r>
        <w:t>Předmět dodatku</w:t>
      </w:r>
    </w:p>
    <w:p>
      <w:pPr>
        <w:rPr>
          <w:szCs w:val="22"/>
        </w:rPr>
      </w:pPr>
      <w:r>
        <w:rPr>
          <w:szCs w:val="22"/>
        </w:rPr>
        <w:t>2.1. Tímto dodatkem se nahrazuje dosavadní znění předmětu smlouvy o dílo č. 150/2004 ze dne 30. 11. 2004 a následných dodatků č. 1</w:t>
      </w:r>
      <w:r>
        <w:rPr>
          <w:szCs w:val="22"/>
        </w:rPr>
        <w:noBreakHyphen/>
        <w:t>25 a cena díla stanovená smlouvou o dílo č. 150/2004 a následnými dodatky č. 1-25. Rovněž se nahrazuje příloha č. 2 ke smlouvě o dílo č. 150/2004. Tento dodatek je nedílnou součástí smlouvy o dílo č. 150/2004 ze dne 30. 11. 2004.</w:t>
      </w:r>
    </w:p>
    <w:p>
      <w:pPr>
        <w:rPr>
          <w:szCs w:val="22"/>
        </w:rPr>
      </w:pPr>
      <w:r>
        <w:rPr>
          <w:szCs w:val="22"/>
        </w:rPr>
        <w:t>2.2. Předmětem tohoto dodatku smlouvy jsou tyto práce a produkty:</w:t>
      </w:r>
    </w:p>
    <w:p>
      <w:pPr>
        <w:autoSpaceDE w:val="0"/>
        <w:spacing w:after="0"/>
        <w:ind w:left="709"/>
        <w:rPr>
          <w:szCs w:val="22"/>
        </w:rPr>
      </w:pPr>
      <w:r>
        <w:rPr>
          <w:szCs w:val="22"/>
        </w:rPr>
        <w:t>1</w:t>
      </w:r>
      <w:r>
        <w:rPr>
          <w:szCs w:val="22"/>
        </w:rPr>
        <w:tab/>
        <w:t>GIS MěÚ Bruntál</w:t>
      </w:r>
    </w:p>
    <w:p>
      <w:pPr>
        <w:autoSpaceDE w:val="0"/>
        <w:spacing w:after="0"/>
        <w:ind w:left="1418"/>
        <w:rPr>
          <w:szCs w:val="22"/>
        </w:rPr>
      </w:pPr>
      <w:r>
        <w:rPr>
          <w:szCs w:val="22"/>
        </w:rPr>
        <w:t>1.1</w:t>
      </w:r>
      <w:r>
        <w:rPr>
          <w:szCs w:val="22"/>
        </w:rPr>
        <w:tab/>
        <w:t>Technická podpora T-WIST</w:t>
      </w:r>
    </w:p>
    <w:p>
      <w:pPr>
        <w:autoSpaceDE w:val="0"/>
        <w:spacing w:after="0"/>
        <w:ind w:left="1418"/>
        <w:rPr>
          <w:szCs w:val="22"/>
        </w:rPr>
      </w:pPr>
      <w:r>
        <w:rPr>
          <w:szCs w:val="22"/>
        </w:rPr>
        <w:t>1.2</w:t>
      </w:r>
      <w:r>
        <w:rPr>
          <w:szCs w:val="22"/>
        </w:rPr>
        <w:tab/>
        <w:t>Rozvoj GIS</w:t>
      </w:r>
    </w:p>
    <w:p>
      <w:pPr>
        <w:autoSpaceDE w:val="0"/>
        <w:spacing w:after="0"/>
        <w:ind w:left="2127"/>
        <w:rPr>
          <w:szCs w:val="22"/>
        </w:rPr>
      </w:pPr>
      <w:r>
        <w:rPr>
          <w:szCs w:val="22"/>
        </w:rPr>
        <w:t>1.2.1</w:t>
      </w:r>
      <w:r>
        <w:rPr>
          <w:szCs w:val="22"/>
        </w:rPr>
        <w:tab/>
        <w:t>Aktualizace dat Katastru nemovitostí z Katastrálního úřadu</w:t>
      </w:r>
    </w:p>
    <w:p>
      <w:pPr>
        <w:autoSpaceDE w:val="0"/>
        <w:spacing w:after="0"/>
        <w:ind w:left="2127"/>
        <w:rPr>
          <w:szCs w:val="22"/>
        </w:rPr>
      </w:pPr>
      <w:r>
        <w:rPr>
          <w:szCs w:val="22"/>
        </w:rPr>
        <w:t>1.2.2</w:t>
      </w:r>
      <w:r>
        <w:rPr>
          <w:szCs w:val="22"/>
        </w:rPr>
        <w:tab/>
        <w:t>T-WIST Evidence nemovitého majetku - licence</w:t>
      </w:r>
    </w:p>
    <w:p>
      <w:pPr>
        <w:autoSpaceDE w:val="0"/>
        <w:spacing w:after="0"/>
        <w:ind w:left="2127"/>
        <w:rPr>
          <w:szCs w:val="22"/>
        </w:rPr>
      </w:pPr>
      <w:r>
        <w:rPr>
          <w:szCs w:val="22"/>
        </w:rPr>
        <w:t>1.2.3</w:t>
      </w:r>
      <w:r>
        <w:rPr>
          <w:szCs w:val="22"/>
        </w:rPr>
        <w:tab/>
        <w:t>T-WIST Evidence nemovitého majetku – implementace a školení</w:t>
      </w:r>
    </w:p>
    <w:p>
      <w:pPr>
        <w:autoSpaceDE w:val="0"/>
        <w:spacing w:after="0"/>
        <w:ind w:left="2127"/>
        <w:rPr>
          <w:szCs w:val="22"/>
        </w:rPr>
      </w:pPr>
    </w:p>
    <w:p>
      <w:pPr>
        <w:autoSpaceDE w:val="0"/>
        <w:spacing w:after="0"/>
        <w:ind w:left="709"/>
        <w:rPr>
          <w:szCs w:val="22"/>
        </w:rPr>
      </w:pPr>
      <w:r>
        <w:rPr>
          <w:szCs w:val="22"/>
        </w:rPr>
        <w:t>2</w:t>
      </w:r>
      <w:r>
        <w:rPr>
          <w:szCs w:val="22"/>
        </w:rPr>
        <w:tab/>
        <w:t>Digitální technická mapa</w:t>
      </w:r>
    </w:p>
    <w:p>
      <w:pPr>
        <w:autoSpaceDE w:val="0"/>
        <w:spacing w:after="0"/>
        <w:ind w:left="1418"/>
        <w:rPr>
          <w:szCs w:val="22"/>
        </w:rPr>
      </w:pPr>
      <w:r>
        <w:rPr>
          <w:szCs w:val="22"/>
        </w:rPr>
        <w:t>2.1</w:t>
      </w:r>
      <w:r>
        <w:rPr>
          <w:szCs w:val="22"/>
        </w:rPr>
        <w:tab/>
        <w:t>údržba a doplnění DTMM</w:t>
      </w:r>
    </w:p>
    <w:p>
      <w:pPr>
        <w:autoSpaceDE w:val="0"/>
        <w:spacing w:after="0"/>
        <w:ind w:left="1418"/>
        <w:rPr>
          <w:rFonts w:ascii="Arial" w:hAnsi="Arial" w:cs="Arial"/>
          <w:sz w:val="16"/>
          <w:szCs w:val="16"/>
        </w:rPr>
      </w:pPr>
      <w:r>
        <w:rPr>
          <w:szCs w:val="22"/>
        </w:rPr>
        <w:t>2.2</w:t>
      </w:r>
      <w:r>
        <w:rPr>
          <w:szCs w:val="22"/>
        </w:rPr>
        <w:tab/>
        <w:t>vložení DTMM do GIS</w:t>
      </w:r>
      <w:r>
        <w:rPr>
          <w:szCs w:val="22"/>
        </w:rPr>
        <w:tab/>
      </w:r>
    </w:p>
    <w:p>
      <w:pPr>
        <w:autoSpaceDE w:val="0"/>
        <w:spacing w:after="0"/>
        <w:rPr>
          <w:rFonts w:ascii="Arial" w:hAnsi="Arial" w:cs="Arial"/>
          <w:sz w:val="16"/>
          <w:szCs w:val="16"/>
        </w:rPr>
      </w:pPr>
    </w:p>
    <w:p>
      <w:pPr>
        <w:pStyle w:val="lnekslo"/>
      </w:pPr>
      <w:r>
        <w:lastRenderedPageBreak/>
        <w:t>III.</w:t>
      </w:r>
    </w:p>
    <w:p>
      <w:pPr>
        <w:pStyle w:val="lneknzev"/>
        <w:rPr>
          <w:szCs w:val="22"/>
        </w:rPr>
      </w:pPr>
      <w:r>
        <w:t xml:space="preserve">Cena </w:t>
      </w:r>
    </w:p>
    <w:p>
      <w:pPr>
        <w:keepNext/>
        <w:rPr>
          <w:szCs w:val="22"/>
        </w:rPr>
      </w:pPr>
      <w:r>
        <w:rPr>
          <w:szCs w:val="22"/>
        </w:rPr>
        <w:t xml:space="preserve">3.1. Cena za dílo definované tímto dodatkem činí </w:t>
      </w:r>
      <w:r>
        <w:rPr>
          <w:rFonts w:ascii="Calibri" w:hAnsi="Calibri" w:cs="Calibri"/>
          <w:b/>
          <w:bCs/>
          <w:iCs/>
          <w:color w:val="000000"/>
          <w:szCs w:val="22"/>
        </w:rPr>
        <w:t>616 200</w:t>
      </w:r>
      <w:r>
        <w:rPr>
          <w:b/>
          <w:bCs/>
          <w:szCs w:val="22"/>
        </w:rPr>
        <w:t>,- Kč bez DPH.</w:t>
      </w:r>
    </w:p>
    <w:p>
      <w:pPr>
        <w:keepNext/>
        <w:rPr>
          <w:szCs w:val="22"/>
        </w:rPr>
      </w:pPr>
      <w:r>
        <w:rPr>
          <w:szCs w:val="22"/>
        </w:rPr>
        <w:t>Tato cena zahrnuje:</w:t>
      </w:r>
    </w:p>
    <w:tbl>
      <w:tblPr>
        <w:tblW w:w="9659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6995"/>
        <w:gridCol w:w="1984"/>
      </w:tblGrid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Č.P.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Položka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Cena v Kč bez DPH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napToGrid w:val="0"/>
              <w:spacing w:after="0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Město Bruntál 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>616 200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22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GIS MěÚ Bruntál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>541 200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1.1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440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 xml:space="preserve">Technická podpora T-WIST a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GISel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>182 000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1.1.1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Technická podpora I.Q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45 500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1.1.2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Technická podpora II.Q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45 500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1.1.3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Technická podpora III.Q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45 500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1.1.4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Technická podpora IV.Q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45 500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b/>
                <w:i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i/>
                <w:iCs/>
                <w:color w:val="000000"/>
                <w:szCs w:val="22"/>
              </w:rPr>
              <w:t>1.2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510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Rozvoj GIS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>359 200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Cs w:val="22"/>
              </w:rPr>
              <w:t>1.2.1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661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Cs w:val="22"/>
              </w:rPr>
              <w:t>Aktualizace dat Katastru nemovitostí z Katastrálního úřadu 12x ročně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Cs w:val="22"/>
              </w:rPr>
              <w:t>40 000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Cs w:val="22"/>
              </w:rPr>
              <w:t>1.2.2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661"/>
              <w:rPr>
                <w:rFonts w:ascii="Calibri" w:hAnsi="Calibri" w:cs="Calibri"/>
                <w:bCs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Cs w:val="22"/>
              </w:rPr>
              <w:t>T-WIST Evidence nemovitého majetku - Licence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bCs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Cs w:val="22"/>
              </w:rPr>
              <w:t>247 200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Cs w:val="22"/>
              </w:rPr>
              <w:t>1.2.3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661"/>
              <w:rPr>
                <w:rFonts w:ascii="Calibri" w:hAnsi="Calibri" w:cs="Calibri"/>
                <w:bCs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Cs w:val="22"/>
              </w:rPr>
              <w:t>T-WIST Evidence nemovitého majetku – implementace a školení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bCs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Cs w:val="22"/>
              </w:rPr>
              <w:t>72 000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44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Digitální technická mapa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75 000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2.1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údržba a doplnění DTMM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55 000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2.2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vložení DTMM do GIS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20 000 Kč</w:t>
            </w:r>
          </w:p>
        </w:tc>
      </w:tr>
    </w:tbl>
    <w:p>
      <w:pPr>
        <w:pStyle w:val="lnekslo"/>
      </w:pPr>
      <w:r>
        <w:t>IV.</w:t>
      </w:r>
    </w:p>
    <w:p>
      <w:pPr>
        <w:pStyle w:val="lneknzev"/>
      </w:pPr>
      <w:r>
        <w:t>Platební podmínky</w:t>
      </w:r>
    </w:p>
    <w:p>
      <w:pPr>
        <w:keepNext/>
        <w:keepLines/>
      </w:pPr>
      <w:r>
        <w:t>4.1. Platby za provedené práce budou probíhat na základě zhotovitelem vystavených faktur. Faktury budou zhotovitelem vyhotoveny na základě předávacích protokolů jednotlivých prací podle výše uvedeného rozpočtu.</w:t>
      </w:r>
    </w:p>
    <w:p>
      <w:r>
        <w:t xml:space="preserve">4.2. </w:t>
      </w:r>
      <w:r>
        <w:rPr>
          <w:bCs/>
        </w:rPr>
        <w:t>Daň z </w:t>
      </w:r>
      <w:r>
        <w:t>přidané</w:t>
      </w:r>
      <w:r>
        <w:rPr>
          <w:bCs/>
        </w:rPr>
        <w:t xml:space="preserve"> hodnoty bude účtována v souladu se zák. č. 588/1992 Sb. v platném znění ke dni uskutečnění zdanitelného plnění.</w:t>
      </w:r>
    </w:p>
    <w:p>
      <w:pPr>
        <w:pStyle w:val="lnekslo"/>
      </w:pPr>
      <w:r>
        <w:t>V.</w:t>
      </w:r>
    </w:p>
    <w:p>
      <w:pPr>
        <w:pStyle w:val="lneknzev"/>
      </w:pPr>
      <w:r>
        <w:t>Závěrečná ustanovení</w:t>
      </w:r>
    </w:p>
    <w:p>
      <w:pPr>
        <w:keepNext/>
        <w:keepLines/>
      </w:pPr>
      <w:r>
        <w:t>5.1. Tento dodatek se pořizuje ve čtyřech vyhotoveních, z nichž objednatel obdržel po podpisu dvě vyhotovení a zhotovitel dvě vyhotovení.</w:t>
      </w:r>
    </w:p>
    <w:p>
      <w:pPr>
        <w:keepNext/>
        <w:keepLines/>
      </w:pPr>
      <w:r>
        <w:t>5.2. Dodatek nabývá platnosti i účinnosti dnem jeho podpisu oběma smluvními stranami.</w:t>
      </w:r>
    </w:p>
    <w:p>
      <w:pPr>
        <w:keepNext/>
      </w:pPr>
      <w:r>
        <w:t>5.3. Smluvní strany prohlašují, že si dodatek přečetly, s obsahem souhlasí a na důkaz jejich svobodné, pravé a vážné vůle připojují své podpisy.</w:t>
      </w:r>
    </w:p>
    <w:p>
      <w:pPr>
        <w:keepNext/>
      </w:pPr>
      <w:r>
        <w:t>5.4. Tento dodatek schválila Rada města Bruntál dne 8.3.2023 svým usnesením č. 280/8R/2023.</w:t>
      </w:r>
    </w:p>
    <w:p>
      <w:pPr>
        <w:keepNext/>
      </w:pPr>
    </w:p>
    <w:p>
      <w:pPr>
        <w:keepNext/>
      </w:pPr>
    </w:p>
    <w:p>
      <w:pPr>
        <w:keepNex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90"/>
      </w:tblGrid>
      <w:t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Za zhotovitele:</w:t>
            </w:r>
          </w:p>
          <w:p>
            <w:pPr>
              <w:jc w:val="both"/>
            </w:pPr>
            <w:r>
              <w:t>V Hradci Králové dne ...............……..........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  <w:rPr>
                <w:rStyle w:val="platne"/>
              </w:rPr>
            </w:pPr>
            <w:r>
              <w:t>............................................…........</w:t>
            </w:r>
          </w:p>
          <w:p>
            <w:pPr>
              <w:jc w:val="both"/>
            </w:pPr>
            <w:r>
              <w:rPr>
                <w:rStyle w:val="platne"/>
              </w:rPr>
              <w:t>Ing. Milan Novotný, jednatel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both"/>
            </w:pPr>
            <w:r>
              <w:rPr>
                <w:bCs/>
              </w:rPr>
              <w:t>Za objednatele:</w:t>
            </w:r>
          </w:p>
          <w:p>
            <w:pPr>
              <w:jc w:val="both"/>
            </w:pPr>
            <w:r>
              <w:t>V Bruntálu dne ...............……..........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  <w:r>
              <w:t>............................................…........</w:t>
            </w:r>
          </w:p>
          <w:p>
            <w:pPr>
              <w:jc w:val="both"/>
            </w:pPr>
            <w:r>
              <w:t>Bc. Martin Henč, starosta</w:t>
            </w:r>
          </w:p>
        </w:tc>
      </w:tr>
    </w:tbl>
    <w:p>
      <w:pPr>
        <w:pStyle w:val="Nzev"/>
        <w:pageBreakBefore/>
      </w:pPr>
      <w:r>
        <w:lastRenderedPageBreak/>
        <w:t xml:space="preserve">Příloha č. 2 </w:t>
      </w:r>
      <w:r>
        <w:br/>
        <w:t>smlouvy o dílo č. 150/2004</w:t>
      </w:r>
    </w:p>
    <w:p>
      <w:pPr>
        <w:pStyle w:val="Nzev"/>
        <w:spacing w:before="120"/>
      </w:pPr>
      <w:r>
        <w:t>Dohoda o úrovni služeb a podmínky provádění technické podpory k programovému vybavení (dále také jen Dohoda, SLA, Podmínky technické podpory nebo jen Podmínky)</w:t>
      </w:r>
    </w:p>
    <w:p>
      <w:pPr>
        <w:pStyle w:val="lnekslo"/>
        <w:numPr>
          <w:ilvl w:val="0"/>
          <w:numId w:val="30"/>
        </w:numPr>
      </w:pPr>
      <w:r>
        <w:t>Slovníček pojmů, typy aplikací</w:t>
      </w:r>
    </w:p>
    <w:p>
      <w:pPr>
        <w:pStyle w:val="Psmeno"/>
        <w:rPr>
          <w:szCs w:val="22"/>
        </w:rPr>
      </w:pPr>
      <w:r>
        <w:t>Lhůty, časy</w:t>
      </w:r>
    </w:p>
    <w:p>
      <w:pPr>
        <w:numPr>
          <w:ilvl w:val="0"/>
          <w:numId w:val="10"/>
        </w:numPr>
        <w:autoSpaceDE w:val="0"/>
        <w:spacing w:before="60" w:after="0"/>
        <w:rPr>
          <w:szCs w:val="22"/>
        </w:rPr>
      </w:pPr>
      <w:r>
        <w:rPr>
          <w:szCs w:val="22"/>
        </w:rPr>
        <w:t>pracovní dny (</w:t>
      </w:r>
      <w:proofErr w:type="spellStart"/>
      <w:r>
        <w:rPr>
          <w:szCs w:val="22"/>
        </w:rPr>
        <w:t>pd</w:t>
      </w:r>
      <w:proofErr w:type="spellEnd"/>
      <w:r>
        <w:rPr>
          <w:szCs w:val="22"/>
        </w:rPr>
        <w:t>) … veškeré dny mimo dny pracovního volna, pracovního klidu a státem uznané svátky</w:t>
      </w:r>
    </w:p>
    <w:p>
      <w:pPr>
        <w:numPr>
          <w:ilvl w:val="0"/>
          <w:numId w:val="10"/>
        </w:numPr>
        <w:autoSpaceDE w:val="0"/>
        <w:spacing w:before="60" w:after="0"/>
      </w:pPr>
      <w:r>
        <w:rPr>
          <w:szCs w:val="22"/>
        </w:rPr>
        <w:t>pracovní hodiny (</w:t>
      </w:r>
      <w:proofErr w:type="spellStart"/>
      <w:r>
        <w:rPr>
          <w:szCs w:val="22"/>
        </w:rPr>
        <w:t>ph</w:t>
      </w:r>
      <w:proofErr w:type="spellEnd"/>
      <w:r>
        <w:rPr>
          <w:szCs w:val="22"/>
        </w:rPr>
        <w:t>) … hodiny v pracovních dnech od 8,- do 17,- hodin</w:t>
      </w:r>
    </w:p>
    <w:p>
      <w:pPr>
        <w:pStyle w:val="Psmeno"/>
        <w:rPr>
          <w:szCs w:val="22"/>
        </w:rPr>
      </w:pPr>
      <w:r>
        <w:t>Typy aplikací</w:t>
      </w:r>
    </w:p>
    <w:p>
      <w:pPr>
        <w:numPr>
          <w:ilvl w:val="0"/>
          <w:numId w:val="12"/>
        </w:numPr>
        <w:autoSpaceDE w:val="0"/>
        <w:spacing w:before="60" w:after="0"/>
        <w:rPr>
          <w:szCs w:val="22"/>
        </w:rPr>
      </w:pPr>
      <w:r>
        <w:rPr>
          <w:szCs w:val="22"/>
        </w:rPr>
        <w:t>Standardní aplikace (S) … standardní aplikace je součástí portfolia aplikací Zhotovitele, jejichž vývoj je průběžný a řízený interním vývojovým plánem Zhotovitele. Updaty a upgrady standardních aplikací jsou dodávány průběžně.</w:t>
      </w:r>
    </w:p>
    <w:p>
      <w:pPr>
        <w:numPr>
          <w:ilvl w:val="0"/>
          <w:numId w:val="12"/>
        </w:numPr>
        <w:autoSpaceDE w:val="0"/>
        <w:spacing w:before="60" w:after="0"/>
        <w:rPr>
          <w:szCs w:val="22"/>
        </w:rPr>
      </w:pPr>
      <w:r>
        <w:rPr>
          <w:szCs w:val="22"/>
        </w:rPr>
        <w:t>Uživatelská aplikace (U) … uživatelské aplikace jsou vyvíjeny na základě individuálních požadavků objednatele, nejsou součástí centrálního vývojového plánu Zhotovitele. Updaty a upgrady uživatelských aplikací nejsou průběžně dodávány, tyto aplikace jsou dále rozvíjeny pouze na základě individuálních požadavků objednatele a samostatných smluvních ujednání.</w:t>
      </w:r>
    </w:p>
    <w:p>
      <w:pPr>
        <w:spacing w:before="60"/>
        <w:ind w:left="720"/>
      </w:pPr>
      <w:r>
        <w:rPr>
          <w:szCs w:val="22"/>
        </w:rPr>
        <w:t>Ve výčtu aplikací musí být u každé aplikace uveden její typ (S, U).</w:t>
      </w:r>
    </w:p>
    <w:p>
      <w:pPr>
        <w:pStyle w:val="Psmeno"/>
        <w:rPr>
          <w:szCs w:val="22"/>
        </w:rPr>
      </w:pPr>
      <w:r>
        <w:t>Ostatní</w:t>
      </w:r>
    </w:p>
    <w:p>
      <w:pPr>
        <w:numPr>
          <w:ilvl w:val="0"/>
          <w:numId w:val="12"/>
        </w:numPr>
        <w:autoSpaceDE w:val="0"/>
        <w:spacing w:before="60" w:after="0"/>
        <w:rPr>
          <w:szCs w:val="22"/>
        </w:rPr>
      </w:pPr>
      <w:r>
        <w:rPr>
          <w:szCs w:val="22"/>
        </w:rPr>
        <w:t>Helpdesk … portál Helpdesk provozovaný Zhotovitelem obsahující evidenci požadavků, obecné sdílené dokumenty, dokumentaci k software a diskusní fórum, ke kterému mají zřízen zabezpečený přístup oprávněné a případné další oběma stranami dohodnuté osoby objednatele a Zhotovitele</w:t>
      </w:r>
    </w:p>
    <w:p>
      <w:pPr>
        <w:numPr>
          <w:ilvl w:val="0"/>
          <w:numId w:val="12"/>
        </w:numPr>
        <w:autoSpaceDE w:val="0"/>
        <w:spacing w:before="60" w:after="0"/>
      </w:pPr>
      <w:r>
        <w:rPr>
          <w:szCs w:val="22"/>
        </w:rPr>
        <w:t>požadavek … požadavkem se rozumí jakékoli zadání ze strany objednatele provedené záznamem v evidenci požadavků systému helpdesk Zhotovitele, případně náhradním způsobem v případě nedostupnosti služby Helpdesk.</w:t>
      </w:r>
    </w:p>
    <w:p>
      <w:pPr>
        <w:pStyle w:val="lnekslo"/>
        <w:numPr>
          <w:ilvl w:val="0"/>
          <w:numId w:val="30"/>
        </w:numPr>
      </w:pPr>
      <w:r>
        <w:t>Cíle služeb</w:t>
      </w:r>
    </w:p>
    <w:p>
      <w:pPr>
        <w:pStyle w:val="Odstavec2"/>
      </w:pPr>
      <w:r>
        <w:t>Cílem služeb dle této dohody je podpora užívání a údržba předmětného programového vybavení v souladu s potřebami objednatele a s tím související činnosti.</w:t>
      </w:r>
    </w:p>
    <w:p>
      <w:pPr>
        <w:pStyle w:val="lnekslo"/>
        <w:numPr>
          <w:ilvl w:val="0"/>
          <w:numId w:val="30"/>
        </w:numPr>
      </w:pPr>
      <w:r>
        <w:t>Popis služby, rozsah podpory</w:t>
      </w:r>
    </w:p>
    <w:p>
      <w:pPr>
        <w:pStyle w:val="Odstavec3"/>
      </w:pPr>
      <w:r>
        <w:t>Služby podpory budou prováděny průběžně v tomto rozsahu:</w:t>
      </w:r>
    </w:p>
    <w:p>
      <w:pPr>
        <w:pStyle w:val="Psmeno"/>
        <w:numPr>
          <w:ilvl w:val="0"/>
          <w:numId w:val="44"/>
        </w:numPr>
      </w:pPr>
      <w:r>
        <w:t>Zhotovitel zajistí hot-line. Služba je poskytována prostřednictvím telefonu, faxu či e-mailu.</w:t>
      </w:r>
    </w:p>
    <w:p>
      <w:pPr>
        <w:pStyle w:val="Psmeno"/>
        <w:numPr>
          <w:ilvl w:val="0"/>
          <w:numId w:val="44"/>
        </w:numPr>
      </w:pPr>
      <w:r>
        <w:t>Zhotovitel bude poskytovat vzdálenou podporu a konzultace uživatelům při řešení otázek spojených s užíváním předmětného programového vybavení.</w:t>
      </w:r>
    </w:p>
    <w:p>
      <w:pPr>
        <w:pStyle w:val="Psmeno"/>
        <w:numPr>
          <w:ilvl w:val="0"/>
          <w:numId w:val="44"/>
        </w:numPr>
      </w:pPr>
      <w:r>
        <w:t>Zhotovitel bude provádět technologické zásahy nezbytné pro udržení souladu předmětného programového vybavení s platnou legislativou.</w:t>
      </w:r>
    </w:p>
    <w:p>
      <w:pPr>
        <w:pStyle w:val="Psmeno"/>
        <w:numPr>
          <w:ilvl w:val="0"/>
          <w:numId w:val="44"/>
        </w:numPr>
      </w:pPr>
      <w:r>
        <w:t>Je-li k provozním serverům objednatele zajištěn vzdálený přístup a umožněna vzdálená správa programového vybavení odpovědným pracovníků Zhotovitele, bude Zhotovitel pomocí tohoto vzdáleného přístupu v rámci technické podpory provádět i implementaci (instalaci a konfiguraci) upgradů a updatů programového vybavení. Není-li vzdálený přístup k provozním serverům ze strany objednatele zajištěn nebo jeho zřízení brání jiné příčiny, je implementace upgradů a updatů programového vybavení Zhotovitelem prováděna mimo technickou podporu, na základě samostatných ujednání s objednatelem.</w:t>
      </w:r>
    </w:p>
    <w:p>
      <w:pPr>
        <w:pStyle w:val="Psmeno"/>
        <w:numPr>
          <w:ilvl w:val="0"/>
          <w:numId w:val="44"/>
        </w:numPr>
      </w:pPr>
      <w:r>
        <w:t>Zhotovitel bude zajišťovat servis programového vybavení, a to zejména odstraňování vad</w:t>
      </w:r>
    </w:p>
    <w:p>
      <w:pPr>
        <w:pStyle w:val="Psmeno"/>
        <w:numPr>
          <w:ilvl w:val="0"/>
          <w:numId w:val="44"/>
        </w:numPr>
      </w:pPr>
      <w:r>
        <w:t>Na celou dobu trvání podpory se prodlužuje záruka na předmětné programové vybavení</w:t>
      </w:r>
    </w:p>
    <w:p>
      <w:pPr>
        <w:pStyle w:val="Psmeno"/>
        <w:numPr>
          <w:ilvl w:val="0"/>
          <w:numId w:val="44"/>
        </w:numPr>
      </w:pPr>
      <w:r>
        <w:t>Objednatel má právo na updaty či upgrady softwarového vybavení nabídnutého Zhotovitelem. Objednatel není povinen nabídnutý upgrade či update přijmout.</w:t>
      </w:r>
    </w:p>
    <w:p>
      <w:pPr>
        <w:pStyle w:val="Odstavec3"/>
      </w:pPr>
      <w:r>
        <w:lastRenderedPageBreak/>
        <w:t>Další vývoj programového vybavení na základě individuálních požadavků Objednatele a další činnosti nad rámec výše specifikovaných služeb budou prováděny na základě samostatných smluvních ujednání.</w:t>
      </w:r>
    </w:p>
    <w:p>
      <w:pPr>
        <w:pStyle w:val="lnekslo"/>
        <w:numPr>
          <w:ilvl w:val="0"/>
          <w:numId w:val="30"/>
        </w:numPr>
      </w:pPr>
      <w:r>
        <w:t>Provozní doba, lhůty a pokrytí služeb</w:t>
      </w:r>
    </w:p>
    <w:p>
      <w:pPr>
        <w:pStyle w:val="Odstavec4"/>
        <w:rPr>
          <w:sz w:val="18"/>
        </w:rPr>
      </w:pPr>
      <w:r>
        <w:t>Zhotovitel se zavazuje poskytovat služby dle této dohody v časech a lhůtách podle následujících tabulek:</w:t>
      </w:r>
    </w:p>
    <w:p>
      <w:pPr>
        <w:pStyle w:val="Zkladntextodsazen22"/>
        <w:spacing w:before="120" w:after="0"/>
        <w:ind w:left="0" w:firstLine="708"/>
        <w:jc w:val="both"/>
        <w:rPr>
          <w:sz w:val="18"/>
        </w:rPr>
      </w:pPr>
      <w:r>
        <w:rPr>
          <w:sz w:val="18"/>
        </w:rPr>
        <w:t>S… Standardní podpora</w:t>
      </w:r>
    </w:p>
    <w:tbl>
      <w:tblPr>
        <w:tblW w:w="0" w:type="auto"/>
        <w:tblInd w:w="2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3827"/>
        <w:gridCol w:w="3133"/>
      </w:tblGrid>
      <w:t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</w:rPr>
              <w:t>Kategorie</w:t>
            </w:r>
          </w:p>
          <w:p>
            <w:pPr>
              <w:pStyle w:val="Obrzek"/>
              <w:keepNext w:val="0"/>
              <w:keepLines w:val="0"/>
              <w:autoSpaceDE w:val="0"/>
              <w:spacing w:before="0" w:after="0"/>
              <w:rPr>
                <w:sz w:val="18"/>
              </w:rPr>
            </w:pPr>
            <w:r>
              <w:rPr>
                <w:sz w:val="18"/>
                <w:szCs w:val="24"/>
              </w:rPr>
              <w:t>požadavku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Pokrytí služby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Lhůta pro zahájení prací na řešení požadavku (reakční lhůta)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Lhůta pro vyřešení požadavku</w:t>
            </w:r>
          </w:p>
        </w:tc>
      </w:tr>
      <w:t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Havárie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9x5, tj. v pracovních hodinách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bez zbytečného odkladu, nejpozději však do 18 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pracovních hodin po obdržení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oznámení o závadě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bez zbytečného odkladu</w:t>
            </w:r>
          </w:p>
        </w:tc>
      </w:tr>
      <w:t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Porucha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bez zbytečného odkladu, nejpozději však do 27 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pracovních hodin po obdržení 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oznámení o závadě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bez zbytečného odkladu</w:t>
            </w:r>
          </w:p>
        </w:tc>
      </w:tr>
      <w:t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Ostatní požadavky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ve lhůtě uvedené v oznámení požadavku a dohodnuté mezi smluvními stranami</w:t>
            </w:r>
          </w:p>
        </w:tc>
      </w:tr>
    </w:tbl>
    <w:p>
      <w:pPr>
        <w:pStyle w:val="Zkladntextodsazen"/>
        <w:rPr>
          <w:bCs/>
          <w:sz w:val="18"/>
        </w:rPr>
      </w:pPr>
    </w:p>
    <w:p>
      <w:pPr>
        <w:pStyle w:val="Odstavec4"/>
      </w:pPr>
      <w:r>
        <w:t>Reakcí pro účely stanovení a sledování lhůty pro zahájení prací na řešení požadavku se rozumí vyvinutí veškerého úsilí Zhotovitele k odstranění závady. Reakcí se rozumí i zahájení vzdáleného řešení problému prostřednictvím poskytnutí kvalifikovaného poradce. Reakce je považována za doloženou okamžikem změny stavu z „nezahájeno“ na „v řešení“, případně jiné adekvátní změny stavu na záznamu závady v Helpdesku. V případě nedostupnosti systému Helpdesk je třeba reakci ze strany Zhotovitele doložit jiným prokazatelným a ze strany objednatele zachytitelným způsobem (e-mailem, telefonátem oprávněné osobě objednatele apod.).</w:t>
      </w:r>
    </w:p>
    <w:p>
      <w:pPr>
        <w:pStyle w:val="Odstavec4"/>
      </w:pPr>
      <w:r>
        <w:t>Pokud si řešení požadavku vyžádá fyzický zásah zástupce Zhotovitele u objednatele, Zhotovitel nahlásí potřebu součinnosti a objednatel oprávněně požadovanou součinnost zajistí. Je-li požadavek na fyzický zásah Zhotovitele vznesen objednatelem, je zástupce Zhotovitele povinen k řešení nastoupit do 18 pracovních hodin od předání požadavku objednatele, není-li v konkrétním případě sjednána či jinak stanovena jiná lhůta.</w:t>
      </w:r>
    </w:p>
    <w:p>
      <w:pPr>
        <w:pStyle w:val="Odstavec4"/>
      </w:pPr>
      <w:r>
        <w:t>V jakémkoli ujednání o výčtu aplikací a kalkulaci ceny služeb musí být uvedena varianta/úroveň podpory (standardní, rozšířená 1, …).</w:t>
      </w:r>
    </w:p>
    <w:p>
      <w:pPr>
        <w:pStyle w:val="Odstavec4"/>
      </w:pPr>
      <w:r>
        <w:t>Není-li uvedeno jinak, je Zhotovitel povinen informovat objednatele prokazatelným způsobem o zahájení prací na odstranění závady, a to nejdéle do lhůty pro zahájení prací na odstranění závady dle příslušné úrovně podpory.</w:t>
      </w:r>
    </w:p>
    <w:p>
      <w:pPr>
        <w:pStyle w:val="lnekslo"/>
        <w:numPr>
          <w:ilvl w:val="0"/>
          <w:numId w:val="30"/>
        </w:numPr>
        <w:rPr>
          <w:szCs w:val="24"/>
        </w:rPr>
      </w:pPr>
      <w:r>
        <w:t>Postup pro oznamování a řešení závad a ostatních požadavků</w:t>
      </w:r>
    </w:p>
    <w:p>
      <w:pPr>
        <w:pStyle w:val="Nadpissmlouvy"/>
        <w:spacing w:after="60"/>
      </w:pPr>
      <w:r>
        <w:rPr>
          <w:sz w:val="24"/>
          <w:szCs w:val="24"/>
        </w:rPr>
        <w:t>Nahlášení závady nebo jiného požadavku</w:t>
      </w:r>
    </w:p>
    <w:p>
      <w:pPr>
        <w:pStyle w:val="Odstavec5"/>
      </w:pPr>
      <w:r>
        <w:t xml:space="preserve">Objednatel zajistí nahlášení závady či jiného požadavku, a to prostřednictvím služby Helpdesk Zhotovitele na adrese </w:t>
      </w:r>
      <w:hyperlink r:id="rId6" w:history="1">
        <w:r>
          <w:rPr>
            <w:rStyle w:val="Hypertextovodkaz"/>
          </w:rPr>
          <w:t>http://helpdesk.tmapy.cz</w:t>
        </w:r>
      </w:hyperlink>
      <w:r>
        <w:t xml:space="preserve"> . Přístup ke službě Helpdesk bude zřízen bezprostředně po podpisu smlouvy spolu s nadefinováním a zaškolením oprávněných osob ze strany objednatele.</w:t>
      </w:r>
    </w:p>
    <w:p>
      <w:pPr>
        <w:pStyle w:val="Odstavec5"/>
      </w:pPr>
      <w:r>
        <w:t>V případě nedostupnosti služby Helpdesk se požadavky nahlašují jedním náhradním způsobem, a to</w:t>
      </w:r>
    </w:p>
    <w:p>
      <w:pPr>
        <w:pStyle w:val="Psmeno"/>
        <w:numPr>
          <w:ilvl w:val="0"/>
          <w:numId w:val="45"/>
        </w:numPr>
      </w:pPr>
      <w:r>
        <w:t>telefonicky na č.: 597 305 943, kontaktní osobou je primární oprávněná osoba Zhotovitele, případně zástupce primární oprávněné osoby dle čl. VIII této dohody</w:t>
      </w:r>
    </w:p>
    <w:p>
      <w:pPr>
        <w:pStyle w:val="Psmeno"/>
        <w:numPr>
          <w:ilvl w:val="0"/>
          <w:numId w:val="45"/>
        </w:numPr>
      </w:pPr>
      <w:r>
        <w:t xml:space="preserve">e-mailem na adresu </w:t>
      </w:r>
      <w:r>
        <w:t>XXXXXXXXXX</w:t>
      </w:r>
      <w:r>
        <w:t>, v kopii XXXXXXXXXX</w:t>
      </w:r>
    </w:p>
    <w:p>
      <w:pPr>
        <w:pStyle w:val="Psmeno"/>
        <w:numPr>
          <w:ilvl w:val="0"/>
          <w:numId w:val="45"/>
        </w:numPr>
      </w:pPr>
      <w:r>
        <w:t>písemně na adresu: T-MAPY spol. s r.o.,</w:t>
      </w:r>
      <w:r>
        <w:rPr>
          <w:szCs w:val="18"/>
        </w:rPr>
        <w:t xml:space="preserve"> Vědecko-technologický park Ostrava, a. s., Technologická 372/2, 708 00 Ostrava - </w:t>
      </w:r>
      <w:proofErr w:type="spellStart"/>
      <w:r>
        <w:rPr>
          <w:szCs w:val="18"/>
        </w:rPr>
        <w:t>Pustkovec</w:t>
      </w:r>
      <w:proofErr w:type="spellEnd"/>
    </w:p>
    <w:p>
      <w:pPr>
        <w:pStyle w:val="Odstavec5"/>
        <w:keepNext/>
      </w:pPr>
      <w:r>
        <w:t>Jsou-li požadavky hlášeny některým z náhradních způsobů uvedených v odst. 5.2. musí takové hlášení obsahovat minimálně tyto informace:</w:t>
      </w:r>
    </w:p>
    <w:p>
      <w:pPr>
        <w:pStyle w:val="Psmeno"/>
        <w:numPr>
          <w:ilvl w:val="0"/>
          <w:numId w:val="46"/>
        </w:numPr>
      </w:pPr>
      <w:r>
        <w:t>datum a čas nahlášení závady/požadavku</w:t>
      </w:r>
    </w:p>
    <w:p>
      <w:pPr>
        <w:pStyle w:val="Psmeno"/>
        <w:numPr>
          <w:ilvl w:val="0"/>
          <w:numId w:val="46"/>
        </w:numPr>
      </w:pPr>
      <w:r>
        <w:t>popis závady/požadavku</w:t>
      </w:r>
    </w:p>
    <w:p>
      <w:pPr>
        <w:pStyle w:val="Psmeno"/>
        <w:numPr>
          <w:ilvl w:val="0"/>
          <w:numId w:val="46"/>
        </w:numPr>
      </w:pPr>
      <w:r>
        <w:t>stanovení kategorie závady (viz odst. 4.1.)</w:t>
      </w:r>
    </w:p>
    <w:p>
      <w:pPr>
        <w:pStyle w:val="Psmeno"/>
        <w:numPr>
          <w:ilvl w:val="0"/>
          <w:numId w:val="46"/>
        </w:numPr>
      </w:pPr>
      <w:r>
        <w:lastRenderedPageBreak/>
        <w:t>Kategorii závady stanovenou objednatelem nesmí Zhotovitel změnit bez souhlasu objednatele. Zhotovitel respektuje, a pokud tomu nebrání závažné skutečnosti, i přijme navržení kategorie závady pro závady nahlášené objednatelem.</w:t>
      </w:r>
    </w:p>
    <w:p>
      <w:pPr>
        <w:pStyle w:val="Psmeno"/>
        <w:numPr>
          <w:ilvl w:val="0"/>
          <w:numId w:val="46"/>
        </w:numPr>
      </w:pPr>
      <w:r>
        <w:t>požadavek na stanovení termínu odstranění závady nebo vyřešení požadavku</w:t>
      </w:r>
    </w:p>
    <w:p>
      <w:pPr>
        <w:pStyle w:val="Psmeno"/>
        <w:numPr>
          <w:ilvl w:val="0"/>
          <w:numId w:val="46"/>
        </w:numPr>
      </w:pPr>
      <w:r>
        <w:t>jméno, telefonní číslo a e-mail zástupce objednatele/Zhotovitele, který o závadě/požadavku podá podrobnější informaci</w:t>
      </w:r>
    </w:p>
    <w:p>
      <w:pPr>
        <w:pStyle w:val="Psmeno"/>
        <w:numPr>
          <w:ilvl w:val="0"/>
          <w:numId w:val="46"/>
        </w:numPr>
      </w:pPr>
      <w:r>
        <w:t>jméno, telefonní číslo a e-mail ohlašovatele závady/požadavku</w:t>
      </w:r>
    </w:p>
    <w:p>
      <w:pPr>
        <w:pStyle w:val="Odstavec5"/>
      </w:pPr>
      <w:r>
        <w:t>Jsou-li požadavky hlášeny některým z náhradních způsobů uvedených v odst. 5.2.,oprávněná osoba Zhotovitele (není-li dohodnuto jinak) je následně povinna zaevidovat všechny takovéto požadavky do Helpdesku neprodleně po obnovení jeho dostupnosti.</w:t>
      </w:r>
    </w:p>
    <w:p>
      <w:pPr>
        <w:pStyle w:val="Odstavec5"/>
      </w:pPr>
      <w:r>
        <w:t>Je-li hlášen požadavek na odstranění závady, musí být každá závada vyhodnocena a zařazena do jedné z následujících kategorií:</w:t>
      </w:r>
    </w:p>
    <w:p>
      <w:pPr>
        <w:pStyle w:val="Psmeno"/>
        <w:numPr>
          <w:ilvl w:val="0"/>
          <w:numId w:val="47"/>
        </w:numPr>
      </w:pPr>
      <w:r>
        <w:t>Havárie – vážná vada, která znemožňuje využívání programového vybavení nebo jeho části či způsobuje vážné provozní problémy</w:t>
      </w:r>
    </w:p>
    <w:p>
      <w:pPr>
        <w:pStyle w:val="Psmeno"/>
        <w:numPr>
          <w:ilvl w:val="0"/>
          <w:numId w:val="47"/>
        </w:numPr>
      </w:pPr>
      <w:r>
        <w:t>Porucha – střední vada, která způsobuje problémy při využívání a provozování programového vybavení nebo jeho části, ale umožňuje tento provoz a nemá vliv na kvalitu výstupů ze systému</w:t>
      </w:r>
    </w:p>
    <w:p>
      <w:pPr>
        <w:pStyle w:val="Odstavec5"/>
      </w:pPr>
      <w:r>
        <w:t>Potvrzení přijetí závady nebo požadavku.</w:t>
      </w:r>
    </w:p>
    <w:p>
      <w:pPr>
        <w:pStyle w:val="Zkladntextodsazen"/>
      </w:pPr>
      <w:r>
        <w:t>Potvrzení přijetí hlášení o závadě či požadavku provádí oprávněný pracovník Zhotovitele prostřednictvím nástrojů služby Helpdesk. Pokud je z důvodu nedostupnosti Helpdesku použit náhradní způsob komunikace, pak potvrzení přijetí závady/požadavku adresuje Zhotovitel na adresu osoby, která závadu/požadavek nahlásila i na adresu osoby, která má podat podrobnější informace o závadě/požadavku i na adresu oprávněné osoby objednatele. V případě hlášení závady Zhotovitelem zašle Zhotovitel zprávu také oprávněné osobě objednatele.</w:t>
      </w:r>
    </w:p>
    <w:p>
      <w:pPr>
        <w:pStyle w:val="Odstavec5"/>
      </w:pPr>
      <w:r>
        <w:t>Stanovení termínu odstranění závady nebo vyřešení požadavku.</w:t>
      </w:r>
    </w:p>
    <w:p>
      <w:pPr>
        <w:pStyle w:val="Zkladntextodsazen"/>
      </w:pPr>
      <w:r>
        <w:t>Na základě nahlášení závady/požadavku, stanoví Zhotovitel po dohodě s objednatelem závazný termín odstranění závady/vyřešení požadavku, nevyplývají-li tyto termíny z povahy požadavku automaticky na základě parametrů uvedených v záznamu o požadavku a časů a lhůt sjednaných touto dohodou (viz čl. IV.).</w:t>
      </w:r>
    </w:p>
    <w:p>
      <w:pPr>
        <w:pStyle w:val="Odstavec5"/>
        <w:keepNext/>
      </w:pPr>
      <w:r>
        <w:t>Odstraňování závady, řešení požadavku.</w:t>
      </w:r>
    </w:p>
    <w:p>
      <w:pPr>
        <w:pStyle w:val="Zkladntextodsazen"/>
      </w:pPr>
      <w:r>
        <w:t>Zhotovitel vyvine maximální úsilí, aby odstranil závadu/vyřešil požadavek bez zbytečného odkladu, nejpozději však ve lhůtách stanovených v souladu s touto dohodou.</w:t>
      </w:r>
    </w:p>
    <w:p>
      <w:pPr>
        <w:pStyle w:val="Odstavec5"/>
      </w:pPr>
      <w:r>
        <w:t>Odstranění závady/vyřešení požadavku.</w:t>
      </w:r>
    </w:p>
    <w:p>
      <w:pPr>
        <w:pStyle w:val="Zkladntextodsazen"/>
      </w:pPr>
      <w:r>
        <w:t>Odstranění závady/vyřešení požadavku Zhotovitel oznámí změnou příslušného parametru v záznamu služby Helpdesk, případně nahlásí e-mailem, případně i telefonicky oprávněné osobě objednatele</w:t>
      </w:r>
    </w:p>
    <w:p>
      <w:pPr>
        <w:pStyle w:val="Odstavec5"/>
        <w:rPr>
          <w:szCs w:val="22"/>
        </w:rPr>
      </w:pPr>
      <w:r>
        <w:t xml:space="preserve">Kontrola funkčnosti systému nebo aplikací. </w:t>
      </w:r>
    </w:p>
    <w:p>
      <w:pPr>
        <w:pStyle w:val="Zkladntextodsazen"/>
        <w:rPr>
          <w:szCs w:val="22"/>
        </w:rPr>
      </w:pPr>
      <w:r>
        <w:rPr>
          <w:szCs w:val="22"/>
        </w:rPr>
        <w:t>Existuje-li testovací prostředí na straně objednatele, pak jsou veškeré změny, opravy, nové verze apod. implementovány nejprve v testovacím prostředí. Objednatel na testovacích serverech zkontroluje funkčnosti systému, popř. aplikací, kterých se závada/požadavek týkal a informuje zpětně Zhotovitele, zda je závada odstraněna, zda je požadavek vyřešen.</w:t>
      </w:r>
    </w:p>
    <w:p>
      <w:pPr>
        <w:pStyle w:val="Zkladntextodsazen"/>
        <w:numPr>
          <w:ilvl w:val="0"/>
          <w:numId w:val="17"/>
        </w:numPr>
        <w:autoSpaceDE w:val="0"/>
        <w:spacing w:after="0"/>
        <w:jc w:val="both"/>
        <w:rPr>
          <w:szCs w:val="22"/>
        </w:rPr>
      </w:pPr>
      <w:r>
        <w:rPr>
          <w:szCs w:val="22"/>
        </w:rPr>
        <w:t>není-li závada odstraněna/požadavek vyřešen, pokračuje Zhotovitel v řešení problému</w:t>
      </w:r>
    </w:p>
    <w:p>
      <w:pPr>
        <w:pStyle w:val="Zkladntextodsazen"/>
        <w:numPr>
          <w:ilvl w:val="0"/>
          <w:numId w:val="17"/>
        </w:numPr>
        <w:autoSpaceDE w:val="0"/>
        <w:spacing w:after="0"/>
        <w:jc w:val="both"/>
        <w:rPr>
          <w:szCs w:val="22"/>
        </w:rPr>
      </w:pPr>
      <w:r>
        <w:rPr>
          <w:szCs w:val="22"/>
        </w:rPr>
        <w:t>je-li závada odstraněna/požadavek vyřešen, provede Zhotovitel synchronizaci dotčených aplikací z testovacího prostředí na produkční prostředí.</w:t>
      </w:r>
    </w:p>
    <w:p>
      <w:pPr>
        <w:pStyle w:val="Zkladntextodsazen"/>
      </w:pPr>
      <w:r>
        <w:rPr>
          <w:szCs w:val="22"/>
        </w:rPr>
        <w:t>V případě neexistence testovacího prostředí jsou změny, opravy či nové verze implementovány přímo v prostředí produkčním. Tato implementace se řídí individuálně sjednanými implementačními pravidly.</w:t>
      </w:r>
    </w:p>
    <w:p>
      <w:pPr>
        <w:pStyle w:val="Odstavec5"/>
      </w:pPr>
      <w:r>
        <w:t xml:space="preserve">Zhotovitel zapíše závadu do „Deníku závad“, požadavek do „Deníku požadavků“. Tyto deníky nahrazuje databáze služby Helpdesk zpřístupněná oprávněným osobám obou stran. </w:t>
      </w:r>
    </w:p>
    <w:p>
      <w:pPr>
        <w:pStyle w:val="Odstavec5"/>
      </w:pPr>
      <w:r>
        <w:t>Případné stížnosti na kvalitu služeb poskytovaných Zhotovitelem dle této dohody se řeší obdobně jako jakýkoli jiný požadavek.</w:t>
      </w:r>
    </w:p>
    <w:p>
      <w:pPr>
        <w:pStyle w:val="lnekslo"/>
        <w:numPr>
          <w:ilvl w:val="0"/>
          <w:numId w:val="30"/>
        </w:numPr>
      </w:pPr>
      <w:r>
        <w:lastRenderedPageBreak/>
        <w:t>Doba platnosti, mechanismus řízení změn dohody o úrovni služeb</w:t>
      </w:r>
    </w:p>
    <w:p>
      <w:pPr>
        <w:pStyle w:val="Odstavec6"/>
      </w:pPr>
      <w:r>
        <w:t>Doba platnosti této dohody o úrovni služeb se řídí dobou platnosti příslušné smlouvy o dodávce služeb (např. smlouvy o technické a/nebo systémové podpoře).</w:t>
      </w:r>
    </w:p>
    <w:p>
      <w:pPr>
        <w:pStyle w:val="Odstavec6"/>
      </w:pPr>
      <w:r>
        <w:t>Obsah a podmínky této dohody o úrovni služeb se přezkoumává v periodě dohodnuté smluvními stranami, minimálně však jedenkrát ročně. O přezkoumání se provede zápis, ze kterého musí vyplývat dohoda smluvních stran o ponechání či změně obsahu a podmínek dohody o úrovni služeb.</w:t>
      </w:r>
    </w:p>
    <w:p>
      <w:pPr>
        <w:pStyle w:val="Odstavec6"/>
      </w:pPr>
      <w:r>
        <w:t>Obsah a podmínky této dohody o úrovni služeb mohou být přezkoumány i kdykoli mimo dohodnutou periodu na základě podnětu kterékoli ze smluvních stran.</w:t>
      </w:r>
    </w:p>
    <w:p>
      <w:pPr>
        <w:pStyle w:val="Odstavec6"/>
      </w:pPr>
      <w:r>
        <w:t>Tato dohoda o úrovni služeb musí být podepsána oprávněnými osobami z objednatele i Zhotovitele, není-li dohodnuto, že dohoda bude podepsána statutárními orgány jedné či obou smluvních stran).</w:t>
      </w:r>
    </w:p>
    <w:p>
      <w:pPr>
        <w:pStyle w:val="lnekslo"/>
        <w:numPr>
          <w:ilvl w:val="0"/>
          <w:numId w:val="30"/>
        </w:numPr>
      </w:pPr>
      <w:r>
        <w:t>Způsob komunikace a vykazování ve věci dohody o úrovni služeb</w:t>
      </w:r>
    </w:p>
    <w:p>
      <w:pPr>
        <w:pStyle w:val="Odstavec7"/>
        <w:keepLines/>
        <w:ind w:left="426" w:hanging="426"/>
      </w:pPr>
      <w:r>
        <w:t>Není-li smluvními stranami dohodnuto jinak, je komunikace ve věci obsahu a podmínek této dohody o úrovni služeb vedena oprávněnými osobami uvedenými v čl. VIII. této dohody.</w:t>
      </w:r>
    </w:p>
    <w:p>
      <w:pPr>
        <w:pStyle w:val="Odstavec7"/>
        <w:keepLines/>
        <w:ind w:left="397" w:hanging="397"/>
      </w:pPr>
      <w:r>
        <w:t>O jakékoli komunikaci související mající za následek změnu či upřesnění obsahu a podmínek této dohody musí být zpracován písemný zápis. Zápis zpracovává oprávněná osoba Zhotovitele, nedohodnou-li se strany jinak.</w:t>
      </w:r>
    </w:p>
    <w:p>
      <w:pPr>
        <w:pStyle w:val="Odstavec7"/>
        <w:keepLines/>
        <w:ind w:left="397" w:hanging="397"/>
      </w:pPr>
      <w:r>
        <w:t>O činnostech provedených v rámci realizace služeb dle této dohody budou vedeny výkazy, a to formou záznamu o řešení požadavku v evidenci požadavků portálu Helpdesk Zhotovitele či samostatného sdíleného dokumentu na Helpdesku Zhotovitele.</w:t>
      </w:r>
    </w:p>
    <w:p>
      <w:pPr>
        <w:pStyle w:val="Odstavec7"/>
        <w:keepLines/>
        <w:ind w:left="397" w:hanging="397"/>
      </w:pPr>
      <w:r>
        <w:t>Veškeré dokumenty (zápisy, výkazy, související dokumentace apod.) jsou mezi smluvními stranami sdíleny prostřednictvím portálu Helpdesku Zhotovitele – viz také čl. V.</w:t>
      </w:r>
    </w:p>
    <w:p>
      <w:pPr>
        <w:pStyle w:val="Odstavec7"/>
        <w:keepLines/>
        <w:ind w:left="397" w:hanging="397"/>
      </w:pPr>
      <w:r>
        <w:t>Je-li v okamžiku potřeby výměny či sdílení dokumentů Helpdesk nedostupný, jsou dokumenty komunikovány jinou cestou (e-mailem, poštou apod.), oprávněná osoba Zhotovitele (není-li dohodnuto jinak) je však povinna vložit všechny dokumenty do Helpdesku neprodleně po obnovení jeho dostupnosti.</w:t>
      </w:r>
    </w:p>
    <w:p>
      <w:pPr>
        <w:pStyle w:val="lnekslo"/>
        <w:numPr>
          <w:ilvl w:val="0"/>
          <w:numId w:val="30"/>
        </w:numPr>
      </w:pPr>
      <w:r>
        <w:t>Oprávněné osoby</w:t>
      </w:r>
    </w:p>
    <w:p>
      <w:pPr>
        <w:pStyle w:val="Odstavec8"/>
        <w:keepNext/>
        <w:keepLines/>
        <w:ind w:left="431" w:hanging="431"/>
        <w:rPr>
          <w:sz w:val="18"/>
        </w:rPr>
      </w:pPr>
      <w:r>
        <w:t>Ve věci obsahu, podmínek a plnění této dohody o úrovni služeb jsou oprávněny komunikovat následující osoby:</w:t>
      </w:r>
    </w:p>
    <w:tbl>
      <w:tblPr>
        <w:tblW w:w="101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95"/>
        <w:gridCol w:w="1947"/>
        <w:gridCol w:w="1948"/>
        <w:gridCol w:w="2345"/>
        <w:gridCol w:w="1713"/>
      </w:tblGrid>
      <w:t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Funkce ve vztahu k SLA</w:t>
            </w:r>
          </w:p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Za objednatele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Za Zhotovitele</w:t>
            </w:r>
          </w:p>
        </w:tc>
      </w:tr>
      <w:tr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>
            <w:pPr>
              <w:pStyle w:val="Zkladntextodsazen"/>
              <w:keepNext/>
              <w:keepLines/>
              <w:snapToGrid w:val="0"/>
              <w:ind w:left="0"/>
              <w:rPr>
                <w:sz w:val="18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Jméno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Kontakt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Jméno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Kontakt</w:t>
            </w:r>
          </w:p>
        </w:tc>
      </w:tr>
      <w:t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>Primární oprávněná osoba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r>
              <w:t>XXXXXXXXXX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r>
              <w:t>XXXXXXXXXX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r>
              <w:t>XXXXXXXXXX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t>XXXXXXXXX</w:t>
            </w:r>
          </w:p>
        </w:tc>
      </w:tr>
      <w:t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>Zástupce primární oprávněné osoby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r>
              <w:t>XXXXXXXXXX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r>
              <w:t>XXXXXXXXXX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r>
              <w:t>XXXXXXXXXX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t>XXXXXX</w:t>
            </w:r>
            <w:bookmarkStart w:id="0" w:name="_GoBack"/>
            <w:bookmarkEnd w:id="0"/>
            <w:r>
              <w:t>XXX</w:t>
            </w:r>
          </w:p>
        </w:tc>
      </w:tr>
    </w:tbl>
    <w:p>
      <w:pPr>
        <w:pStyle w:val="lnekslo"/>
        <w:numPr>
          <w:ilvl w:val="0"/>
          <w:numId w:val="30"/>
        </w:numPr>
      </w:pPr>
      <w:r>
        <w:t>Práva a povinnosti objednatele</w:t>
      </w:r>
    </w:p>
    <w:p>
      <w:pPr>
        <w:pStyle w:val="Odstavec9"/>
        <w:keepLines/>
      </w:pPr>
      <w:r>
        <w:t>Objednatel se zavazuje poskytnout Zhotoviteli veškerou součinnost potřebnou k provádění technické podpory podle této smlouvy. Objednatel se zejména zavazuje předávat Zhotoviteli potřebné nebo důvodně Zhotovitelem vyžádané informace a podklady pro provádění těchto služeb a v odůvodněných případech umožnit Zhotoviteli vzdálený přístup na provozní server. Vzdálený přístup bude zajištěn na základě dohodnutých technických a bezpečnostních podmínek.</w:t>
      </w:r>
    </w:p>
    <w:p>
      <w:pPr>
        <w:pStyle w:val="Odstavec9"/>
        <w:keepLines/>
      </w:pPr>
      <w:r>
        <w:t>Objednatel zajistí Zhotoviteli pracovní prostor v místě instalace programového vybavení v rozsahu nutném pro provedení servisních služeb. Objednatel odpovídá za to, že řádný průběh prací Zhotovitele nebude rušen zásahy třetích osob.</w:t>
      </w:r>
    </w:p>
    <w:p>
      <w:pPr>
        <w:pStyle w:val="Odstavec9"/>
        <w:keepLines/>
      </w:pPr>
      <w:r>
        <w:t xml:space="preserve">Objednatel je povinen informovat Zhotovitele o všech opatřeních a zásazích, které na programovém vybavení či jiných místech týkajících se programového vybavení provedl sám.  </w:t>
      </w:r>
    </w:p>
    <w:p>
      <w:pPr>
        <w:pStyle w:val="lnekslo"/>
        <w:numPr>
          <w:ilvl w:val="0"/>
          <w:numId w:val="30"/>
        </w:numPr>
      </w:pPr>
      <w:r>
        <w:lastRenderedPageBreak/>
        <w:t>Práva a povinnosti Zhotovitele</w:t>
      </w:r>
    </w:p>
    <w:p>
      <w:pPr>
        <w:pStyle w:val="Odstavec10"/>
        <w:keepLines/>
      </w:pPr>
      <w:r>
        <w:t>Zhotovitel se zavazuje do 30 dnů od uvolnění nové verze, upgrade či update softwarového vybavení, na které se vztahuje tato technická podpora dohodnutým a prokazatelným způsobem informovat objednatele a nabídnout možnost a podmínky implementace.</w:t>
      </w:r>
    </w:p>
    <w:p>
      <w:pPr>
        <w:pStyle w:val="Odstavec10"/>
        <w:keepLines/>
      </w:pPr>
      <w:r>
        <w:t>Zhotovitel je povinen po odsouhlasení oběma smluvními stranami respektovat pokyny a připomínky objednatele ke způsobu provádění služeb.</w:t>
      </w:r>
    </w:p>
    <w:p>
      <w:pPr>
        <w:pStyle w:val="lnekslo"/>
        <w:numPr>
          <w:ilvl w:val="0"/>
          <w:numId w:val="30"/>
        </w:numPr>
      </w:pPr>
      <w:r>
        <w:t>Principy kalkulace ceny služeb</w:t>
      </w:r>
    </w:p>
    <w:p>
      <w:pPr>
        <w:pStyle w:val="Odstavec11"/>
        <w:keepLines/>
        <w:rPr>
          <w:bCs/>
          <w:szCs w:val="22"/>
        </w:rPr>
      </w:pPr>
      <w:r>
        <w:t>Základní sazba za služby podpory činí 20 % vstupní ceníkové ceny Produktu za každých 12 měsíců. Základní sazba se skládá z následujících částí:</w:t>
      </w:r>
    </w:p>
    <w:p>
      <w:pPr>
        <w:pStyle w:val="Zkladntextodsazen"/>
        <w:numPr>
          <w:ilvl w:val="0"/>
          <w:numId w:val="26"/>
        </w:numPr>
        <w:autoSpaceDE w:val="0"/>
        <w:spacing w:after="0"/>
        <w:jc w:val="both"/>
        <w:rPr>
          <w:bCs/>
          <w:szCs w:val="22"/>
        </w:rPr>
      </w:pPr>
      <w:r>
        <w:rPr>
          <w:bCs/>
          <w:szCs w:val="22"/>
        </w:rPr>
        <w:t>sazba za služby dle čl. II, písm. a) až f) činí 15 % vstupní ceny Produktu za každých 12 měsíců</w:t>
      </w:r>
    </w:p>
    <w:p>
      <w:pPr>
        <w:pStyle w:val="Zkladntextodsazen"/>
        <w:numPr>
          <w:ilvl w:val="0"/>
          <w:numId w:val="26"/>
        </w:numPr>
        <w:autoSpaceDE w:val="0"/>
        <w:spacing w:after="0"/>
        <w:jc w:val="both"/>
      </w:pPr>
      <w:r>
        <w:rPr>
          <w:bCs/>
          <w:szCs w:val="22"/>
        </w:rPr>
        <w:t>sazba za služby dle čl. II, písm. g) činí 5 % vstupní ceny Produktu za každých 12 měsíců</w:t>
      </w:r>
    </w:p>
    <w:p>
      <w:pPr>
        <w:pStyle w:val="Odstavec11"/>
        <w:keepLines/>
        <w:rPr>
          <w:bCs/>
          <w:sz w:val="18"/>
        </w:rPr>
      </w:pPr>
      <w:r>
        <w:t>Cena služeb podpory se odvozuje od vstupní ceny Produktu a typu aplikace (viz čl. I). Procentní sazby jsou počítány ze vstupní ceny Produktu: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43"/>
        <w:gridCol w:w="3402"/>
        <w:gridCol w:w="3519"/>
      </w:tblGrid>
      <w:t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pStyle w:val="Zkladntextodsazen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Úroveň podpory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>
            <w:pPr>
              <w:pStyle w:val="Zkladntextodsazen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Sazba za služby podpory </w:t>
            </w:r>
            <w:r>
              <w:rPr>
                <w:b/>
                <w:bCs/>
                <w:sz w:val="18"/>
              </w:rPr>
              <w:t>na 12 měsíců</w:t>
            </w:r>
          </w:p>
        </w:tc>
      </w:tr>
      <w:tr>
        <w:trPr>
          <w:trHeight w:val="60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pStyle w:val="Zkladntextodsazen"/>
              <w:snapToGrid w:val="0"/>
              <w:ind w:left="0"/>
              <w:jc w:val="center"/>
              <w:rPr>
                <w:bCs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pStyle w:val="Zkladntextodsazen"/>
              <w:ind w:left="0"/>
              <w:jc w:val="center"/>
              <w:rPr>
                <w:bCs/>
                <w:i/>
                <w:sz w:val="18"/>
              </w:rPr>
            </w:pPr>
            <w:r>
              <w:rPr>
                <w:bCs/>
                <w:sz w:val="18"/>
              </w:rPr>
              <w:t>S… Standardní aplikace</w:t>
            </w:r>
          </w:p>
          <w:p>
            <w:pPr>
              <w:pStyle w:val="Zkladntextodsazen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i/>
                <w:sz w:val="18"/>
              </w:rPr>
              <w:t>Do podpory standardních aplikací jsou zahrnuty veškeré služby dle odst. 3. 1., písm. a) až g)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>
            <w:pPr>
              <w:pStyle w:val="Zkladntextodsazen"/>
              <w:ind w:left="0"/>
              <w:jc w:val="center"/>
              <w:rPr>
                <w:bCs/>
                <w:i/>
                <w:sz w:val="18"/>
              </w:rPr>
            </w:pPr>
            <w:r>
              <w:rPr>
                <w:bCs/>
                <w:sz w:val="18"/>
              </w:rPr>
              <w:t>U… Uživatelská aplikace</w:t>
            </w:r>
          </w:p>
          <w:p>
            <w:pPr>
              <w:pStyle w:val="Zkladntextodsazen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i/>
                <w:sz w:val="18"/>
              </w:rPr>
              <w:t>Do podpory uživatelských aplikací jsou zahrnuty veškeré služby dle odst. 3. 1., písm. a) až f)</w:t>
            </w:r>
          </w:p>
        </w:tc>
      </w:tr>
      <w:t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Zkladntextodsazen"/>
              <w:ind w:left="0"/>
              <w:rPr>
                <w:bCs/>
                <w:sz w:val="18"/>
              </w:rPr>
            </w:pPr>
            <w:r>
              <w:rPr>
                <w:bCs/>
                <w:sz w:val="18"/>
              </w:rPr>
              <w:t>S… Standardní podpora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Zkladntextodsazen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20 %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Zkladntextodsazen"/>
              <w:ind w:left="0"/>
              <w:jc w:val="center"/>
              <w:rPr>
                <w:bCs/>
                <w:szCs w:val="22"/>
              </w:rPr>
            </w:pPr>
            <w:r>
              <w:rPr>
                <w:bCs/>
                <w:sz w:val="18"/>
              </w:rPr>
              <w:t>15 %</w:t>
            </w:r>
          </w:p>
        </w:tc>
      </w:tr>
    </w:tbl>
    <w:p>
      <w:pPr>
        <w:pStyle w:val="Zkladntextodsazen"/>
        <w:rPr>
          <w:bCs/>
          <w:szCs w:val="22"/>
        </w:rPr>
      </w:pPr>
      <w:r>
        <w:rPr>
          <w:bCs/>
          <w:szCs w:val="22"/>
        </w:rPr>
        <w:t>Je-li v užívání objednatele více samostatných licencí stejného produktu, pak je základní procentní sazba kalkulována ke každé této licenci, případný příplatek za rozšířenou podporu je ovšem kalkulován pouze k jedné z těchto licencí.</w:t>
      </w:r>
    </w:p>
    <w:p>
      <w:pPr>
        <w:pStyle w:val="Zkladntextodsazen"/>
        <w:ind w:left="0" w:firstLine="360"/>
      </w:pPr>
      <w:r>
        <w:rPr>
          <w:bCs/>
          <w:szCs w:val="22"/>
        </w:rPr>
        <w:t>Částky jsou uvedeny v Kč bez DPH.</w:t>
      </w:r>
    </w:p>
    <w:p>
      <w:pPr>
        <w:pStyle w:val="Odstavec11"/>
        <w:keepLines/>
      </w:pPr>
      <w:r>
        <w:t>Vstupní cenou Produktu je základní cena licence (licencí) každého softwarového produktu. Tato cena nemusí být uvedena, jedná-li se o technickou podporu poskytovanou k softwarovému produktu třetí strany nebo je-li cena za provádění technické podpory kalkulována odlišným způsobem.</w:t>
      </w:r>
    </w:p>
    <w:p>
      <w:pPr>
        <w:pStyle w:val="Odstavec11"/>
        <w:keepLines/>
      </w:pPr>
      <w:r>
        <w:t>Cena technické podpory může být v individuálních případech stanovena i odlišně na základě dohody obou stran.</w:t>
      </w:r>
    </w:p>
    <w:p>
      <w:pPr>
        <w:pStyle w:val="lnekslo"/>
        <w:pageBreakBefore/>
        <w:numPr>
          <w:ilvl w:val="0"/>
          <w:numId w:val="30"/>
        </w:numPr>
        <w:ind w:left="1077"/>
      </w:pPr>
      <w:r>
        <w:lastRenderedPageBreak/>
        <w:t>Výčet softwarových produktů a cena technické podpory</w:t>
      </w:r>
    </w:p>
    <w:p>
      <w:pPr>
        <w:spacing w:after="120"/>
        <w:rPr>
          <w:sz w:val="18"/>
          <w:szCs w:val="18"/>
        </w:rPr>
      </w:pPr>
      <w:r>
        <w:t>Cena technické podpory pro rok 2023</w:t>
      </w:r>
      <w:r>
        <w:rPr>
          <w:szCs w:val="28"/>
        </w:rPr>
        <w:t>:</w:t>
      </w:r>
    </w:p>
    <w:tbl>
      <w:tblPr>
        <w:tblW w:w="9657" w:type="dxa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4"/>
        <w:gridCol w:w="1701"/>
        <w:gridCol w:w="850"/>
        <w:gridCol w:w="1276"/>
        <w:gridCol w:w="851"/>
        <w:gridCol w:w="1275"/>
      </w:tblGrid>
      <w:tr>
        <w:trPr>
          <w:trHeight w:val="76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Softwarový produkt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Počet, rozsah či jiná specifikace licence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 produktu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Vstupní cena v Kč bez DPH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Úroveň podpory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TP/rok v Kč bez DPH</w:t>
            </w:r>
          </w:p>
        </w:tc>
      </w:tr>
      <w:tr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</w:t>
            </w:r>
            <w:proofErr w:type="spellStart"/>
            <w:r>
              <w:rPr>
                <w:sz w:val="18"/>
                <w:szCs w:val="18"/>
              </w:rPr>
              <w:t>MapServer</w:t>
            </w:r>
            <w:proofErr w:type="spellEnd"/>
            <w:r>
              <w:rPr>
                <w:sz w:val="18"/>
                <w:szCs w:val="18"/>
              </w:rPr>
              <w:t xml:space="preserve"> SBX*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neomezená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24 000,-</w:t>
            </w:r>
          </w:p>
        </w:tc>
      </w:tr>
      <w:tr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T-WIST REN Pro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18 000,-</w:t>
            </w:r>
          </w:p>
        </w:tc>
      </w:tr>
      <w:tr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Konektor na Stavební úřad VITA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7 200,-</w:t>
            </w:r>
          </w:p>
        </w:tc>
      </w:tr>
      <w:tr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Informace k parcelám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9 000,-</w:t>
            </w:r>
          </w:p>
        </w:tc>
      </w:tr>
      <w:tr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Pasport památek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6 000,-</w:t>
            </w:r>
          </w:p>
        </w:tc>
      </w:tr>
      <w:tr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Mapová aplikace Územní plán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7 200,-</w:t>
            </w:r>
          </w:p>
        </w:tc>
      </w:tr>
      <w:tr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Mapová aplikace technická infrastruktura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3 600,-</w:t>
            </w:r>
          </w:p>
        </w:tc>
      </w:tr>
      <w:tr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T-WIST Pasport zeleně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12 000,-</w:t>
            </w:r>
          </w:p>
        </w:tc>
      </w:tr>
      <w:tr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T-WIST Pasport komunikací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12 000,-</w:t>
            </w:r>
          </w:p>
        </w:tc>
      </w:tr>
      <w:tr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T-WIST Evidence městského mobiliáře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10 800,-</w:t>
            </w:r>
          </w:p>
        </w:tc>
      </w:tr>
      <w:tr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T-WIST Evidence veřejného osvětlení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12 000,-</w:t>
            </w:r>
          </w:p>
        </w:tc>
      </w:tr>
      <w:tr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Pasport kontejnerových stání na tříděný odpad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10 800,-</w:t>
            </w:r>
          </w:p>
        </w:tc>
      </w:tr>
      <w:tr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Mapová aplikace ÚAP – životní prostředí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Internet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5 000,-</w:t>
            </w:r>
          </w:p>
        </w:tc>
      </w:tr>
      <w:tr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Hlášení závad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neomezená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12 000,-</w:t>
            </w:r>
          </w:p>
        </w:tc>
      </w:tr>
      <w:tr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Monitoring GIS - využití, přístupy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6 000,-</w:t>
            </w:r>
          </w:p>
        </w:tc>
      </w:tr>
      <w:tr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Usnesení a úkoly volených orgánů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325 000,-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ind w:left="709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Modul Výbory a komise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ind w:left="709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Modul úkoly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ind w:left="709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 xml:space="preserve">Rozhraní na </w:t>
            </w:r>
            <w:proofErr w:type="spellStart"/>
            <w:r>
              <w:rPr>
                <w:sz w:val="18"/>
                <w:lang w:eastAsia="en-US"/>
              </w:rPr>
              <w:t>Active</w:t>
            </w:r>
            <w:proofErr w:type="spellEnd"/>
            <w:r>
              <w:rPr>
                <w:sz w:val="18"/>
                <w:lang w:eastAsia="en-US"/>
              </w:rPr>
              <w:t xml:space="preserve"> direktory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26 400,-</w:t>
            </w:r>
          </w:p>
        </w:tc>
      </w:tr>
      <w:tr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ind w:left="709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Rozhr</w:t>
            </w:r>
            <w:proofErr w:type="spellEnd"/>
            <w:r>
              <w:rPr>
                <w:sz w:val="18"/>
                <w:lang w:eastAsia="en-US"/>
              </w:rPr>
              <w:t xml:space="preserve">. na hlas. zařízení </w:t>
            </w:r>
            <w:proofErr w:type="spellStart"/>
            <w:r>
              <w:rPr>
                <w:sz w:val="18"/>
                <w:lang w:eastAsia="en-US"/>
              </w:rPr>
              <w:t>BiTEST</w:t>
            </w:r>
            <w:proofErr w:type="spellEnd"/>
            <w:r>
              <w:rPr>
                <w:sz w:val="18"/>
                <w:lang w:eastAsia="en-US"/>
              </w:rPr>
              <w:t xml:space="preserve"> H.E.R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ind w:left="709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Univerzální komunikační jádro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ind w:left="709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Plugin</w:t>
            </w:r>
            <w:proofErr w:type="spellEnd"/>
            <w:r>
              <w:rPr>
                <w:sz w:val="18"/>
                <w:lang w:eastAsia="en-US"/>
              </w:rPr>
              <w:t xml:space="preserve"> UKJ k SSL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Celkem roční TP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182 000,-</w:t>
            </w:r>
          </w:p>
        </w:tc>
      </w:tr>
    </w:tbl>
    <w:p>
      <w:pPr>
        <w:pStyle w:val="Odstavec11"/>
        <w:numPr>
          <w:ilvl w:val="0"/>
          <w:numId w:val="0"/>
        </w:numPr>
        <w:spacing w:before="120"/>
        <w:jc w:val="left"/>
      </w:pPr>
      <w:r>
        <w:t>*Označení technologické verze aplikace</w:t>
      </w:r>
    </w:p>
    <w:p>
      <w:pPr>
        <w:pStyle w:val="Odstavec11"/>
        <w:numPr>
          <w:ilvl w:val="0"/>
          <w:numId w:val="0"/>
        </w:numPr>
        <w:spacing w:before="120"/>
      </w:pPr>
      <w:r>
        <w:t>Vstupní cenou je základní cena licence (licencí) každého softwarového produktu. Tato cena nemusí být uvedena, jedná-li se o technickou podporu poskytovanou k softwarovému produktu třetí strany nebo je-li cena za provádění technické podpory kalkulována odlišným způsobem.</w:t>
      </w:r>
    </w:p>
    <w:p>
      <w:pPr>
        <w:pStyle w:val="Odstavec11"/>
        <w:numPr>
          <w:ilvl w:val="0"/>
          <w:numId w:val="0"/>
        </w:numPr>
      </w:pPr>
      <w:r>
        <w:t>Roční sazba technické podpory se odvozuje ze vstupní ceny každého softwarového produktu a stanovuje se podle typu licence, způsobu používání a konkrétního rozsahu technické podpory ke každé aplikaci na daný kalendářní rok. Tato sazba nemusí být uvedena, jedná-li se o technickou podporu poskytovanou k softwarovému produktu třetí strany nebo je-li cena za provádění technické podpory kalkulována odlišným způsobem.</w:t>
      </w:r>
      <w:r>
        <w:br w:type="page"/>
      </w:r>
    </w:p>
    <w:p>
      <w:pPr>
        <w:pStyle w:val="lnekslo"/>
      </w:pPr>
      <w:r>
        <w:lastRenderedPageBreak/>
        <w:t>XIII. Platební kalendář</w:t>
      </w:r>
    </w:p>
    <w:p>
      <w:r>
        <w:t>Cena za provádění technické podpory platí do další změny aplikací spadajících pod technickou podporu.</w:t>
      </w:r>
    </w:p>
    <w:p>
      <w:r>
        <w:t>Cena za provádění technické podpory je fakturována vždy předem na dané období dle následující tabulky: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  <w:gridCol w:w="2445"/>
        <w:gridCol w:w="2108"/>
      </w:tblGrid>
      <w:tr>
        <w:trPr>
          <w:cantSplit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>
            <w:pPr>
              <w:pStyle w:val="Zkladntext"/>
              <w:jc w:val="center"/>
            </w:pPr>
            <w:r>
              <w:t>Datum fakturace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>
            <w:pPr>
              <w:pStyle w:val="Zkladntext"/>
              <w:jc w:val="center"/>
              <w:rPr>
                <w:b/>
              </w:rPr>
            </w:pPr>
            <w:r>
              <w:t>za provádění technické podpory v období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>
            <w:pPr>
              <w:pStyle w:val="Zkladntext"/>
              <w:jc w:val="center"/>
            </w:pPr>
            <w:r>
              <w:rPr>
                <w:b/>
              </w:rPr>
              <w:t>Částka v Kč bez DPH</w:t>
            </w:r>
          </w:p>
        </w:tc>
      </w:tr>
      <w:tr>
        <w:trPr>
          <w:cantSplit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kladntext"/>
              <w:jc w:val="center"/>
            </w:pPr>
            <w:r>
              <w:t>21. dubna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kladntext"/>
              <w:jc w:val="center"/>
              <w:rPr>
                <w:b/>
              </w:rPr>
            </w:pPr>
            <w:r>
              <w:t>1. 1. až 31.3.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kladntext"/>
              <w:jc w:val="right"/>
            </w:pPr>
            <w:r>
              <w:rPr>
                <w:b/>
              </w:rPr>
              <w:t>45 500,- Kč</w:t>
            </w:r>
          </w:p>
        </w:tc>
      </w:tr>
      <w:tr>
        <w:trPr>
          <w:cantSplit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kladntext"/>
              <w:jc w:val="center"/>
            </w:pPr>
            <w:r>
              <w:t>23. dubna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kladntext"/>
              <w:jc w:val="center"/>
              <w:rPr>
                <w:b/>
              </w:rPr>
            </w:pPr>
            <w:r>
              <w:t>1. 4. až 30.6.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kladntext"/>
              <w:jc w:val="right"/>
            </w:pPr>
            <w:r>
              <w:rPr>
                <w:b/>
              </w:rPr>
              <w:t>45 500,- Kč</w:t>
            </w:r>
          </w:p>
        </w:tc>
      </w:tr>
      <w:tr>
        <w:trPr>
          <w:cantSplit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kladntext"/>
              <w:jc w:val="center"/>
            </w:pPr>
            <w:r>
              <w:t>15. července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kladntext"/>
              <w:jc w:val="center"/>
              <w:rPr>
                <w:b/>
              </w:rPr>
            </w:pPr>
            <w:r>
              <w:t>1. 7 až 30.9.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kladntext"/>
              <w:jc w:val="right"/>
            </w:pPr>
            <w:r>
              <w:rPr>
                <w:b/>
              </w:rPr>
              <w:t>45 500,- Kč</w:t>
            </w:r>
          </w:p>
        </w:tc>
      </w:tr>
      <w:tr>
        <w:trPr>
          <w:cantSplit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kladntext"/>
              <w:jc w:val="center"/>
            </w:pPr>
            <w:r>
              <w:t>15. října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kladntext"/>
              <w:jc w:val="center"/>
              <w:rPr>
                <w:b/>
              </w:rPr>
            </w:pPr>
            <w:r>
              <w:t>1. 10. až 31.12.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kladntext"/>
              <w:jc w:val="right"/>
            </w:pPr>
            <w:r>
              <w:rPr>
                <w:b/>
              </w:rPr>
              <w:t>45 500,- Kč</w:t>
            </w:r>
          </w:p>
        </w:tc>
      </w:tr>
    </w:tbl>
    <w:p>
      <w:r>
        <w:t>Daň z přidané hodnoty bude účtována v souladu se zák. č. 588/1992 Sb. v platném znění ke dni uskutečnění zdanitelného plnění.</w:t>
      </w:r>
    </w:p>
    <w:sectPr>
      <w:pgSz w:w="11906" w:h="16838"/>
      <w:pgMar w:top="1276" w:right="851" w:bottom="1135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 Unicode MS"/>
    <w:charset w:val="8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80"/>
    <w:family w:val="swiss"/>
    <w:pitch w:val="default"/>
  </w:font>
  <w:font w:name="Thorndale">
    <w:altName w:val="MS Gothic"/>
    <w:charset w:val="80"/>
    <w:family w:val="roman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lowerLetter"/>
      <w:pStyle w:val="slovanseznam21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  <w:color w:val="0070C0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5.%1."/>
      <w:lvlJc w:val="left"/>
      <w:pPr>
        <w:tabs>
          <w:tab w:val="num" w:pos="340"/>
        </w:tabs>
        <w:ind w:left="340" w:hanging="340"/>
      </w:p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bullet"/>
      <w:pStyle w:val="StylSodrkamiKurzva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decimal"/>
      <w:pStyle w:val="Obsah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decimal"/>
      <w:lvlText w:val="8.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1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singleLevel"/>
    <w:tmpl w:val="00000011"/>
    <w:name w:val="WW8Num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2"/>
    <w:multiLevelType w:val="multilevel"/>
    <w:tmpl w:val="00000012"/>
    <w:name w:val="WW8Num1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00000013"/>
    <w:multiLevelType w:val="multilevel"/>
    <w:tmpl w:val="00000013"/>
    <w:name w:val="WW8Num18"/>
    <w:lvl w:ilvl="0">
      <w:start w:val="1"/>
      <w:numFmt w:val="decimal"/>
      <w:pStyle w:val="Odstavec12"/>
      <w:lvlText w:val="12.%1."/>
      <w:lvlJc w:val="left"/>
      <w:pPr>
        <w:tabs>
          <w:tab w:val="num" w:pos="340"/>
        </w:tabs>
        <w:ind w:left="340" w:hanging="34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2"/>
      </w:rPr>
    </w:lvl>
  </w:abstractNum>
  <w:abstractNum w:abstractNumId="19" w15:restartNumberingAfterBreak="0">
    <w:nsid w:val="00000014"/>
    <w:multiLevelType w:val="singleLevel"/>
    <w:tmpl w:val="00000014"/>
    <w:name w:val="WW8Num19"/>
    <w:lvl w:ilvl="0">
      <w:start w:val="1"/>
      <w:numFmt w:val="decimal"/>
      <w:pStyle w:val="Odstavec15"/>
      <w:lvlText w:val="15.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1" w15:restartNumberingAfterBreak="0">
    <w:nsid w:val="00000016"/>
    <w:multiLevelType w:val="multilevel"/>
    <w:tmpl w:val="00000016"/>
    <w:name w:val="WW8Num21"/>
    <w:lvl w:ilvl="0">
      <w:start w:val="1"/>
      <w:numFmt w:val="decimal"/>
      <w:lvlText w:val="7.%1."/>
      <w:lvlJc w:val="left"/>
      <w:pPr>
        <w:tabs>
          <w:tab w:val="num" w:pos="432"/>
        </w:tabs>
        <w:ind w:left="1758" w:hanging="1758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:lang w:val="x-none" w:eastAsia="x-none" w:bidi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:lang w:val="x-none" w:eastAsia="x-none" w:bidi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00000018"/>
    <w:multiLevelType w:val="multilevel"/>
    <w:tmpl w:val="00000018"/>
    <w:name w:val="WW8Num23"/>
    <w:lvl w:ilvl="0">
      <w:start w:val="1"/>
      <w:numFmt w:val="decimal"/>
      <w:lvlText w:val="10.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decimal"/>
      <w:pStyle w:val="Odstavec2"/>
      <w:lvlText w:val="2.%1."/>
      <w:lvlJc w:val="left"/>
      <w:pPr>
        <w:tabs>
          <w:tab w:val="num" w:pos="340"/>
        </w:tabs>
        <w:ind w:left="340" w:hanging="340"/>
      </w:p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0000001B"/>
    <w:multiLevelType w:val="singleLevel"/>
    <w:tmpl w:val="0000001B"/>
    <w:name w:val="WW8Num26"/>
    <w:lvl w:ilvl="0">
      <w:start w:val="1"/>
      <w:numFmt w:val="decimal"/>
      <w:lvlText w:val="9.%1."/>
      <w:lvlJc w:val="left"/>
      <w:pPr>
        <w:tabs>
          <w:tab w:val="num" w:pos="340"/>
        </w:tabs>
        <w:ind w:left="340" w:hanging="340"/>
      </w:pPr>
    </w:lvl>
  </w:abstractNum>
  <w:abstractNum w:abstractNumId="27" w15:restartNumberingAfterBreak="0">
    <w:nsid w:val="0000001C"/>
    <w:multiLevelType w:val="singleLevel"/>
    <w:tmpl w:val="0000001C"/>
    <w:name w:val="WW8Num27"/>
    <w:lvl w:ilvl="0">
      <w:start w:val="1"/>
      <w:numFmt w:val="decimal"/>
      <w:lvlText w:val="4.%1."/>
      <w:lvlJc w:val="left"/>
      <w:pPr>
        <w:tabs>
          <w:tab w:val="num" w:pos="340"/>
        </w:tabs>
        <w:ind w:left="340" w:hanging="34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decimal"/>
      <w:pStyle w:val="Odstavec14"/>
      <w:lvlText w:val="14.%1."/>
      <w:lvlJc w:val="left"/>
      <w:pPr>
        <w:tabs>
          <w:tab w:val="num" w:pos="0"/>
        </w:tabs>
        <w:ind w:left="720" w:hanging="360"/>
      </w:p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3.%1."/>
      <w:lvlJc w:val="left"/>
      <w:pPr>
        <w:tabs>
          <w:tab w:val="num" w:pos="340"/>
        </w:tabs>
        <w:ind w:left="340" w:hanging="340"/>
      </w:pPr>
    </w:lvl>
  </w:abstractNum>
  <w:abstractNum w:abstractNumId="31" w15:restartNumberingAfterBreak="0">
    <w:nsid w:val="00000020"/>
    <w:multiLevelType w:val="multilevel"/>
    <w:tmpl w:val="00000020"/>
    <w:name w:val="WW8StyleNum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lowerLetter"/>
      <w:pStyle w:val="Psmeno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pStyle w:val="Odstavec3"/>
      <w:lvlText w:val="3.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3"/>
    <w:multiLevelType w:val="multilevel"/>
    <w:tmpl w:val="2AD0C8D0"/>
    <w:lvl w:ilvl="0">
      <w:start w:val="1"/>
      <w:numFmt w:val="decimal"/>
      <w:pStyle w:val="Odstavec4"/>
      <w:lvlText w:val="4.%1."/>
      <w:lvlJc w:val="left"/>
      <w:pPr>
        <w:tabs>
          <w:tab w:val="num" w:pos="340"/>
        </w:tabs>
        <w:ind w:left="340" w:hanging="34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pStyle w:val="Odstavec5"/>
      <w:lvlText w:val="5.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pStyle w:val="Odstavec6"/>
      <w:lvlText w:val="6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:lang w:val="x-none" w:eastAsia="x-none" w:bidi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:lang w:val="x-none" w:eastAsia="x-none" w:bidi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pStyle w:val="Odstavec7"/>
      <w:lvlText w:val="7.%1."/>
      <w:lvlJc w:val="left"/>
      <w:pPr>
        <w:tabs>
          <w:tab w:val="num" w:pos="432"/>
        </w:tabs>
        <w:ind w:left="1758" w:hanging="1758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00000027"/>
    <w:multiLevelType w:val="multilevel"/>
    <w:tmpl w:val="14602D5C"/>
    <w:lvl w:ilvl="0">
      <w:start w:val="1"/>
      <w:numFmt w:val="decimal"/>
      <w:pStyle w:val="Odstavec8"/>
      <w:lvlText w:val="8.%1."/>
      <w:lvlJc w:val="left"/>
      <w:pPr>
        <w:tabs>
          <w:tab w:val="num" w:pos="432"/>
        </w:tabs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pStyle w:val="Odstavec9"/>
      <w:lvlText w:val="9.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pStyle w:val="Odstavec10"/>
      <w:lvlText w:val="10.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0000002A"/>
    <w:multiLevelType w:val="multilevel"/>
    <w:tmpl w:val="E50A7324"/>
    <w:lvl w:ilvl="0">
      <w:start w:val="1"/>
      <w:numFmt w:val="decimal"/>
      <w:pStyle w:val="Odstavec11"/>
      <w:lvlText w:val="11.%1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987AE7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3" w15:restartNumberingAfterBreak="0">
    <w:nsid w:val="04BE2E11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4" w15:restartNumberingAfterBreak="0">
    <w:nsid w:val="377F3F19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5" w15:restartNumberingAfterBreak="0">
    <w:nsid w:val="5AE71D41"/>
    <w:multiLevelType w:val="hybridMultilevel"/>
    <w:tmpl w:val="FFAAE410"/>
    <w:lvl w:ilvl="0" w:tplc="0405000F">
      <w:start w:val="1"/>
      <w:numFmt w:val="decimal"/>
      <w:lvlText w:val="%1.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6" w15:restartNumberingAfterBreak="0">
    <w:nsid w:val="5DD45FF8"/>
    <w:multiLevelType w:val="hybridMultilevel"/>
    <w:tmpl w:val="39500AA8"/>
    <w:lvl w:ilvl="0" w:tplc="0405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203308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5"/>
  </w:num>
  <w:num w:numId="44">
    <w:abstractNumId w:val="43"/>
  </w:num>
  <w:num w:numId="45">
    <w:abstractNumId w:val="47"/>
  </w:num>
  <w:num w:numId="46">
    <w:abstractNumId w:val="42"/>
  </w:num>
  <w:num w:numId="47">
    <w:abstractNumId w:val="44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B868153-88D3-46DA-8802-DD29AE8D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60"/>
    </w:pPr>
    <w:rPr>
      <w:sz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kern w:val="1"/>
      <w:sz w:val="28"/>
    </w:rPr>
  </w:style>
  <w:style w:type="paragraph" w:styleId="Nadpis2">
    <w:name w:val="heading 2"/>
    <w:basedOn w:val="Nadpis1"/>
    <w:next w:val="Normln"/>
    <w:qFormat/>
    <w:pPr>
      <w:numPr>
        <w:numId w:val="0"/>
      </w:numPr>
      <w:outlineLvl w:val="1"/>
    </w:pPr>
    <w:rPr>
      <w:b w:val="0"/>
      <w:sz w:val="24"/>
    </w:rPr>
  </w:style>
  <w:style w:type="paragraph" w:styleId="Nadpis3">
    <w:name w:val="heading 3"/>
    <w:basedOn w:val="Normln"/>
    <w:next w:val="Normln"/>
    <w:qFormat/>
    <w:pPr>
      <w:keepNext/>
      <w:spacing w:before="240"/>
      <w:outlineLvl w:val="2"/>
    </w:pPr>
    <w:rPr>
      <w:b/>
      <w:sz w:val="24"/>
    </w:rPr>
  </w:style>
  <w:style w:type="paragraph" w:styleId="Nadpis4">
    <w:name w:val="heading 4"/>
    <w:basedOn w:val="Normln"/>
    <w:next w:val="Zkladntext"/>
    <w:qFormat/>
    <w:pPr>
      <w:outlineLvl w:val="3"/>
    </w:p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ind w:left="360"/>
      <w:jc w:val="center"/>
      <w:outlineLvl w:val="5"/>
    </w:pPr>
    <w:rPr>
      <w:b/>
      <w:bCs/>
      <w:sz w:val="20"/>
    </w:rPr>
  </w:style>
  <w:style w:type="paragraph" w:styleId="Nadpis7">
    <w:name w:val="heading 7"/>
    <w:basedOn w:val="Normln"/>
    <w:next w:val="Normln"/>
    <w:qFormat/>
    <w:pPr>
      <w:keepNext/>
      <w:pBdr>
        <w:bottom w:val="single" w:sz="4" w:space="1" w:color="000000"/>
      </w:pBdr>
      <w:outlineLvl w:val="6"/>
    </w:pPr>
    <w:rPr>
      <w:i/>
      <w:i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pPr>
      <w:spacing w:before="240"/>
      <w:jc w:val="both"/>
      <w:outlineLvl w:val="8"/>
    </w:pPr>
    <w:rPr>
      <w:rFonts w:ascii="Arial" w:hAnsi="Arial" w:cs="Arial"/>
      <w:b/>
      <w:i/>
      <w:spacing w:val="-5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  <w:color w:val="0070C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2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0">
    <w:name w:val="WW8Num18z0"/>
    <w:rPr>
      <w:sz w:val="22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2z1">
    <w:name w:val="WW8Num2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2"/>
      <w:u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tandardnpsmoodstavce1">
    <w:name w:val="Standardní písmo odstavce1"/>
  </w:style>
  <w:style w:type="character" w:styleId="slodku">
    <w:name w:val="line number"/>
    <w:rPr>
      <w:lang w:val="cs-CZ"/>
    </w:rPr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  <w:lang w:val="cs-CZ"/>
    </w:rPr>
  </w:style>
  <w:style w:type="character" w:styleId="Siln">
    <w:name w:val="Strong"/>
    <w:qFormat/>
    <w:rPr>
      <w:b/>
      <w:lang w:val="cs-CZ"/>
    </w:rPr>
  </w:style>
  <w:style w:type="character" w:styleId="Sledovanodkaz">
    <w:name w:val="FollowedHyperlink"/>
    <w:rPr>
      <w:color w:val="800080"/>
      <w:u w:val="single"/>
      <w:lang w:val="cs-CZ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Zvraznn">
    <w:name w:val="Zvýraznění"/>
    <w:qFormat/>
    <w:rPr>
      <w:b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" w:eastAsia="Lucida Sans Unicode" w:hAnsi="Albany" w:cs="Andale Sans UI"/>
      <w:sz w:val="28"/>
      <w:szCs w:val="28"/>
    </w:rPr>
  </w:style>
  <w:style w:type="paragraph" w:styleId="Zkladntext">
    <w:name w:val="Body Text"/>
    <w:basedOn w:val="Normln"/>
    <w:pPr>
      <w:ind w:firstLine="567"/>
    </w:pPr>
    <w:rPr>
      <w:kern w:val="1"/>
    </w:r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horndale" w:hAnsi="Thorndale" w:cs="Andale Sans UI"/>
      <w:i/>
      <w:iCs/>
      <w:szCs w:val="22"/>
    </w:rPr>
  </w:style>
  <w:style w:type="paragraph" w:customStyle="1" w:styleId="Rejstk">
    <w:name w:val="Rejstřík"/>
    <w:basedOn w:val="Normln"/>
    <w:pPr>
      <w:suppressLineNumbers/>
    </w:pPr>
    <w:rPr>
      <w:rFonts w:ascii="Thorndale" w:hAnsi="Thorndale" w:cs="Andale Sans UI"/>
    </w:rPr>
  </w:style>
  <w:style w:type="paragraph" w:customStyle="1" w:styleId="Zvr1">
    <w:name w:val="Závěr1"/>
    <w:basedOn w:val="Normln"/>
    <w:next w:val="Podpis"/>
    <w:pPr>
      <w:keepNext/>
      <w:spacing w:line="220" w:lineRule="atLeast"/>
      <w:jc w:val="both"/>
    </w:pPr>
    <w:rPr>
      <w:rFonts w:ascii="Arial" w:hAnsi="Arial" w:cs="Arial"/>
      <w:spacing w:val="-5"/>
      <w:sz w:val="20"/>
    </w:rPr>
  </w:style>
  <w:style w:type="paragraph" w:styleId="Podpis">
    <w:name w:val="Signature"/>
    <w:basedOn w:val="Normln"/>
    <w:pPr>
      <w:ind w:left="4252"/>
    </w:pPr>
  </w:style>
  <w:style w:type="paragraph" w:customStyle="1" w:styleId="Podpis-funkce">
    <w:name w:val="Podpis - funkce"/>
    <w:basedOn w:val="Podpis"/>
    <w:next w:val="Normln"/>
    <w:pPr>
      <w:keepNext/>
      <w:spacing w:line="220" w:lineRule="atLeast"/>
      <w:ind w:left="0"/>
      <w:jc w:val="both"/>
    </w:pPr>
    <w:rPr>
      <w:rFonts w:ascii="Arial" w:hAnsi="Arial" w:cs="Arial"/>
      <w:spacing w:val="-5"/>
      <w:sz w:val="20"/>
    </w:rPr>
  </w:style>
  <w:style w:type="paragraph" w:customStyle="1" w:styleId="Nzevspolenosti">
    <w:name w:val="Název společnosti"/>
    <w:basedOn w:val="Normln"/>
    <w:pPr>
      <w:spacing w:line="280" w:lineRule="atLeast"/>
    </w:pPr>
    <w:rPr>
      <w:rFonts w:ascii="Arial Black" w:hAnsi="Arial Black" w:cs="Arial Black"/>
      <w:spacing w:val="-25"/>
      <w:sz w:val="32"/>
    </w:rPr>
  </w:style>
  <w:style w:type="paragraph" w:customStyle="1" w:styleId="Datum1">
    <w:name w:val="Datum1"/>
    <w:basedOn w:val="Normln"/>
    <w:next w:val="Normln"/>
    <w:rPr>
      <w:sz w:val="20"/>
    </w:rPr>
  </w:style>
  <w:style w:type="paragraph" w:customStyle="1" w:styleId="Osloven1">
    <w:name w:val="Oslovení1"/>
    <w:basedOn w:val="Normln"/>
    <w:next w:val="Normln"/>
    <w:pPr>
      <w:spacing w:before="220" w:after="220" w:line="220" w:lineRule="atLeast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18"/>
    </w:rPr>
  </w:style>
  <w:style w:type="paragraph" w:customStyle="1" w:styleId="Adresaodesilatele">
    <w:name w:val="Adresa odesilatele"/>
    <w:basedOn w:val="Normln"/>
    <w:pPr>
      <w:keepLines/>
      <w:tabs>
        <w:tab w:val="left" w:pos="2160"/>
      </w:tabs>
      <w:spacing w:line="160" w:lineRule="atLeast"/>
    </w:pPr>
    <w:rPr>
      <w:sz w:val="14"/>
    </w:rPr>
  </w:style>
  <w:style w:type="paragraph" w:customStyle="1" w:styleId="Vnitnadresa-jmno">
    <w:name w:val="Vnitřní adresa - jméno"/>
    <w:basedOn w:val="Normln"/>
    <w:next w:val="Normln"/>
    <w:pPr>
      <w:spacing w:before="220" w:line="22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18"/>
    </w:rPr>
  </w:style>
  <w:style w:type="paragraph" w:styleId="Adresanaoblku">
    <w:name w:val="envelope address"/>
    <w:basedOn w:val="Normln"/>
    <w:pPr>
      <w:ind w:left="2880"/>
    </w:pPr>
    <w:rPr>
      <w:sz w:val="24"/>
    </w:rPr>
  </w:style>
  <w:style w:type="paragraph" w:customStyle="1" w:styleId="slovanseznam1">
    <w:name w:val="Číslovaný seznam1"/>
    <w:basedOn w:val="Seznam"/>
    <w:pPr>
      <w:numPr>
        <w:numId w:val="32"/>
      </w:numPr>
      <w:spacing w:after="240"/>
      <w:ind w:left="720" w:right="360"/>
      <w:jc w:val="both"/>
    </w:pPr>
    <w:rPr>
      <w:rFonts w:ascii="Arial" w:hAnsi="Arial" w:cs="Arial"/>
      <w:spacing w:val="-5"/>
      <w:sz w:val="24"/>
    </w:r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Hlavikaobsahu1">
    <w:name w:val="Hlavička obsahu1"/>
    <w:basedOn w:val="Normln"/>
    <w:next w:val="Normln"/>
    <w:pPr>
      <w:widowControl w:val="0"/>
      <w:tabs>
        <w:tab w:val="left" w:pos="9000"/>
        <w:tab w:val="right" w:pos="9360"/>
      </w:tabs>
    </w:pPr>
    <w:rPr>
      <w:sz w:val="16"/>
      <w:lang w:val="en-US"/>
    </w:rPr>
  </w:style>
  <w:style w:type="paragraph" w:styleId="Rejstk1">
    <w:name w:val="index 1"/>
    <w:basedOn w:val="Normln"/>
    <w:next w:val="Normln"/>
    <w:pPr>
      <w:ind w:left="240" w:hanging="240"/>
    </w:pPr>
  </w:style>
  <w:style w:type="paragraph" w:styleId="Hlavikarejstku">
    <w:name w:val="index heading"/>
    <w:basedOn w:val="Normln"/>
    <w:next w:val="Rejstk1"/>
    <w:pPr>
      <w:jc w:val="both"/>
    </w:pPr>
    <w:rPr>
      <w:rFonts w:ascii="Arial" w:hAnsi="Arial" w:cs="Arial"/>
      <w:b/>
      <w:spacing w:val="-5"/>
      <w:sz w:val="20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32"/>
      <w:szCs w:val="32"/>
    </w:rPr>
  </w:style>
  <w:style w:type="paragraph" w:styleId="Podtitul">
    <w:name w:val="Subtitle"/>
    <w:basedOn w:val="Normln"/>
    <w:next w:val="Zkladntext"/>
    <w:qFormat/>
    <w:pPr>
      <w:jc w:val="center"/>
    </w:pPr>
    <w:rPr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styleId="Obsah1">
    <w:name w:val="toc 1"/>
    <w:basedOn w:val="Normln"/>
    <w:next w:val="Normln"/>
    <w:pPr>
      <w:tabs>
        <w:tab w:val="left" w:pos="400"/>
        <w:tab w:val="right" w:leader="dot" w:pos="10195"/>
      </w:tabs>
    </w:pPr>
    <w:rPr>
      <w:sz w:val="24"/>
    </w:rPr>
  </w:style>
  <w:style w:type="paragraph" w:styleId="Obsah2">
    <w:name w:val="toc 2"/>
    <w:basedOn w:val="Normln"/>
    <w:next w:val="Normln"/>
    <w:pPr>
      <w:tabs>
        <w:tab w:val="left" w:pos="800"/>
        <w:tab w:val="right" w:leader="dot" w:pos="10195"/>
      </w:tabs>
      <w:ind w:left="200"/>
    </w:pPr>
    <w:rPr>
      <w:szCs w:val="22"/>
    </w:rPr>
  </w:style>
  <w:style w:type="paragraph" w:styleId="Obsah3">
    <w:name w:val="toc 3"/>
    <w:basedOn w:val="Normln"/>
    <w:next w:val="Normln"/>
    <w:pPr>
      <w:ind w:left="400"/>
    </w:pPr>
  </w:style>
  <w:style w:type="paragraph" w:styleId="Obsah4">
    <w:name w:val="toc 4"/>
    <w:basedOn w:val="Normln"/>
    <w:next w:val="Normln"/>
    <w:pPr>
      <w:ind w:left="600"/>
    </w:pPr>
  </w:style>
  <w:style w:type="paragraph" w:styleId="Obsah5">
    <w:name w:val="toc 5"/>
    <w:basedOn w:val="Normln"/>
    <w:next w:val="Normln"/>
    <w:pPr>
      <w:ind w:left="800"/>
    </w:pPr>
  </w:style>
  <w:style w:type="paragraph" w:styleId="Obsah6">
    <w:name w:val="toc 6"/>
    <w:basedOn w:val="Normln"/>
    <w:next w:val="Normln"/>
    <w:pPr>
      <w:widowControl w:val="0"/>
      <w:numPr>
        <w:numId w:val="14"/>
      </w:numPr>
    </w:pPr>
    <w:rPr>
      <w:sz w:val="16"/>
    </w:rPr>
  </w:style>
  <w:style w:type="paragraph" w:styleId="Obsah7">
    <w:name w:val="toc 7"/>
    <w:basedOn w:val="Normln"/>
    <w:next w:val="Normln"/>
    <w:pPr>
      <w:ind w:left="1200"/>
    </w:pPr>
  </w:style>
  <w:style w:type="paragraph" w:styleId="Obsah8">
    <w:name w:val="toc 8"/>
    <w:basedOn w:val="Normln"/>
    <w:next w:val="Normln"/>
    <w:pPr>
      <w:ind w:left="1400"/>
    </w:pPr>
  </w:style>
  <w:style w:type="paragraph" w:styleId="Obsah9">
    <w:name w:val="toc 9"/>
    <w:basedOn w:val="Normln"/>
    <w:next w:val="Normln"/>
    <w:pPr>
      <w:ind w:left="1600"/>
    </w:pPr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styleId="Rejstk2">
    <w:name w:val="index 2"/>
    <w:basedOn w:val="Normln"/>
    <w:next w:val="Normln"/>
    <w:pPr>
      <w:ind w:left="400" w:hanging="200"/>
    </w:pPr>
  </w:style>
  <w:style w:type="paragraph" w:styleId="Rejstk3">
    <w:name w:val="index 3"/>
    <w:basedOn w:val="Normln"/>
    <w:next w:val="Normln"/>
    <w:pPr>
      <w:ind w:left="600" w:hanging="200"/>
    </w:pPr>
  </w:style>
  <w:style w:type="paragraph" w:customStyle="1" w:styleId="Rejstk41">
    <w:name w:val="Rejstřík 41"/>
    <w:basedOn w:val="Normln"/>
    <w:next w:val="Normln"/>
    <w:pPr>
      <w:ind w:left="800" w:hanging="200"/>
    </w:pPr>
  </w:style>
  <w:style w:type="paragraph" w:customStyle="1" w:styleId="Rejstk51">
    <w:name w:val="Rejstřík 51"/>
    <w:basedOn w:val="Normln"/>
    <w:next w:val="Normln"/>
    <w:pPr>
      <w:ind w:left="1000" w:hanging="200"/>
    </w:pPr>
  </w:style>
  <w:style w:type="paragraph" w:customStyle="1" w:styleId="Rejstk61">
    <w:name w:val="Rejstřík 61"/>
    <w:basedOn w:val="Normln"/>
    <w:next w:val="Normln"/>
    <w:pPr>
      <w:ind w:left="1200" w:hanging="200"/>
    </w:pPr>
  </w:style>
  <w:style w:type="paragraph" w:customStyle="1" w:styleId="Rejstk71">
    <w:name w:val="Rejstřík 71"/>
    <w:basedOn w:val="Normln"/>
    <w:next w:val="Normln"/>
    <w:pPr>
      <w:ind w:left="1400" w:hanging="200"/>
    </w:pPr>
  </w:style>
  <w:style w:type="paragraph" w:customStyle="1" w:styleId="Rejstk81">
    <w:name w:val="Rejstřík 81"/>
    <w:basedOn w:val="Normln"/>
    <w:next w:val="Normln"/>
    <w:pPr>
      <w:ind w:left="1600" w:hanging="200"/>
    </w:pPr>
  </w:style>
  <w:style w:type="paragraph" w:customStyle="1" w:styleId="Rejstk91">
    <w:name w:val="Rejstřík 91"/>
    <w:basedOn w:val="Normln"/>
    <w:next w:val="Normln"/>
    <w:pPr>
      <w:ind w:left="1800" w:hanging="200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citac1">
    <w:name w:val="Seznam citací1"/>
    <w:basedOn w:val="Normln"/>
    <w:next w:val="Normln"/>
    <w:pPr>
      <w:ind w:left="200" w:hanging="200"/>
    </w:pPr>
  </w:style>
  <w:style w:type="paragraph" w:customStyle="1" w:styleId="Seznamobrzk1">
    <w:name w:val="Seznam obrázků1"/>
    <w:basedOn w:val="Normln"/>
    <w:next w:val="Normln"/>
    <w:pPr>
      <w:ind w:left="400" w:hanging="400"/>
    </w:pPr>
  </w:style>
  <w:style w:type="paragraph" w:customStyle="1" w:styleId="Seznamsodrkami1">
    <w:name w:val="Seznam s odrážkami1"/>
    <w:basedOn w:val="Normln"/>
    <w:pPr>
      <w:numPr>
        <w:numId w:val="21"/>
      </w:numPr>
      <w:spacing w:after="220" w:line="220" w:lineRule="atLeast"/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makra1">
    <w:name w:val="Text makr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hAnsi="Courier New" w:cs="Courier New"/>
      <w:spacing w:val="-5"/>
      <w:lang w:eastAsia="ar-SA"/>
    </w:rPr>
  </w:style>
  <w:style w:type="paragraph" w:styleId="Textpoznpodarou">
    <w:name w:val="footnote text"/>
    <w:basedOn w:val="Normln"/>
  </w:style>
  <w:style w:type="paragraph" w:customStyle="1" w:styleId="Textkomente1">
    <w:name w:val="Text komentáře1"/>
    <w:basedOn w:val="Normln"/>
    <w:rPr>
      <w:sz w:val="20"/>
    </w:r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Textvysvtlivek">
    <w:name w:val="endnote text"/>
    <w:basedOn w:val="Normln"/>
  </w:style>
  <w:style w:type="paragraph" w:customStyle="1" w:styleId="Titulek1">
    <w:name w:val="Titulek1"/>
    <w:basedOn w:val="Normln"/>
    <w:next w:val="Normln"/>
    <w:pPr>
      <w:spacing w:before="120" w:after="120"/>
    </w:pPr>
    <w:rPr>
      <w:b/>
    </w:r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sz w:val="24"/>
    </w:rPr>
  </w:style>
  <w:style w:type="paragraph" w:customStyle="1" w:styleId="Zkladntext-prvnodsazen1">
    <w:name w:val="Základní text - první odsazený1"/>
    <w:basedOn w:val="Zkladntext"/>
    <w:pPr>
      <w:spacing w:after="120"/>
      <w:ind w:firstLine="210"/>
    </w:p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rPr>
      <w:b/>
      <w:b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Zkladntextodsazen21">
    <w:name w:val="Základní text odsazený 21"/>
    <w:basedOn w:val="Normln"/>
    <w:pPr>
      <w:ind w:left="360"/>
      <w:jc w:val="both"/>
    </w:pPr>
  </w:style>
  <w:style w:type="paragraph" w:customStyle="1" w:styleId="Zkladntextodsazen31">
    <w:name w:val="Základní text odsazený 31"/>
    <w:basedOn w:val="Normln"/>
    <w:pPr>
      <w:ind w:left="426" w:hanging="426"/>
      <w:jc w:val="both"/>
    </w:pPr>
    <w:rPr>
      <w:sz w:val="20"/>
    </w:rPr>
  </w:style>
  <w:style w:type="paragraph" w:styleId="Zptenadresanaoblku">
    <w:name w:val="envelope return"/>
    <w:basedOn w:val="Normln"/>
  </w:style>
  <w:style w:type="paragraph" w:customStyle="1" w:styleId="Podpis-jmno">
    <w:name w:val="Podpis - jméno"/>
    <w:basedOn w:val="Podpis"/>
    <w:next w:val="Podpis-funkce"/>
    <w:pPr>
      <w:keepNext/>
      <w:spacing w:before="880" w:line="220" w:lineRule="atLeast"/>
      <w:ind w:left="0"/>
    </w:pPr>
    <w:rPr>
      <w:rFonts w:ascii="Arial" w:hAnsi="Arial" w:cs="Arial"/>
      <w:spacing w:val="-5"/>
      <w:sz w:val="20"/>
    </w:rPr>
  </w:style>
  <w:style w:type="paragraph" w:customStyle="1" w:styleId="H3">
    <w:name w:val="H3"/>
    <w:basedOn w:val="Normln"/>
    <w:next w:val="Normln"/>
    <w:pPr>
      <w:keepNext/>
      <w:spacing w:before="100" w:after="100"/>
    </w:pPr>
    <w:rPr>
      <w:b/>
      <w:sz w:val="28"/>
    </w:rPr>
  </w:style>
  <w:style w:type="paragraph" w:customStyle="1" w:styleId="zklad">
    <w:name w:val="základ"/>
    <w:pPr>
      <w:suppressAutoHyphens/>
      <w:jc w:val="both"/>
    </w:pPr>
    <w:rPr>
      <w:rFonts w:ascii="Arial" w:hAnsi="Arial" w:cs="Arial"/>
      <w:sz w:val="24"/>
      <w:lang w:eastAsia="ar-SA"/>
    </w:rPr>
  </w:style>
  <w:style w:type="paragraph" w:customStyle="1" w:styleId="lnekslo">
    <w:name w:val="Článek číslo"/>
    <w:basedOn w:val="Normln"/>
    <w:next w:val="Normln"/>
    <w:pPr>
      <w:keepNext/>
      <w:spacing w:before="120"/>
      <w:jc w:val="center"/>
    </w:pPr>
    <w:rPr>
      <w:b/>
      <w:caps/>
      <w:kern w:val="1"/>
      <w:sz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customStyle="1" w:styleId="lneknzev">
    <w:name w:val="Článek název"/>
    <w:basedOn w:val="lnekslo"/>
    <w:pPr>
      <w:spacing w:before="0" w:after="120"/>
    </w:pPr>
  </w:style>
  <w:style w:type="paragraph" w:customStyle="1" w:styleId="Datumsted">
    <w:name w:val="Datum střed"/>
    <w:basedOn w:val="Datum1"/>
    <w:pPr>
      <w:spacing w:before="240"/>
      <w:jc w:val="center"/>
    </w:pPr>
  </w:style>
  <w:style w:type="paragraph" w:customStyle="1" w:styleId="Titul">
    <w:name w:val="Titul"/>
    <w:basedOn w:val="Normln"/>
    <w:pPr>
      <w:pBdr>
        <w:bottom w:val="single" w:sz="4" w:space="1" w:color="000000"/>
      </w:pBdr>
      <w:jc w:val="center"/>
    </w:pPr>
    <w:rPr>
      <w:b/>
      <w:sz w:val="36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Msto">
    <w:name w:val="Místo"/>
    <w:basedOn w:val="lneknzev"/>
    <w:pPr>
      <w:keepLines/>
      <w:tabs>
        <w:tab w:val="left" w:pos="6804"/>
      </w:tabs>
      <w:spacing w:before="360" w:after="360"/>
      <w:jc w:val="left"/>
    </w:pPr>
    <w:rPr>
      <w:caps w:val="0"/>
      <w:sz w:val="22"/>
    </w:rPr>
  </w:style>
  <w:style w:type="paragraph" w:customStyle="1" w:styleId="Nadpissmlouvy">
    <w:name w:val="Nadpis smlouvy"/>
    <w:basedOn w:val="Normln"/>
    <w:pPr>
      <w:spacing w:after="240"/>
      <w:jc w:val="center"/>
    </w:pPr>
    <w:rPr>
      <w:b/>
      <w:kern w:val="1"/>
      <w:sz w:val="32"/>
    </w:rPr>
  </w:style>
  <w:style w:type="paragraph" w:customStyle="1" w:styleId="Obrzek">
    <w:name w:val="Obrázek"/>
    <w:pPr>
      <w:keepNext/>
      <w:keepLines/>
      <w:suppressAutoHyphens/>
      <w:spacing w:before="240" w:after="240"/>
      <w:jc w:val="center"/>
    </w:pPr>
    <w:rPr>
      <w:lang w:eastAsia="ar-SA"/>
    </w:rPr>
  </w:style>
  <w:style w:type="paragraph" w:customStyle="1" w:styleId="Odstavec">
    <w:name w:val="Odstavec"/>
    <w:basedOn w:val="Normln"/>
    <w:pPr>
      <w:spacing w:before="120"/>
    </w:pPr>
  </w:style>
  <w:style w:type="paragraph" w:customStyle="1" w:styleId="Odstavec3">
    <w:name w:val="Odstavec 3"/>
    <w:basedOn w:val="Normln"/>
    <w:pPr>
      <w:numPr>
        <w:numId w:val="34"/>
      </w:numPr>
      <w:spacing w:after="120"/>
    </w:pPr>
  </w:style>
  <w:style w:type="paragraph" w:customStyle="1" w:styleId="Odstavec4">
    <w:name w:val="Odstavec 4"/>
    <w:basedOn w:val="Odstavec3"/>
    <w:pPr>
      <w:numPr>
        <w:numId w:val="35"/>
      </w:numPr>
    </w:pPr>
  </w:style>
  <w:style w:type="paragraph" w:customStyle="1" w:styleId="Odstavec5">
    <w:name w:val="Odstavec 5"/>
    <w:basedOn w:val="Odstavec4"/>
    <w:pPr>
      <w:numPr>
        <w:numId w:val="36"/>
      </w:numPr>
      <w:jc w:val="both"/>
    </w:pPr>
  </w:style>
  <w:style w:type="paragraph" w:customStyle="1" w:styleId="Odstavec6">
    <w:name w:val="Odstavec 6"/>
    <w:basedOn w:val="Odstavec5"/>
    <w:pPr>
      <w:numPr>
        <w:numId w:val="37"/>
      </w:numPr>
    </w:pPr>
  </w:style>
  <w:style w:type="paragraph" w:customStyle="1" w:styleId="Odstavec7">
    <w:name w:val="Odstavec 7"/>
    <w:basedOn w:val="Odstavec6"/>
    <w:pPr>
      <w:numPr>
        <w:numId w:val="38"/>
      </w:numPr>
    </w:pPr>
  </w:style>
  <w:style w:type="paragraph" w:customStyle="1" w:styleId="Odstavec8">
    <w:name w:val="Odstavec 8"/>
    <w:basedOn w:val="Odstavec7"/>
    <w:pPr>
      <w:numPr>
        <w:numId w:val="39"/>
      </w:numPr>
      <w:jc w:val="left"/>
    </w:pPr>
  </w:style>
  <w:style w:type="paragraph" w:customStyle="1" w:styleId="Odstavec9">
    <w:name w:val="Odstavec 9"/>
    <w:basedOn w:val="Odstavec8"/>
    <w:pPr>
      <w:numPr>
        <w:numId w:val="40"/>
      </w:numPr>
    </w:pPr>
  </w:style>
  <w:style w:type="paragraph" w:customStyle="1" w:styleId="Odstavec10">
    <w:name w:val="Odstavec 10"/>
    <w:basedOn w:val="Odstavec9"/>
    <w:pPr>
      <w:numPr>
        <w:numId w:val="41"/>
      </w:numPr>
    </w:pPr>
  </w:style>
  <w:style w:type="paragraph" w:customStyle="1" w:styleId="Odstavec11">
    <w:name w:val="Odstavec 11"/>
    <w:basedOn w:val="Odstavec10"/>
    <w:pPr>
      <w:numPr>
        <w:numId w:val="42"/>
      </w:numPr>
      <w:jc w:val="both"/>
    </w:pPr>
  </w:style>
  <w:style w:type="paragraph" w:customStyle="1" w:styleId="Odstavec2">
    <w:name w:val="Odstavec 2"/>
    <w:basedOn w:val="Normln"/>
    <w:pPr>
      <w:numPr>
        <w:numId w:val="25"/>
      </w:numPr>
      <w:spacing w:after="120"/>
    </w:pPr>
  </w:style>
  <w:style w:type="paragraph" w:customStyle="1" w:styleId="Odstavec12">
    <w:name w:val="Odstavec 12"/>
    <w:basedOn w:val="Odstavec2"/>
    <w:pPr>
      <w:numPr>
        <w:numId w:val="19"/>
      </w:numPr>
      <w:jc w:val="both"/>
    </w:pPr>
  </w:style>
  <w:style w:type="paragraph" w:customStyle="1" w:styleId="Odstavectextu">
    <w:name w:val="Odstavec textu"/>
    <w:basedOn w:val="Normln"/>
    <w:pPr>
      <w:jc w:val="both"/>
    </w:pPr>
    <w:rPr>
      <w:rFonts w:ascii="Tahoma" w:hAnsi="Tahoma" w:cs="Tahoma"/>
    </w:rPr>
  </w:style>
  <w:style w:type="paragraph" w:customStyle="1" w:styleId="Psmeno">
    <w:name w:val="Písmeno"/>
    <w:basedOn w:val="Odstavec"/>
    <w:pPr>
      <w:numPr>
        <w:numId w:val="33"/>
      </w:numPr>
      <w:autoSpaceDE w:val="0"/>
      <w:spacing w:before="0" w:after="0"/>
    </w:pPr>
    <w:rPr>
      <w:szCs w:val="24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Signum1">
    <w:name w:val="Signum1"/>
    <w:basedOn w:val="Normln"/>
    <w:next w:val="Normln"/>
    <w:pPr>
      <w:tabs>
        <w:tab w:val="center" w:pos="1701"/>
        <w:tab w:val="center" w:pos="6804"/>
      </w:tabs>
      <w:spacing w:before="240" w:after="20"/>
      <w:jc w:val="both"/>
    </w:pPr>
    <w:rPr>
      <w:b/>
    </w:rPr>
  </w:style>
  <w:style w:type="paragraph" w:customStyle="1" w:styleId="Signum2">
    <w:name w:val="Signum2"/>
    <w:basedOn w:val="Zkladntext"/>
    <w:pPr>
      <w:tabs>
        <w:tab w:val="center" w:pos="1701"/>
        <w:tab w:val="center" w:pos="6804"/>
      </w:tabs>
      <w:spacing w:after="20"/>
    </w:pPr>
    <w:rPr>
      <w:b/>
    </w:rPr>
  </w:style>
  <w:style w:type="paragraph" w:customStyle="1" w:styleId="StylSodrkamiKurzva">
    <w:name w:val="Styl S odrážkami Kurzíva"/>
    <w:basedOn w:val="Odstavec"/>
    <w:pPr>
      <w:numPr>
        <w:numId w:val="13"/>
      </w:numPr>
      <w:spacing w:before="0"/>
    </w:pPr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odsazen22">
    <w:name w:val="Základní text odsazený 22"/>
    <w:basedOn w:val="Normln"/>
    <w:pPr>
      <w:overflowPunct w:val="0"/>
      <w:autoSpaceDE w:val="0"/>
      <w:spacing w:before="240" w:after="360"/>
      <w:ind w:left="709" w:hanging="709"/>
      <w:textAlignment w:val="baseline"/>
    </w:pPr>
    <w:rPr>
      <w:sz w:val="24"/>
    </w:rPr>
  </w:style>
  <w:style w:type="paragraph" w:customStyle="1" w:styleId="Odstavec14">
    <w:name w:val="Odstavec 14"/>
    <w:basedOn w:val="Odstavec2"/>
    <w:pPr>
      <w:numPr>
        <w:numId w:val="29"/>
      </w:numPr>
      <w:ind w:left="397" w:hanging="397"/>
    </w:pPr>
  </w:style>
  <w:style w:type="paragraph" w:customStyle="1" w:styleId="Odstavec15">
    <w:name w:val="Odstavec 15"/>
    <w:basedOn w:val="Odstavec2"/>
    <w:pPr>
      <w:numPr>
        <w:numId w:val="20"/>
      </w:numPr>
      <w:spacing w:after="60"/>
      <w:ind w:left="397" w:hanging="397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Pr>
      <w:sz w:val="20"/>
      <w:lang w:val="x-none"/>
    </w:rPr>
  </w:style>
  <w:style w:type="character" w:customStyle="1" w:styleId="TextkomenteChar1">
    <w:name w:val="Text komentáře Char1"/>
    <w:link w:val="Textkomente"/>
    <w:uiPriority w:val="99"/>
    <w:semiHidden/>
    <w:rPr>
      <w:lang w:eastAsia="ar-SA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Pr>
      <w:sz w:val="22"/>
      <w:lang w:eastAsia="ar-SA"/>
    </w:rPr>
  </w:style>
  <w:style w:type="character" w:customStyle="1" w:styleId="Nevyeenzmnka1">
    <w:name w:val="Nevyřešená zmínka1"/>
    <w:uiPriority w:val="99"/>
    <w:semiHidden/>
    <w:unhideWhenUsed/>
    <w:rPr>
      <w:color w:val="808080"/>
      <w:shd w:val="clear" w:color="auto" w:fill="E6E6E6"/>
    </w:rPr>
  </w:style>
  <w:style w:type="character" w:customStyle="1" w:styleId="ZkladntextodsazenChar">
    <w:name w:val="Základní text odsazený Char"/>
    <w:basedOn w:val="Standardnpsmoodstavce"/>
    <w:link w:val="Zkladntextodsazen"/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elpdesk.tmapy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mapy\Data%20aplikac&#237;\Microsoft\&#352;ablony\T-MAPY_Nabidka_obecn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63CA-F166-4F59-A6BE-BBF183D4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T-MAPY_Nabidka_obecna.dot</Template>
  <TotalTime>21</TotalTime>
  <Pages>9</Pages>
  <Words>3114</Words>
  <Characters>18379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 17 ke sml. 150/2004 na rok 2015</vt:lpstr>
    </vt:vector>
  </TitlesOfParts>
  <Company/>
  <LinksUpToDate>false</LinksUpToDate>
  <CharactersWithSpaces>21451</CharactersWithSpaces>
  <SharedDoc>false</SharedDoc>
  <HLinks>
    <vt:vector size="18" baseType="variant">
      <vt:variant>
        <vt:i4>7143447</vt:i4>
      </vt:variant>
      <vt:variant>
        <vt:i4>6</vt:i4>
      </vt:variant>
      <vt:variant>
        <vt:i4>0</vt:i4>
      </vt:variant>
      <vt:variant>
        <vt:i4>5</vt:i4>
      </vt:variant>
      <vt:variant>
        <vt:lpwstr>mailto:marek.lesak@tmapy.cz</vt:lpwstr>
      </vt:variant>
      <vt:variant>
        <vt:lpwstr/>
      </vt:variant>
      <vt:variant>
        <vt:i4>6553668</vt:i4>
      </vt:variant>
      <vt:variant>
        <vt:i4>3</vt:i4>
      </vt:variant>
      <vt:variant>
        <vt:i4>0</vt:i4>
      </vt:variant>
      <vt:variant>
        <vt:i4>5</vt:i4>
      </vt:variant>
      <vt:variant>
        <vt:lpwstr>mailto:info@tmapy.cz</vt:lpwstr>
      </vt:variant>
      <vt:variant>
        <vt:lpwstr/>
      </vt:variant>
      <vt:variant>
        <vt:i4>6225949</vt:i4>
      </vt:variant>
      <vt:variant>
        <vt:i4>0</vt:i4>
      </vt:variant>
      <vt:variant>
        <vt:i4>0</vt:i4>
      </vt:variant>
      <vt:variant>
        <vt:i4>5</vt:i4>
      </vt:variant>
      <vt:variant>
        <vt:lpwstr>http://helpdesk.tmapy.cz/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17 ke sml. 150/2004 na rok 2015</dc:title>
  <dc:subject/>
  <dc:creator>Jan Zavřel</dc:creator>
  <cp:keywords/>
  <cp:lastModifiedBy>Salzmann Radim</cp:lastModifiedBy>
  <cp:revision>5</cp:revision>
  <cp:lastPrinted>2023-03-01T08:22:00Z</cp:lastPrinted>
  <dcterms:created xsi:type="dcterms:W3CDTF">2023-03-01T08:21:00Z</dcterms:created>
  <dcterms:modified xsi:type="dcterms:W3CDTF">2023-03-27T07:04:00Z</dcterms:modified>
  <cp:category>smlouva</cp:category>
</cp:coreProperties>
</file>