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40E" w:rsidRDefault="004B56E9">
      <w:pPr>
        <w:spacing w:before="120" w:after="240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SMLOUVA O REKLAMĚ</w:t>
      </w:r>
    </w:p>
    <w:p w:rsidR="0029340E" w:rsidRDefault="004B56E9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Korporace: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>Kancelář Kreativní Evropa – MEDIA, Národní filmový archiv</w:t>
      </w:r>
    </w:p>
    <w:p w:rsidR="0029340E" w:rsidRDefault="004B56E9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  <w:t>příspěvková organizace, zřizovatel MK ČR čj. 10.623/92, ve znění dodatku MK 28075/2011</w:t>
      </w:r>
    </w:p>
    <w:p w:rsidR="0029340E" w:rsidRDefault="004B56E9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se sídlem: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Malešická 2706/12, 130 00 Praha 3</w:t>
      </w:r>
    </w:p>
    <w:p w:rsidR="0029340E" w:rsidRDefault="004B56E9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IČ: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000 57 266</w:t>
      </w:r>
    </w:p>
    <w:p w:rsidR="0029340E" w:rsidRDefault="004B56E9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DIČ: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CZ00057266</w:t>
      </w:r>
    </w:p>
    <w:p w:rsidR="0029340E" w:rsidRDefault="004B56E9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zastoupená: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PhDr. Michalem Bregantem, ředitelem</w:t>
      </w:r>
    </w:p>
    <w:p w:rsidR="0029340E" w:rsidRDefault="004B56E9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bankovní spojení: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83337011/0710, Česká národní banka, Na Příkopě 28, 115 03 Praha 1</w:t>
      </w:r>
    </w:p>
    <w:p w:rsidR="0029340E" w:rsidRDefault="004B56E9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e-mail: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media@kreativnievropa.cz</w:t>
      </w:r>
    </w:p>
    <w:p w:rsidR="0029340E" w:rsidRDefault="0029340E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p w:rsidR="0029340E" w:rsidRDefault="004B56E9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(„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objednatel</w:t>
      </w:r>
      <w:r>
        <w:rPr>
          <w:rFonts w:ascii="Times New Roman" w:eastAsia="Times New Roman" w:hAnsi="Times New Roman" w:cs="Times New Roman"/>
          <w:sz w:val="18"/>
          <w:szCs w:val="18"/>
        </w:rPr>
        <w:t>“)</w:t>
      </w:r>
    </w:p>
    <w:p w:rsidR="0029340E" w:rsidRDefault="004B56E9">
      <w:pPr>
        <w:tabs>
          <w:tab w:val="left" w:pos="2268"/>
        </w:tabs>
        <w:spacing w:before="120" w:after="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a</w:t>
      </w:r>
    </w:p>
    <w:p w:rsidR="0029340E" w:rsidRDefault="004B56E9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Korporace: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</w:rPr>
        <w:t>GameDev Area Czech s.r.o.</w:t>
      </w:r>
    </w:p>
    <w:p w:rsidR="0029340E" w:rsidRDefault="004B56E9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se sídlem: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Slovákova 279/11, 602 00 Brno</w:t>
      </w:r>
    </w:p>
    <w:p w:rsidR="0029340E" w:rsidRDefault="004B56E9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IČ: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021 73 298</w:t>
      </w:r>
    </w:p>
    <w:p w:rsidR="0029340E" w:rsidRDefault="004B56E9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DIČ: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CZ02173298</w:t>
      </w:r>
    </w:p>
    <w:p w:rsidR="0029340E" w:rsidRDefault="004B56E9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zapsána v OR: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vedeném Krajským soudem v Brně, oddíl C, vložka 94595</w:t>
      </w:r>
    </w:p>
    <w:p w:rsidR="0029340E" w:rsidRDefault="004B56E9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zastoupená: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645BA9">
        <w:rPr>
          <w:rFonts w:ascii="Times New Roman" w:eastAsia="Times New Roman" w:hAnsi="Times New Roman" w:cs="Times New Roman"/>
          <w:sz w:val="18"/>
          <w:szCs w:val="18"/>
        </w:rPr>
        <w:t>xxxxxxx</w:t>
      </w:r>
    </w:p>
    <w:p w:rsidR="0029340E" w:rsidRDefault="004B56E9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bankovní spojení: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Raiffeisenbank a.s., č.ú.: 8086324001/5500</w:t>
      </w:r>
    </w:p>
    <w:p w:rsidR="0029340E" w:rsidRDefault="004B56E9">
      <w:pPr>
        <w:tabs>
          <w:tab w:val="left" w:pos="2268"/>
        </w:tabs>
        <w:spacing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e-mail: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info@game-access.com</w:t>
      </w:r>
    </w:p>
    <w:p w:rsidR="0029340E" w:rsidRDefault="004B56E9">
      <w:pPr>
        <w:spacing w:after="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(„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poskytovatel</w:t>
      </w:r>
      <w:r>
        <w:rPr>
          <w:rFonts w:ascii="Times New Roman" w:eastAsia="Times New Roman" w:hAnsi="Times New Roman" w:cs="Times New Roman"/>
          <w:sz w:val="18"/>
          <w:szCs w:val="18"/>
        </w:rPr>
        <w:t>“)</w:t>
      </w:r>
    </w:p>
    <w:p w:rsidR="0029340E" w:rsidRDefault="004B56E9">
      <w:pPr>
        <w:spacing w:after="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(objednatel a poskytovatel dále též společně jako „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strany</w:t>
      </w:r>
      <w:r>
        <w:rPr>
          <w:rFonts w:ascii="Times New Roman" w:eastAsia="Times New Roman" w:hAnsi="Times New Roman" w:cs="Times New Roman"/>
          <w:sz w:val="18"/>
          <w:szCs w:val="18"/>
        </w:rPr>
        <w:t>“ nebo jednotlivě „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strana</w:t>
      </w:r>
      <w:r>
        <w:rPr>
          <w:rFonts w:ascii="Times New Roman" w:eastAsia="Times New Roman" w:hAnsi="Times New Roman" w:cs="Times New Roman"/>
          <w:sz w:val="18"/>
          <w:szCs w:val="18"/>
        </w:rPr>
        <w:t>“)</w:t>
      </w:r>
    </w:p>
    <w:p w:rsidR="0029340E" w:rsidRDefault="004B56E9">
      <w:pPr>
        <w:spacing w:after="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uzavírají v souladu s ust. § 1746 odst. 2. zákona č. 89/2012 Sb., občanský zákoník, v platném znění, tuto</w:t>
      </w:r>
    </w:p>
    <w:p w:rsidR="0029340E" w:rsidRDefault="004B56E9">
      <w:pPr>
        <w:spacing w:before="240"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Smlouvu o reklamě</w:t>
      </w:r>
    </w:p>
    <w:p w:rsidR="0029340E" w:rsidRDefault="004B56E9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(„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smlouva</w:t>
      </w:r>
      <w:r>
        <w:rPr>
          <w:rFonts w:ascii="Times New Roman" w:eastAsia="Times New Roman" w:hAnsi="Times New Roman" w:cs="Times New Roman"/>
          <w:sz w:val="18"/>
          <w:szCs w:val="18"/>
        </w:rPr>
        <w:t>“)</w:t>
      </w:r>
    </w:p>
    <w:p w:rsidR="0029340E" w:rsidRDefault="004B56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00" w:after="0" w:line="240" w:lineRule="auto"/>
        <w:ind w:left="0" w:hanging="11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Předmět smlouvy</w:t>
      </w:r>
    </w:p>
    <w:p w:rsidR="0029340E" w:rsidRDefault="004B56E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Poskytovatel se na základě této smlouvy zavazuje pro objednatele realizovat propagaci objednatele na webových stránkách poskytovatele a reklamních materiálech konference Game Access Conference '2</w:t>
      </w:r>
      <w:r>
        <w:rPr>
          <w:rFonts w:ascii="Times New Roman" w:eastAsia="Times New Roman" w:hAnsi="Times New Roman" w:cs="Times New Roman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která se bude konat ve dnech 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– </w:t>
      </w:r>
      <w:r>
        <w:rPr>
          <w:rFonts w:ascii="Times New Roman" w:eastAsia="Times New Roman" w:hAnsi="Times New Roman" w:cs="Times New Roman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 202</w:t>
      </w:r>
      <w:r>
        <w:rPr>
          <w:rFonts w:ascii="Times New Roman" w:eastAsia="Times New Roman" w:hAnsi="Times New Roman" w:cs="Times New Roman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v areálu BVV v Brně, Výstaviště 405/1, 603 00 Brno („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konference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“) v rozsahu uvedeném v této smlouvě, přičemž objednatel se zavazuje za reklamní služby uvedené v čl. II odst. 2 smlouvy („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služby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“) zaplatit poskytovateli dohodnutou cenu. </w:t>
      </w:r>
    </w:p>
    <w:p w:rsidR="0029340E" w:rsidRDefault="004B56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536"/>
        </w:tabs>
        <w:spacing w:before="200" w:after="0" w:line="240" w:lineRule="auto"/>
        <w:ind w:left="0" w:hanging="11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Specifikace poskytovaných reklamních služeb</w:t>
      </w:r>
    </w:p>
    <w:p w:rsidR="0029340E" w:rsidRDefault="004B56E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Objednatel se zavazuje zaslat své logo o velikosti nejméně 500x500 pixelů („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logo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“) elektronickou formou na e-mail poskytovatele ve lhůtě 7 dní ode dne podpisu této smlouvy. </w:t>
      </w:r>
    </w:p>
    <w:p w:rsidR="0029340E" w:rsidRDefault="004B56E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Poskytovatel se zavazuje: </w:t>
      </w:r>
    </w:p>
    <w:p w:rsidR="0029340E" w:rsidRDefault="004B56E9">
      <w:pPr>
        <w:numPr>
          <w:ilvl w:val="0"/>
          <w:numId w:val="8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poskytnout objednateli 2 Premium lístky na konferenci;</w:t>
      </w:r>
    </w:p>
    <w:p w:rsidR="0029340E" w:rsidRDefault="004B56E9">
      <w:pPr>
        <w:numPr>
          <w:ilvl w:val="0"/>
          <w:numId w:val="8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poskytnout objednateli 10 % slevu na nákup dalších lístků na konferenci; </w:t>
      </w:r>
    </w:p>
    <w:p w:rsidR="0029340E" w:rsidRDefault="004B56E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umožnit objednateli prezentaci jeho produktů formou rezervace stánku o velikosti 6 m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v místě konání konference. Poskytovatel zabezpečí výstavbu konstrukce včetně potisku vnitřní stěny stánku a umístění koberce. Součástí stánku je rovněž pronájem základního nábytku (2 stoličky a stůl)</w:t>
      </w:r>
      <w:r w:rsidR="0025143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a </w:t>
      </w:r>
      <w:r w:rsidR="0025143C" w:rsidRPr="0025143C">
        <w:rPr>
          <w:rFonts w:ascii="Times New Roman" w:eastAsia="Times New Roman" w:hAnsi="Times New Roman" w:cs="Times New Roman"/>
          <w:color w:val="000000"/>
          <w:sz w:val="18"/>
          <w:szCs w:val="18"/>
        </w:rPr>
        <w:t>pronájem TV s úhlopříčkou 50 palců na stojanu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Objednatel doručí poskytovateli podklad pro potisk stěny nejpozději do </w:t>
      </w:r>
      <w:r>
        <w:rPr>
          <w:rFonts w:ascii="Times New Roman" w:eastAsia="Times New Roman" w:hAnsi="Times New Roman" w:cs="Times New Roman"/>
          <w:sz w:val="18"/>
          <w:szCs w:val="18"/>
        </w:rPr>
        <w:t>30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 4. 202</w:t>
      </w:r>
      <w:r>
        <w:rPr>
          <w:rFonts w:ascii="Times New Roman" w:eastAsia="Times New Roman" w:hAnsi="Times New Roman" w:cs="Times New Roman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 V opačném případě není poskytovatel povinen potisk stěny zabezpečit;</w:t>
      </w:r>
    </w:p>
    <w:p w:rsidR="0029340E" w:rsidRDefault="004B56E9">
      <w:pPr>
        <w:numPr>
          <w:ilvl w:val="0"/>
          <w:numId w:val="8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umožnit objednateli umístit nanejvýš 2 pracovní pozice objednatele na Career Wall konference;</w:t>
      </w:r>
    </w:p>
    <w:p w:rsidR="0029340E" w:rsidRDefault="004B56E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umístit logo na úvodní stránce domény game-access.com  („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doména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“) včetně informací o objednateli, nejpozději do 3 dnů ode dne jejich doručení poskytovateli. Logo bude umístěno na doméně minimálně do 30. 6. 202</w:t>
      </w:r>
      <w:r>
        <w:rPr>
          <w:rFonts w:ascii="Times New Roman" w:eastAsia="Times New Roman" w:hAnsi="Times New Roman" w:cs="Times New Roman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; </w:t>
      </w:r>
    </w:p>
    <w:p w:rsidR="0029340E" w:rsidRDefault="004B56E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umístit logo na prezentační TV obrazovce v místě konání konference</w:t>
      </w:r>
    </w:p>
    <w:p w:rsidR="0029340E" w:rsidRDefault="004B56E9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umožnit objednateli umístit své, předem poskytovatelem schválené, reklamní předměty v dárkových taškách určených účastníkům konference. Výrobu reklamních předmětů zabezpečí objednatel na své náklady. Objednatel doručí schválené </w:t>
      </w: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reklamní předměty poskytovateli nejpozději do 19. 5. 2023. V opačném případě není poskytovatel povinen umístění reklamních předmětů zabezpečit.</w:t>
      </w:r>
    </w:p>
    <w:p w:rsidR="0029340E" w:rsidRDefault="004B56E9">
      <w:pPr>
        <w:numPr>
          <w:ilvl w:val="0"/>
          <w:numId w:val="8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zajistit možnost osobní prezentace programu Kreativní Evropa v délce 30 min objednatelem a to včetně technického zajištění prezentace</w:t>
      </w:r>
    </w:p>
    <w:p w:rsidR="0029340E" w:rsidRDefault="0029340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29340E" w:rsidRDefault="0029340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29340E" w:rsidRDefault="004B56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536"/>
        </w:tabs>
        <w:spacing w:before="200" w:after="0" w:line="240" w:lineRule="auto"/>
        <w:ind w:left="0" w:hanging="11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Cena a platební podmínky</w:t>
      </w:r>
    </w:p>
    <w:p w:rsidR="0029340E" w:rsidRDefault="004B56E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Cena za služby poskytnuté dle této smlouvy byla dohodou stran stanovena ve výši </w:t>
      </w:r>
      <w:r w:rsidR="00DB6E1D">
        <w:rPr>
          <w:rFonts w:ascii="Times New Roman" w:eastAsia="Times New Roman" w:hAnsi="Times New Roman" w:cs="Times New Roman"/>
          <w:sz w:val="18"/>
          <w:szCs w:val="18"/>
        </w:rPr>
        <w:t>xxxxxxx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a bude uhrazena na základě faktury vystavené poskytovatelem po podpisu této smlouvy se splatností patnáct (15) dnů ode dne jejího doručení na účet poskytovatele uvedený na faktuře. K ceně služeb bude připočtena daň z přidané hodnoty v aktuální platné výši.</w:t>
      </w:r>
    </w:p>
    <w:p w:rsidR="0029340E" w:rsidRDefault="004B56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536"/>
        </w:tabs>
        <w:spacing w:before="200" w:after="0" w:line="240" w:lineRule="auto"/>
        <w:ind w:left="0" w:hanging="11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Práva a povinnosti</w:t>
      </w:r>
    </w:p>
    <w:p w:rsidR="0029340E" w:rsidRDefault="004B56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Poskytovatel nemá právo poskytovat logo třetím osobám bez předchozího písemného souhlasu objednatele. Poskytovatel je oprávněn užít logo jen pro účely plnění této smlouvy.</w:t>
      </w:r>
    </w:p>
    <w:p w:rsidR="0029340E" w:rsidRDefault="004B56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Poskytovatel si vyhrazuje právo odstranit logo na dobu nezbytně nutnou k odstranění závady domény. Zároveň poskytovatel nenese odpovědnost za výpadky domény způsobené vyšší mocí. </w:t>
      </w:r>
    </w:p>
    <w:p w:rsidR="0029340E" w:rsidRDefault="004B56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536"/>
        </w:tabs>
        <w:spacing w:before="200" w:after="0" w:line="240" w:lineRule="auto"/>
        <w:ind w:left="0" w:hanging="11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Ukončení smlouvy</w:t>
      </w:r>
    </w:p>
    <w:p w:rsidR="0029340E" w:rsidRDefault="004B56E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Tato smlouva je uzavřena na dobu určitou do 30. 6. 202</w:t>
      </w:r>
      <w:r>
        <w:rPr>
          <w:rFonts w:ascii="Times New Roman" w:eastAsia="Times New Roman" w:hAnsi="Times New Roman" w:cs="Times New Roman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a nabývá platnosti a účinnosti dnem jejího podpisu oběma stranami.</w:t>
      </w:r>
    </w:p>
    <w:p w:rsidR="0029340E" w:rsidRDefault="004B56E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Smlouvu je možné předčasně ukončit dohodou stran.</w:t>
      </w:r>
    </w:p>
    <w:p w:rsidR="0029340E" w:rsidRDefault="004B56E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Poruší-li strana hrubě některá ustanovení této smlouvy, je druhá strana oprávněna od smlouvy odstoupit s okamžitou účinností, pokud strana porušující tuto smlouvu nezjedná nápravu ani do 15 dnů od doručení písemného upozornění druhé strany.</w:t>
      </w:r>
    </w:p>
    <w:p w:rsidR="0029340E" w:rsidRDefault="004B56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00" w:after="0" w:line="240" w:lineRule="auto"/>
        <w:ind w:left="0" w:hanging="11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Závěrečná ustanovení</w:t>
      </w:r>
    </w:p>
    <w:p w:rsidR="0029340E" w:rsidRDefault="004B56E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Smlouva byla vyhotovena ve dvou stejnopisech, přičemž každá strana obdrží po jednom vyhotovení.</w:t>
      </w:r>
    </w:p>
    <w:p w:rsidR="0029340E" w:rsidRDefault="004B56E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Tato smlouva se řídí právním řádem České republiky, především občanským zákoníkem. </w:t>
      </w:r>
    </w:p>
    <w:p w:rsidR="0029340E" w:rsidRDefault="004B56E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Tato smlouva může být měněna a doplňována pouze písemnými dodatky schválenými oběma stranami.</w:t>
      </w:r>
    </w:p>
    <w:p w:rsidR="0029340E" w:rsidRDefault="004B56E9">
      <w:pPr>
        <w:spacing w:before="240" w:after="2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Strany prohlašují, že si tuto smlouvu přečetly, že s jejím obsahem souhlasí a na důkaz toho k ní připojují své podpisy. </w:t>
      </w:r>
    </w:p>
    <w:tbl>
      <w:tblPr>
        <w:tblStyle w:val="a2"/>
        <w:tblW w:w="99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5103"/>
        <w:gridCol w:w="4820"/>
      </w:tblGrid>
      <w:tr w:rsidR="0029340E">
        <w:tc>
          <w:tcPr>
            <w:tcW w:w="5103" w:type="dxa"/>
          </w:tcPr>
          <w:p w:rsidR="0029340E" w:rsidRDefault="004B56E9">
            <w:pPr>
              <w:tabs>
                <w:tab w:val="left" w:pos="2268"/>
              </w:tabs>
              <w:spacing w:line="259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Kancelář Kreativní Evropa – MEDIA, Národní filmový archiv</w:t>
            </w:r>
          </w:p>
        </w:tc>
        <w:tc>
          <w:tcPr>
            <w:tcW w:w="4820" w:type="dxa"/>
          </w:tcPr>
          <w:p w:rsidR="0029340E" w:rsidRDefault="004B56E9">
            <w:pPr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GameDev Area Czech s.r.o.</w:t>
            </w:r>
          </w:p>
        </w:tc>
      </w:tr>
      <w:tr w:rsidR="0029340E">
        <w:trPr>
          <w:trHeight w:val="1260"/>
        </w:trPr>
        <w:tc>
          <w:tcPr>
            <w:tcW w:w="5103" w:type="dxa"/>
          </w:tcPr>
          <w:p w:rsidR="0029340E" w:rsidRDefault="004B56E9">
            <w:pPr>
              <w:spacing w:after="1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 Praze dne</w:t>
            </w:r>
          </w:p>
        </w:tc>
        <w:tc>
          <w:tcPr>
            <w:tcW w:w="4820" w:type="dxa"/>
          </w:tcPr>
          <w:p w:rsidR="0029340E" w:rsidRDefault="004B56E9">
            <w:pPr>
              <w:spacing w:after="10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 Brně dne</w:t>
            </w:r>
            <w:r w:rsidR="00E773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1. 3. 2023</w:t>
            </w:r>
          </w:p>
        </w:tc>
      </w:tr>
      <w:tr w:rsidR="0029340E">
        <w:tc>
          <w:tcPr>
            <w:tcW w:w="5103" w:type="dxa"/>
          </w:tcPr>
          <w:p w:rsidR="0029340E" w:rsidRDefault="00341F0E">
            <w:pPr>
              <w:ind w:right="8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pict>
                <v:rect id="_x0000_i1025" style="width:205.35pt;height:1.1pt" o:hrpct="470" o:hralign="center" o:hrstd="t" o:hr="t" fillcolor="#a0a0a0" stroked="f"/>
              </w:pict>
            </w:r>
          </w:p>
        </w:tc>
        <w:tc>
          <w:tcPr>
            <w:tcW w:w="4820" w:type="dxa"/>
          </w:tcPr>
          <w:p w:rsidR="0029340E" w:rsidRDefault="00341F0E">
            <w:pPr>
              <w:ind w:right="7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pict>
                <v:rect id="_x0000_i1026" style="width:244.85pt;height:1.1pt" o:hrpct="556" o:hralign="center" o:hrstd="t" o:hr="t" fillcolor="#a0a0a0" stroked="f"/>
              </w:pict>
            </w:r>
          </w:p>
        </w:tc>
      </w:tr>
      <w:tr w:rsidR="0029340E">
        <w:tc>
          <w:tcPr>
            <w:tcW w:w="5103" w:type="dxa"/>
          </w:tcPr>
          <w:p w:rsidR="0029340E" w:rsidRDefault="004B56E9">
            <w:pPr>
              <w:ind w:right="8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PhDr. Michal Bregant</w:t>
            </w:r>
          </w:p>
        </w:tc>
        <w:tc>
          <w:tcPr>
            <w:tcW w:w="4820" w:type="dxa"/>
          </w:tcPr>
          <w:p w:rsidR="0029340E" w:rsidRDefault="00645BA9">
            <w:pPr>
              <w:ind w:right="7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xxxxxx</w:t>
            </w:r>
          </w:p>
        </w:tc>
      </w:tr>
      <w:tr w:rsidR="0029340E">
        <w:tc>
          <w:tcPr>
            <w:tcW w:w="5103" w:type="dxa"/>
          </w:tcPr>
          <w:p w:rsidR="0029340E" w:rsidRDefault="004B56E9">
            <w:pPr>
              <w:ind w:right="8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ředitel</w:t>
            </w:r>
          </w:p>
        </w:tc>
        <w:tc>
          <w:tcPr>
            <w:tcW w:w="4820" w:type="dxa"/>
          </w:tcPr>
          <w:p w:rsidR="0029340E" w:rsidRDefault="00645BA9">
            <w:pPr>
              <w:ind w:right="7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xxxxxx</w:t>
            </w:r>
          </w:p>
        </w:tc>
      </w:tr>
    </w:tbl>
    <w:p w:rsidR="0029340E" w:rsidRDefault="0029340E">
      <w:pPr>
        <w:spacing w:before="240" w:after="240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eading=h.30j0zll" w:colFirst="0" w:colLast="0"/>
      <w:bookmarkEnd w:id="1"/>
    </w:p>
    <w:sectPr w:rsidR="0029340E" w:rsidSect="00BD2021">
      <w:headerReference w:type="default" r:id="rId11"/>
      <w:pgSz w:w="12240" w:h="15840"/>
      <w:pgMar w:top="2268" w:right="1134" w:bottom="1134" w:left="1560" w:header="568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D32" w:rsidRDefault="00CF5D32">
      <w:pPr>
        <w:spacing w:after="0" w:line="240" w:lineRule="auto"/>
      </w:pPr>
      <w:r>
        <w:separator/>
      </w:r>
    </w:p>
  </w:endnote>
  <w:endnote w:type="continuationSeparator" w:id="1">
    <w:p w:rsidR="00CF5D32" w:rsidRDefault="00CF5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D32" w:rsidRDefault="00CF5D32">
      <w:pPr>
        <w:spacing w:after="0" w:line="240" w:lineRule="auto"/>
      </w:pPr>
      <w:r>
        <w:separator/>
      </w:r>
    </w:p>
  </w:footnote>
  <w:footnote w:type="continuationSeparator" w:id="1">
    <w:p w:rsidR="00CF5D32" w:rsidRDefault="00CF5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40E" w:rsidRDefault="004B56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2268"/>
      <w:rPr>
        <w:rFonts w:ascii="Times New Roman" w:eastAsia="Times New Roman" w:hAnsi="Times New Roman" w:cs="Times New Roman"/>
        <w:b/>
        <w:color w:val="808080"/>
        <w:sz w:val="18"/>
        <w:szCs w:val="18"/>
      </w:rPr>
    </w:pPr>
    <w:r>
      <w:rPr>
        <w:rFonts w:ascii="Times New Roman" w:eastAsia="Times New Roman" w:hAnsi="Times New Roman" w:cs="Times New Roman"/>
        <w:b/>
        <w:color w:val="808080"/>
        <w:sz w:val="18"/>
        <w:szCs w:val="18"/>
      </w:rPr>
      <w:t>GameDev Area Czech s.r.o.</w:t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-328926</wp:posOffset>
          </wp:positionH>
          <wp:positionV relativeFrom="paragraph">
            <wp:posOffset>-88099</wp:posOffset>
          </wp:positionV>
          <wp:extent cx="1651635" cy="942975"/>
          <wp:effectExtent l="0" t="0" r="0" b="0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163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9340E" w:rsidRDefault="004B56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2268"/>
      <w:rPr>
        <w:rFonts w:ascii="Times New Roman" w:eastAsia="Times New Roman" w:hAnsi="Times New Roman" w:cs="Times New Roman"/>
        <w:color w:val="808080"/>
        <w:sz w:val="18"/>
        <w:szCs w:val="18"/>
      </w:rPr>
    </w:pPr>
    <w:r>
      <w:rPr>
        <w:rFonts w:ascii="Times New Roman" w:eastAsia="Times New Roman" w:hAnsi="Times New Roman" w:cs="Times New Roman"/>
        <w:color w:val="808080"/>
        <w:sz w:val="18"/>
        <w:szCs w:val="18"/>
      </w:rPr>
      <w:t>se sídlem na adrese: Slovákova 279/11, 602 00 Brno</w:t>
    </w:r>
  </w:p>
  <w:p w:rsidR="0029340E" w:rsidRDefault="004B56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2268"/>
      <w:rPr>
        <w:rFonts w:ascii="Times New Roman" w:eastAsia="Times New Roman" w:hAnsi="Times New Roman" w:cs="Times New Roman"/>
        <w:color w:val="808080"/>
        <w:sz w:val="18"/>
        <w:szCs w:val="18"/>
      </w:rPr>
    </w:pPr>
    <w:r>
      <w:rPr>
        <w:rFonts w:ascii="Times New Roman" w:eastAsia="Times New Roman" w:hAnsi="Times New Roman" w:cs="Times New Roman"/>
        <w:color w:val="808080"/>
        <w:sz w:val="18"/>
        <w:szCs w:val="18"/>
      </w:rPr>
      <w:t>IČ: 021 73 298, DIČ: CZ02173298</w:t>
    </w:r>
  </w:p>
  <w:p w:rsidR="0029340E" w:rsidRDefault="004B56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2268"/>
      <w:rPr>
        <w:rFonts w:ascii="Times New Roman" w:eastAsia="Times New Roman" w:hAnsi="Times New Roman" w:cs="Times New Roman"/>
        <w:color w:val="808080"/>
        <w:sz w:val="18"/>
        <w:szCs w:val="18"/>
      </w:rPr>
    </w:pPr>
    <w:r>
      <w:rPr>
        <w:rFonts w:ascii="Times New Roman" w:eastAsia="Times New Roman" w:hAnsi="Times New Roman" w:cs="Times New Roman"/>
        <w:color w:val="808080"/>
        <w:sz w:val="18"/>
        <w:szCs w:val="18"/>
      </w:rPr>
      <w:t>zapsaná v obchodním rejstříku vedeném Krajským soudem v Brně, oddíl C, vložka 94595</w:t>
    </w:r>
  </w:p>
  <w:p w:rsidR="0029340E" w:rsidRDefault="004B56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3828"/>
      </w:tabs>
      <w:spacing w:after="0" w:line="240" w:lineRule="auto"/>
      <w:ind w:left="2268"/>
      <w:rPr>
        <w:rFonts w:ascii="Times New Roman" w:eastAsia="Times New Roman" w:hAnsi="Times New Roman" w:cs="Times New Roman"/>
        <w:color w:val="808080"/>
        <w:sz w:val="18"/>
        <w:szCs w:val="18"/>
      </w:rPr>
    </w:pPr>
    <w:r>
      <w:rPr>
        <w:rFonts w:ascii="Times New Roman" w:eastAsia="Times New Roman" w:hAnsi="Times New Roman" w:cs="Times New Roman"/>
        <w:color w:val="808080"/>
        <w:sz w:val="18"/>
        <w:szCs w:val="18"/>
      </w:rPr>
      <w:t xml:space="preserve">bankovní spojení: </w:t>
    </w:r>
    <w:r>
      <w:rPr>
        <w:rFonts w:ascii="Times New Roman" w:eastAsia="Times New Roman" w:hAnsi="Times New Roman" w:cs="Times New Roman"/>
        <w:color w:val="808080"/>
        <w:sz w:val="18"/>
        <w:szCs w:val="18"/>
      </w:rPr>
      <w:tab/>
      <w:t>Raiffeisenbank a.s., č.ú.: 8086324001/5500</w:t>
    </w:r>
  </w:p>
  <w:p w:rsidR="0029340E" w:rsidRDefault="004B56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3828"/>
      </w:tabs>
      <w:spacing w:after="0" w:line="240" w:lineRule="auto"/>
      <w:ind w:left="2268"/>
      <w:rPr>
        <w:rFonts w:ascii="Times New Roman" w:eastAsia="Times New Roman" w:hAnsi="Times New Roman" w:cs="Times New Roman"/>
        <w:color w:val="808080"/>
        <w:sz w:val="18"/>
        <w:szCs w:val="18"/>
      </w:rPr>
    </w:pPr>
    <w:r>
      <w:rPr>
        <w:rFonts w:ascii="Times New Roman" w:eastAsia="Times New Roman" w:hAnsi="Times New Roman" w:cs="Times New Roman"/>
        <w:color w:val="808080"/>
        <w:sz w:val="18"/>
        <w:szCs w:val="18"/>
      </w:rPr>
      <w:tab/>
      <w:t>IBAN: CZ3955000000008086324001</w:t>
    </w:r>
  </w:p>
  <w:p w:rsidR="0029340E" w:rsidRDefault="00341F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2268"/>
        <w:tab w:val="left" w:pos="9923"/>
      </w:tabs>
      <w:spacing w:after="0" w:line="240" w:lineRule="auto"/>
      <w:rPr>
        <w:rFonts w:ascii="Times New Roman" w:eastAsia="Times New Roman" w:hAnsi="Times New Roman" w:cs="Times New Roman"/>
        <w:color w:val="808080"/>
        <w:sz w:val="18"/>
        <w:szCs w:val="18"/>
      </w:rPr>
    </w:pPr>
    <w:r>
      <w:pict>
        <v:rect id="_x0000_i1027" style="width:0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0315"/>
    <w:multiLevelType w:val="multilevel"/>
    <w:tmpl w:val="D736B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05F95"/>
    <w:multiLevelType w:val="multilevel"/>
    <w:tmpl w:val="46A0C3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87517"/>
    <w:multiLevelType w:val="multilevel"/>
    <w:tmpl w:val="A45007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56EBD"/>
    <w:multiLevelType w:val="multilevel"/>
    <w:tmpl w:val="0C740C3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F3934"/>
    <w:multiLevelType w:val="multilevel"/>
    <w:tmpl w:val="69A09C7A"/>
    <w:lvl w:ilvl="0">
      <w:start w:val="1"/>
      <w:numFmt w:val="upperRoman"/>
      <w:lvlText w:val="%1."/>
      <w:lvlJc w:val="left"/>
      <w:pPr>
        <w:ind w:left="3697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0444A"/>
    <w:multiLevelType w:val="multilevel"/>
    <w:tmpl w:val="1FF0B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10C54"/>
    <w:multiLevelType w:val="multilevel"/>
    <w:tmpl w:val="45706E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0393"/>
    <w:multiLevelType w:val="multilevel"/>
    <w:tmpl w:val="93EC4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29340E"/>
    <w:rsid w:val="000F2473"/>
    <w:rsid w:val="0025143C"/>
    <w:rsid w:val="00266468"/>
    <w:rsid w:val="0029340E"/>
    <w:rsid w:val="00341F0E"/>
    <w:rsid w:val="004B56E9"/>
    <w:rsid w:val="00645BA9"/>
    <w:rsid w:val="00773243"/>
    <w:rsid w:val="008B6063"/>
    <w:rsid w:val="00BD2021"/>
    <w:rsid w:val="00BF55A6"/>
    <w:rsid w:val="00CF5D32"/>
    <w:rsid w:val="00D320BE"/>
    <w:rsid w:val="00DB6E1D"/>
    <w:rsid w:val="00E7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2021"/>
  </w:style>
  <w:style w:type="paragraph" w:styleId="Nadpis1">
    <w:name w:val="heading 1"/>
    <w:basedOn w:val="Normln"/>
    <w:next w:val="Normln"/>
    <w:uiPriority w:val="9"/>
    <w:qFormat/>
    <w:rsid w:val="00BD202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BD20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BD20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BD202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BD2021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BD20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rsid w:val="00BD2021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7B3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340E"/>
  </w:style>
  <w:style w:type="paragraph" w:styleId="Zpat">
    <w:name w:val="footer"/>
    <w:basedOn w:val="Normln"/>
    <w:link w:val="ZpatChar"/>
    <w:uiPriority w:val="99"/>
    <w:unhideWhenUsed/>
    <w:rsid w:val="007B3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340E"/>
  </w:style>
  <w:style w:type="paragraph" w:styleId="Odstavecseseznamem">
    <w:name w:val="List Paragraph"/>
    <w:basedOn w:val="Normln"/>
    <w:uiPriority w:val="34"/>
    <w:qFormat/>
    <w:rsid w:val="00F278B5"/>
    <w:pPr>
      <w:spacing w:after="200" w:line="240" w:lineRule="auto"/>
      <w:ind w:left="720"/>
      <w:contextualSpacing/>
    </w:pPr>
    <w:rPr>
      <w:sz w:val="20"/>
      <w:lang w:val="sk-SK"/>
    </w:rPr>
  </w:style>
  <w:style w:type="table" w:styleId="Mkatabulky">
    <w:name w:val="Table Grid"/>
    <w:basedOn w:val="Normlntabulka"/>
    <w:uiPriority w:val="39"/>
    <w:rsid w:val="00467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itul">
    <w:name w:val="Subtitle"/>
    <w:basedOn w:val="Normln"/>
    <w:next w:val="Normln"/>
    <w:uiPriority w:val="11"/>
    <w:qFormat/>
    <w:rsid w:val="00BD20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rsid w:val="00BD20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Normlntabulka"/>
    <w:rsid w:val="00BD20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Normlntabulka"/>
    <w:rsid w:val="00BD20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Normlntabulka"/>
    <w:rsid w:val="00BD202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0kqmP0LH5Ztsp0W4ql2ffFMZ2vg==">AMUW2mXtTVoTSjMYpfbqNDRBIsPHm+BOQTOCAE1LcI4bytEzdtS47RY/Rs99e0RvBbP/R1OEf0P+x9HOofsTjkyNgX22WBcq6HT4LzGIrATgt9KGBQuhMh0fNMP6zdEe5B2e92trJXkc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929e96-4e0c-4b8c-b402-5747692292e1">
      <Terms xmlns="http://schemas.microsoft.com/office/infopath/2007/PartnerControls"/>
    </lcf76f155ced4ddcb4097134ff3c332f>
    <TaxCatchAll xmlns="a1b83faa-3ce2-4c13-a4b6-d8dc90d9f3b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19F95F53B3F0469C7D7CD3016A95CB" ma:contentTypeVersion="16" ma:contentTypeDescription="Vytvoří nový dokument" ma:contentTypeScope="" ma:versionID="1a6fe33901164b7af7d8dd7c95904214">
  <xsd:schema xmlns:xsd="http://www.w3.org/2001/XMLSchema" xmlns:xs="http://www.w3.org/2001/XMLSchema" xmlns:p="http://schemas.microsoft.com/office/2006/metadata/properties" xmlns:ns2="86929e96-4e0c-4b8c-b402-5747692292e1" xmlns:ns3="a1b83faa-3ce2-4c13-a4b6-d8dc90d9f3be" targetNamespace="http://schemas.microsoft.com/office/2006/metadata/properties" ma:root="true" ma:fieldsID="e52171bb8469f6ab26e56bbab4a000a2" ns2:_="" ns3:_="">
    <xsd:import namespace="86929e96-4e0c-4b8c-b402-5747692292e1"/>
    <xsd:import namespace="a1b83faa-3ce2-4c13-a4b6-d8dc90d9f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29e96-4e0c-4b8c-b402-574769229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963bf98-57c4-4760-a4ee-5cd875bb7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83faa-3ce2-4c13-a4b6-d8dc90d9f3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734989-f5d5-48b8-8905-bc4fd07334d2}" ma:internalName="TaxCatchAll" ma:showField="CatchAllData" ma:web="a1b83faa-3ce2-4c13-a4b6-d8dc90d9f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D33E200-2010-4335-B7B1-7D429FF16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711D89-7ADA-42FE-98E6-7E9C2B46AC5B}">
  <ds:schemaRefs>
    <ds:schemaRef ds:uri="http://schemas.microsoft.com/office/2006/metadata/properties"/>
    <ds:schemaRef ds:uri="http://schemas.microsoft.com/office/infopath/2007/PartnerControls"/>
    <ds:schemaRef ds:uri="86929e96-4e0c-4b8c-b402-5747692292e1"/>
    <ds:schemaRef ds:uri="a1b83faa-3ce2-4c13-a4b6-d8dc90d9f3be"/>
  </ds:schemaRefs>
</ds:datastoreItem>
</file>

<file path=customXml/itemProps4.xml><?xml version="1.0" encoding="utf-8"?>
<ds:datastoreItem xmlns:ds="http://schemas.openxmlformats.org/officeDocument/2006/customXml" ds:itemID="{D2B22869-04A5-469C-8ED7-19FB7C253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29e96-4e0c-4b8c-b402-5747692292e1"/>
    <ds:schemaRef ds:uri="a1b83faa-3ce2-4c13-a4b6-d8dc90d9f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719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Bartošková</dc:creator>
  <cp:lastModifiedBy>Hana Soudková</cp:lastModifiedBy>
  <cp:revision>4</cp:revision>
  <dcterms:created xsi:type="dcterms:W3CDTF">2023-03-13T15:33:00Z</dcterms:created>
  <dcterms:modified xsi:type="dcterms:W3CDTF">2023-03-27T09:21:00Z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0x0101002719F95F53B3F0469C7D7CD3016A95CB</vt:lpwstr>
  </property>
</Properties>
</file>