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0E" w:rsidRDefault="004B56E9">
      <w:pPr>
        <w:spacing w:before="120" w:after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SMLOUVA O REKLAMĚ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Korporace: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>Kancelář Kreativní Evropa – MEDIA, Národní filmový archiv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příspěvková organizace, zřizovatel MK ČR čj. 10.623/92, ve znění dodatku MK 28075/2011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 sídlem: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Malešická 2706/12, 130 00 Praha 3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IČ: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000 57 266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DIČ: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CZ00057266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zastoupená: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PhDr. Michalem Bregantem, ředitelem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bankovní spojení: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83337011/0710, Česká národní banka, Na Příkopě 28, 115 03 Praha 1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media@kreativnievropa.cz</w:t>
      </w:r>
    </w:p>
    <w:p w:rsidR="0029340E" w:rsidRDefault="0029340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objednatel</w:t>
      </w:r>
      <w:r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29340E" w:rsidRDefault="004B56E9">
      <w:pPr>
        <w:tabs>
          <w:tab w:val="left" w:pos="2268"/>
        </w:tabs>
        <w:spacing w:before="120" w:after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Korporace: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>GameDev Area Czech s.r.o.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 sídlem: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Slovákova 279/11, 602 00 Brno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IČ: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021 73 298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DIČ: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CZ02173298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zapsána v OR: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vedeném Krajským soudem v Brně, oddíl C, vložka 94595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zastoupená: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645BA9">
        <w:rPr>
          <w:rFonts w:ascii="Times New Roman" w:eastAsia="Times New Roman" w:hAnsi="Times New Roman" w:cs="Times New Roman"/>
          <w:sz w:val="18"/>
          <w:szCs w:val="18"/>
        </w:rPr>
        <w:t>xxxxxxx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bankovní spojení: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Raiffeisenbank a.s., č.ú.: 8086324001/5500</w:t>
      </w:r>
    </w:p>
    <w:p w:rsidR="0029340E" w:rsidRDefault="004B56E9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e-mail: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info@game-access.com</w:t>
      </w:r>
    </w:p>
    <w:p w:rsidR="0029340E" w:rsidRDefault="004B56E9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poskytovatel</w:t>
      </w:r>
      <w:r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29340E" w:rsidRDefault="004B56E9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(objednatel a poskytovatel dále též společně jako 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strany</w:t>
      </w:r>
      <w:r>
        <w:rPr>
          <w:rFonts w:ascii="Times New Roman" w:eastAsia="Times New Roman" w:hAnsi="Times New Roman" w:cs="Times New Roman"/>
          <w:sz w:val="18"/>
          <w:szCs w:val="18"/>
        </w:rPr>
        <w:t>“ nebo jednotlivě 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strana</w:t>
      </w:r>
      <w:r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29340E" w:rsidRDefault="004B56E9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uzavírají v souladu s ust. § 1746 odst. 2. zákona č. 89/2012 Sb., občanský zákoník, v platném znění, tuto</w:t>
      </w:r>
    </w:p>
    <w:p w:rsidR="0029340E" w:rsidRDefault="004B56E9">
      <w:pPr>
        <w:spacing w:before="240"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Smlouvu o reklamě</w:t>
      </w:r>
    </w:p>
    <w:p w:rsidR="0029340E" w:rsidRDefault="004B56E9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smlouva</w:t>
      </w:r>
      <w:r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Předmět smlouvy</w:t>
      </w:r>
    </w:p>
    <w:p w:rsidR="0029340E" w:rsidRDefault="004B56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Poskytovatel se na základě této smlouvy zavazuje pro objednatele realizovat propagaci objednatele na webových stránkách poskytovatele a reklamních materiálech konference Game Access Conference '2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která se bude konat ve dnech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–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202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 areálu BVV v Brně, Výstaviště 405/1, 603 00 Brno („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konference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“) v rozsahu uvedeném v této smlouvě, přičemž objednatel se zavazuje za reklamní služby uvedené v čl. II odst. 2 smlouvy („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služby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“) zaplatit poskytovateli dohodnutou cenu. </w:t>
      </w: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Specifikace poskytovaných reklamních služeb</w:t>
      </w:r>
    </w:p>
    <w:p w:rsidR="0029340E" w:rsidRDefault="004B56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Objednatel se zavazuje zaslat své logo o velikosti nejméně 500x500 pixelů („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logo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“) elektronickou formou na e-mail poskytovatele ve lhůtě 7 dní ode dne podpisu této smlouvy. </w:t>
      </w:r>
    </w:p>
    <w:p w:rsidR="0029340E" w:rsidRDefault="004B56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Poskytovatel se zavazuje: </w:t>
      </w:r>
    </w:p>
    <w:p w:rsidR="0029340E" w:rsidRDefault="004B56E9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poskytnout objednateli 2 Premium lístky na konferenci;</w:t>
      </w:r>
    </w:p>
    <w:p w:rsidR="0029340E" w:rsidRDefault="004B56E9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poskytnout objednateli 10 % slevu na nákup dalších lístků na konferenci; </w:t>
      </w:r>
    </w:p>
    <w:p w:rsidR="0029340E" w:rsidRDefault="004B56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umožnit objednateli prezentaci jeho produktů formou rezervace stánku o velikosti 6 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 místě konání konference. Poskytovatel zabezpečí výstavbu konstrukce včetně potisku vnitřní stěny stánku a umístění koberce. Součástí stánku je rovněž pronájem základního nábytku (2 stoličky a stůl)</w:t>
      </w:r>
      <w:r w:rsidR="002514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</w:t>
      </w:r>
      <w:r w:rsidR="0025143C" w:rsidRPr="0025143C">
        <w:rPr>
          <w:rFonts w:ascii="Times New Roman" w:eastAsia="Times New Roman" w:hAnsi="Times New Roman" w:cs="Times New Roman"/>
          <w:color w:val="000000"/>
          <w:sz w:val="18"/>
          <w:szCs w:val="18"/>
        </w:rPr>
        <w:t>pronájem TV s úhlopříčkou 50 palců na stojanu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Objednatel doručí poskytovateli podklad pro potisk stěny nejpozději do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 4. 202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V opačném případě není poskytovatel povinen potisk stěny zabezpečit;</w:t>
      </w:r>
    </w:p>
    <w:p w:rsidR="0029340E" w:rsidRDefault="004B56E9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umožnit objednateli umístit nanejvýš 2 pracovní pozice objednatele na Career Wall konference;</w:t>
      </w:r>
    </w:p>
    <w:p w:rsidR="0029340E" w:rsidRDefault="004B56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umístit logo na úvodní stránce domény game-access.com  („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doména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“) včetně informací o objednateli, nejpozději do 3 dnů ode dne jejich doručení poskytovateli. Logo bude umístěno na doméně minimálně do 30. 6. 202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29340E" w:rsidRDefault="004B56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umístit logo na prezentační TV obrazovce v místě konání konference</w:t>
      </w:r>
    </w:p>
    <w:p w:rsidR="0029340E" w:rsidRDefault="004B56E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umožnit objednateli umístit své, předem poskytovatelem schválené, reklamní předměty v dárkových taškách určených účastníkům konference. Výrobu reklamních předmětů zabezpečí objednatel na své náklady. Objednatel doručí schválené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reklamní předměty poskytovateli nejpozději do 19. 5. 2023. V opačném případě není poskytovatel povinen umístění reklamních předmětů zabezpečit.</w:t>
      </w:r>
    </w:p>
    <w:p w:rsidR="0029340E" w:rsidRDefault="004B56E9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zajistit možnost osobní prezentace programu Kreativní Evropa v délce 30 min objednatelem a to včetně technického zajištění prezentace</w:t>
      </w:r>
    </w:p>
    <w:p w:rsidR="0029340E" w:rsidRDefault="0029340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9340E" w:rsidRDefault="0029340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Cena a platební podmínky</w:t>
      </w:r>
    </w:p>
    <w:p w:rsidR="0029340E" w:rsidRDefault="004B56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Cena za služby poskytnuté dle této smlouvy byla dohodou stran stanovena ve výši </w:t>
      </w:r>
      <w:r w:rsidR="00DB6E1D">
        <w:rPr>
          <w:rFonts w:ascii="Times New Roman" w:eastAsia="Times New Roman" w:hAnsi="Times New Roman" w:cs="Times New Roman"/>
          <w:sz w:val="18"/>
          <w:szCs w:val="18"/>
        </w:rPr>
        <w:t>xxxxxxx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 bude uhrazena na základě faktury vystavené poskytovatelem po podpisu této smlouvy se splatností patnáct (15) dnů ode dne jejího doručení na účet poskytovatele uvedený na faktuře. K ceně služeb bude připočtena daň z přidané hodnoty v aktuální platné výši.</w:t>
      </w: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Práva a povinnosti</w:t>
      </w:r>
    </w:p>
    <w:p w:rsidR="0029340E" w:rsidRDefault="004B56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Poskytovatel nemá právo poskytovat logo třetím osobám bez předchozího písemného souhlasu objednatele. Poskytovatel je oprávněn užít logo jen pro účely plnění této smlouvy.</w:t>
      </w:r>
    </w:p>
    <w:p w:rsidR="0029340E" w:rsidRDefault="004B56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Poskytovatel si vyhrazuje právo odstranit logo na dobu nezbytně nutnou k odstranění závady domény. Zároveň poskytovatel nenese odpovědnost za výpadky domény způsobené vyšší mocí. </w:t>
      </w: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Ukončení smlouvy</w:t>
      </w:r>
    </w:p>
    <w:p w:rsidR="0029340E" w:rsidRDefault="004B5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Tato smlouva je uzavřena na dobu určitou do 30. 6. 202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nabývá platnosti a účinnosti dnem jejího podpisu oběma stranami.</w:t>
      </w:r>
    </w:p>
    <w:p w:rsidR="0029340E" w:rsidRDefault="004B5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Smlouvu je možné předčasně ukončit dohodou stran.</w:t>
      </w:r>
    </w:p>
    <w:p w:rsidR="0029340E" w:rsidRDefault="004B56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Poruší-li strana hrubě některá ustanovení této smlouvy, je druhá strana oprávněna od smlouvy odstoupit s okamžitou účinností, pokud strana porušující tuto smlouvu nezjedná nápravu ani do 15 dnů od doručení písemného upozornění druhé strany.</w:t>
      </w:r>
    </w:p>
    <w:p w:rsidR="0029340E" w:rsidRDefault="004B56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Závěrečná ustanovení</w:t>
      </w:r>
    </w:p>
    <w:p w:rsidR="0029340E" w:rsidRDefault="004B5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Smlouva byla vyhotovena ve dvou stejnopisech, přičemž každá strana obdrží po jednom vyhotovení.</w:t>
      </w:r>
    </w:p>
    <w:p w:rsidR="0029340E" w:rsidRDefault="004B5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Tato smlouva se řídí právním řádem České republiky, především občanským zákoníkem. </w:t>
      </w:r>
    </w:p>
    <w:p w:rsidR="0029340E" w:rsidRDefault="004B56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Tato smlouva může být měněna a doplňována pouze písemnými dodatky schválenými oběma stranami.</w:t>
      </w:r>
    </w:p>
    <w:p w:rsidR="0029340E" w:rsidRDefault="004B56E9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Strany prohlašují, že si tuto smlouvu přečetly, že s jejím obsahem souhlasí a na důkaz toho k ní připojují své podpisy. </w:t>
      </w:r>
    </w:p>
    <w:tbl>
      <w:tblPr>
        <w:tblStyle w:val="a2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03"/>
        <w:gridCol w:w="4820"/>
      </w:tblGrid>
      <w:tr w:rsidR="0029340E">
        <w:tc>
          <w:tcPr>
            <w:tcW w:w="5103" w:type="dxa"/>
          </w:tcPr>
          <w:p w:rsidR="0029340E" w:rsidRDefault="004B56E9">
            <w:pPr>
              <w:tabs>
                <w:tab w:val="left" w:pos="2268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Kancelář Kreativní Evropa – MEDIA, Národní filmový archiv</w:t>
            </w:r>
          </w:p>
        </w:tc>
        <w:tc>
          <w:tcPr>
            <w:tcW w:w="4820" w:type="dxa"/>
          </w:tcPr>
          <w:p w:rsidR="0029340E" w:rsidRDefault="004B56E9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GameDev Area Czech s.r.o.</w:t>
            </w:r>
          </w:p>
        </w:tc>
      </w:tr>
      <w:tr w:rsidR="0029340E">
        <w:trPr>
          <w:trHeight w:val="1260"/>
        </w:trPr>
        <w:tc>
          <w:tcPr>
            <w:tcW w:w="5103" w:type="dxa"/>
          </w:tcPr>
          <w:p w:rsidR="0029340E" w:rsidRDefault="004B56E9">
            <w:pPr>
              <w:spacing w:after="1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 Praze dne</w:t>
            </w:r>
          </w:p>
        </w:tc>
        <w:tc>
          <w:tcPr>
            <w:tcW w:w="4820" w:type="dxa"/>
          </w:tcPr>
          <w:p w:rsidR="0029340E" w:rsidRDefault="004B56E9">
            <w:pPr>
              <w:spacing w:after="1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 Brně dne</w:t>
            </w:r>
            <w:r w:rsidR="00E773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1. 3. 2023</w:t>
            </w:r>
          </w:p>
        </w:tc>
      </w:tr>
      <w:tr w:rsidR="0029340E">
        <w:tc>
          <w:tcPr>
            <w:tcW w:w="5103" w:type="dxa"/>
          </w:tcPr>
          <w:p w:rsidR="0029340E" w:rsidRDefault="00341F0E">
            <w:pPr>
              <w:ind w:right="8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>
                <v:rect id="_x0000_i1025" style="width:205.35pt;height:1.1pt" o:hrpct="470" o:hralign="center" o:hrstd="t" o:hr="t" fillcolor="#a0a0a0" stroked="f"/>
              </w:pict>
            </w:r>
          </w:p>
        </w:tc>
        <w:tc>
          <w:tcPr>
            <w:tcW w:w="4820" w:type="dxa"/>
          </w:tcPr>
          <w:p w:rsidR="0029340E" w:rsidRDefault="00341F0E">
            <w:pPr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>
                <v:rect id="_x0000_i1026" style="width:244.85pt;height:1.1pt" o:hrpct="556" o:hralign="center" o:hrstd="t" o:hr="t" fillcolor="#a0a0a0" stroked="f"/>
              </w:pict>
            </w:r>
          </w:p>
        </w:tc>
      </w:tr>
      <w:tr w:rsidR="0029340E">
        <w:tc>
          <w:tcPr>
            <w:tcW w:w="5103" w:type="dxa"/>
          </w:tcPr>
          <w:p w:rsidR="0029340E" w:rsidRDefault="004B56E9">
            <w:pPr>
              <w:ind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PhDr. Michal Bregant</w:t>
            </w:r>
          </w:p>
        </w:tc>
        <w:tc>
          <w:tcPr>
            <w:tcW w:w="4820" w:type="dxa"/>
          </w:tcPr>
          <w:p w:rsidR="0029340E" w:rsidRDefault="00645BA9">
            <w:pPr>
              <w:ind w:right="7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xxxxxx</w:t>
            </w:r>
          </w:p>
        </w:tc>
      </w:tr>
      <w:tr w:rsidR="0029340E">
        <w:tc>
          <w:tcPr>
            <w:tcW w:w="5103" w:type="dxa"/>
          </w:tcPr>
          <w:p w:rsidR="0029340E" w:rsidRDefault="004B56E9">
            <w:pPr>
              <w:ind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ředitel</w:t>
            </w:r>
          </w:p>
        </w:tc>
        <w:tc>
          <w:tcPr>
            <w:tcW w:w="4820" w:type="dxa"/>
          </w:tcPr>
          <w:p w:rsidR="0029340E" w:rsidRDefault="00645BA9">
            <w:pPr>
              <w:ind w:right="7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xxxxxx</w:t>
            </w:r>
          </w:p>
        </w:tc>
      </w:tr>
    </w:tbl>
    <w:p w:rsidR="0029340E" w:rsidRDefault="0029340E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30j0zll" w:colFirst="0" w:colLast="0"/>
      <w:bookmarkEnd w:id="1"/>
    </w:p>
    <w:sectPr w:rsidR="0029340E" w:rsidSect="00BD2021">
      <w:headerReference w:type="default" r:id="rId11"/>
      <w:pgSz w:w="12240" w:h="15840"/>
      <w:pgMar w:top="2268" w:right="1134" w:bottom="1134" w:left="1560" w:header="56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32" w:rsidRDefault="00CF5D32">
      <w:pPr>
        <w:spacing w:after="0" w:line="240" w:lineRule="auto"/>
      </w:pPr>
      <w:r>
        <w:separator/>
      </w:r>
    </w:p>
  </w:endnote>
  <w:endnote w:type="continuationSeparator" w:id="1">
    <w:p w:rsidR="00CF5D32" w:rsidRDefault="00CF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32" w:rsidRDefault="00CF5D32">
      <w:pPr>
        <w:spacing w:after="0" w:line="240" w:lineRule="auto"/>
      </w:pPr>
      <w:r>
        <w:separator/>
      </w:r>
    </w:p>
  </w:footnote>
  <w:footnote w:type="continuationSeparator" w:id="1">
    <w:p w:rsidR="00CF5D32" w:rsidRDefault="00CF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GameDev Area Czech s.r.o.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-328926</wp:posOffset>
          </wp:positionH>
          <wp:positionV relativeFrom="paragraph">
            <wp:posOffset>-88099</wp:posOffset>
          </wp:positionV>
          <wp:extent cx="1651635" cy="94297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63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se sídlem na adrese: Slovákova 279/11, 602 00 Brno</w:t>
    </w:r>
  </w:p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IČ: 021 73 298, DIČ: CZ02173298</w:t>
    </w:r>
  </w:p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zapsaná v obchodním rejstříku vedeném Krajským soudem v Brně, oddíl C, vložka 94595</w:t>
    </w:r>
  </w:p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8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bankovní spojení: </w:t>
    </w: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>Raiffeisenbank a.s., č.ú.: 8086324001/5500</w:t>
    </w:r>
  </w:p>
  <w:p w:rsidR="0029340E" w:rsidRDefault="004B5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8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>IBAN: CZ3955000000008086324001</w:t>
    </w:r>
  </w:p>
  <w:p w:rsidR="0029340E" w:rsidRDefault="00341F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2268"/>
        <w:tab w:val="left" w:pos="9923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315"/>
    <w:multiLevelType w:val="multilevel"/>
    <w:tmpl w:val="D736B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5F95"/>
    <w:multiLevelType w:val="multilevel"/>
    <w:tmpl w:val="46A0C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7517"/>
    <w:multiLevelType w:val="multilevel"/>
    <w:tmpl w:val="A450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6EBD"/>
    <w:multiLevelType w:val="multilevel"/>
    <w:tmpl w:val="0C740C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3934"/>
    <w:multiLevelType w:val="multilevel"/>
    <w:tmpl w:val="69A09C7A"/>
    <w:lvl w:ilvl="0">
      <w:start w:val="1"/>
      <w:numFmt w:val="upperRoman"/>
      <w:lvlText w:val="%1."/>
      <w:lvlJc w:val="left"/>
      <w:pPr>
        <w:ind w:left="369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444A"/>
    <w:multiLevelType w:val="multilevel"/>
    <w:tmpl w:val="1FF0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10C54"/>
    <w:multiLevelType w:val="multilevel"/>
    <w:tmpl w:val="45706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10393"/>
    <w:multiLevelType w:val="multilevel"/>
    <w:tmpl w:val="93EC4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9340E"/>
    <w:rsid w:val="000F2473"/>
    <w:rsid w:val="0025143C"/>
    <w:rsid w:val="00266468"/>
    <w:rsid w:val="0029340E"/>
    <w:rsid w:val="00341F0E"/>
    <w:rsid w:val="004B56E9"/>
    <w:rsid w:val="00645BA9"/>
    <w:rsid w:val="00773243"/>
    <w:rsid w:val="008B6063"/>
    <w:rsid w:val="00BD2021"/>
    <w:rsid w:val="00BF55A6"/>
    <w:rsid w:val="00CF5D32"/>
    <w:rsid w:val="00D320BE"/>
    <w:rsid w:val="00DB6E1D"/>
    <w:rsid w:val="00E7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021"/>
  </w:style>
  <w:style w:type="paragraph" w:styleId="Nadpis1">
    <w:name w:val="heading 1"/>
    <w:basedOn w:val="Normln"/>
    <w:next w:val="Normln"/>
    <w:uiPriority w:val="9"/>
    <w:qFormat/>
    <w:rsid w:val="00BD20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BD20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D20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D20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D202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D20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BD2021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7B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40E"/>
  </w:style>
  <w:style w:type="paragraph" w:styleId="Zpat">
    <w:name w:val="footer"/>
    <w:basedOn w:val="Normln"/>
    <w:link w:val="ZpatChar"/>
    <w:uiPriority w:val="99"/>
    <w:unhideWhenUsed/>
    <w:rsid w:val="007B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40E"/>
  </w:style>
  <w:style w:type="paragraph" w:styleId="Odstavecseseznamem">
    <w:name w:val="List Paragraph"/>
    <w:basedOn w:val="Normln"/>
    <w:uiPriority w:val="34"/>
    <w:qFormat/>
    <w:rsid w:val="00F278B5"/>
    <w:pPr>
      <w:spacing w:after="200" w:line="240" w:lineRule="auto"/>
      <w:ind w:left="720"/>
      <w:contextualSpacing/>
    </w:pPr>
    <w:rPr>
      <w:sz w:val="20"/>
      <w:lang w:val="sk-SK"/>
    </w:rPr>
  </w:style>
  <w:style w:type="table" w:styleId="Mkatabulky">
    <w:name w:val="Table Grid"/>
    <w:basedOn w:val="Normlntabulka"/>
    <w:uiPriority w:val="39"/>
    <w:rsid w:val="0046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uiPriority w:val="11"/>
    <w:qFormat/>
    <w:rsid w:val="00BD2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BD2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lntabulka"/>
    <w:rsid w:val="00BD2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lntabulka"/>
    <w:rsid w:val="00BD2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lntabulka"/>
    <w:rsid w:val="00BD20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kqmP0LH5Ztsp0W4ql2ffFMZ2vg==">AMUW2mXtTVoTSjMYpfbqNDRBIsPHm+BOQTOCAE1LcI4bytEzdtS47RY/Rs99e0RvBbP/R1OEf0P+x9HOofsTjkyNgX22WBcq6HT4LzGIrATgt9KGBQuhMh0fNMP6zdEe5B2e92trJXkc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29e96-4e0c-4b8c-b402-5747692292e1">
      <Terms xmlns="http://schemas.microsoft.com/office/infopath/2007/PartnerControls"/>
    </lcf76f155ced4ddcb4097134ff3c332f>
    <TaxCatchAll xmlns="a1b83faa-3ce2-4c13-a4b6-d8dc90d9f3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6" ma:contentTypeDescription="Vytvoří nový dokument" ma:contentTypeScope="" ma:versionID="1a6fe33901164b7af7d8dd7c95904214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e52171bb8469f6ab26e56bbab4a000a2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33E200-2010-4335-B7B1-7D429FF16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11D89-7ADA-42FE-98E6-7E9C2B46AC5B}">
  <ds:schemaRefs>
    <ds:schemaRef ds:uri="http://schemas.microsoft.com/office/2006/metadata/properties"/>
    <ds:schemaRef ds:uri="http://schemas.microsoft.com/office/infopath/2007/PartnerControls"/>
    <ds:schemaRef ds:uri="86929e96-4e0c-4b8c-b402-5747692292e1"/>
    <ds:schemaRef ds:uri="a1b83faa-3ce2-4c13-a4b6-d8dc90d9f3be"/>
  </ds:schemaRefs>
</ds:datastoreItem>
</file>

<file path=customXml/itemProps4.xml><?xml version="1.0" encoding="utf-8"?>
<ds:datastoreItem xmlns:ds="http://schemas.openxmlformats.org/officeDocument/2006/customXml" ds:itemID="{D2B22869-04A5-469C-8ED7-19FB7C25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Bartošková</dc:creator>
  <cp:lastModifiedBy>Hana Soudková</cp:lastModifiedBy>
  <cp:revision>4</cp:revision>
  <dcterms:created xsi:type="dcterms:W3CDTF">2023-03-13T15:33:00Z</dcterms:created>
  <dcterms:modified xsi:type="dcterms:W3CDTF">2023-03-27T09:21:00Z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