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9C" w:rsidRDefault="00F3211A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5211200085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3C499C" w:rsidRDefault="00F3211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3C499C" w:rsidRDefault="003C499C">
      <w:pPr>
        <w:pStyle w:val="Zkladntext"/>
        <w:ind w:left="0"/>
        <w:rPr>
          <w:sz w:val="60"/>
        </w:rPr>
      </w:pPr>
    </w:p>
    <w:p w:rsidR="003C499C" w:rsidRDefault="00F3211A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3C499C" w:rsidRDefault="003C499C">
      <w:pPr>
        <w:pStyle w:val="Zkladntext"/>
        <w:spacing w:before="1"/>
        <w:ind w:left="0"/>
      </w:pPr>
    </w:p>
    <w:p w:rsidR="003C499C" w:rsidRDefault="00F3211A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C499C" w:rsidRDefault="00F3211A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C499C" w:rsidRDefault="00F3211A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3C499C" w:rsidRDefault="00F3211A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3C499C" w:rsidRDefault="00F3211A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3C499C" w:rsidRDefault="00F3211A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C499C" w:rsidRDefault="00F3211A">
      <w:pPr>
        <w:pStyle w:val="Zkladntext"/>
        <w:tabs>
          <w:tab w:val="left" w:pos="3262"/>
        </w:tabs>
        <w:spacing w:before="3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3C499C" w:rsidRDefault="003C499C">
      <w:pPr>
        <w:pStyle w:val="Zkladntext"/>
        <w:spacing w:before="1"/>
        <w:ind w:left="0"/>
      </w:pPr>
    </w:p>
    <w:p w:rsidR="003C499C" w:rsidRDefault="00F3211A">
      <w:pPr>
        <w:pStyle w:val="Zkladntext"/>
        <w:spacing w:before="1"/>
        <w:ind w:left="382"/>
      </w:pPr>
      <w:r>
        <w:rPr>
          <w:w w:val="99"/>
        </w:rPr>
        <w:t>a</w:t>
      </w:r>
    </w:p>
    <w:p w:rsidR="003C499C" w:rsidRDefault="003C499C">
      <w:pPr>
        <w:pStyle w:val="Zkladntext"/>
        <w:ind w:left="0"/>
      </w:pPr>
    </w:p>
    <w:p w:rsidR="003C499C" w:rsidRDefault="00F3211A">
      <w:pPr>
        <w:pStyle w:val="Nadpis2"/>
        <w:jc w:val="left"/>
      </w:pPr>
      <w:r>
        <w:t>obec</w:t>
      </w:r>
      <w:r>
        <w:rPr>
          <w:spacing w:val="-8"/>
        </w:rPr>
        <w:t xml:space="preserve"> </w:t>
      </w:r>
      <w:r>
        <w:t>Kyškovice</w:t>
      </w:r>
    </w:p>
    <w:p w:rsidR="003C499C" w:rsidRDefault="00F3211A">
      <w:pPr>
        <w:pStyle w:val="Zkladntext"/>
        <w:tabs>
          <w:tab w:val="left" w:pos="3262"/>
        </w:tabs>
        <w:spacing w:before="3" w:line="237" w:lineRule="auto"/>
        <w:ind w:left="382" w:right="533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Kyškovice, Kyškovice č. p. 5, 413 01 Roudnice nad Labem</w:t>
      </w:r>
      <w:r>
        <w:rPr>
          <w:spacing w:val="-53"/>
        </w:rPr>
        <w:t xml:space="preserve"> </w:t>
      </w:r>
      <w:r>
        <w:t>IČO:</w:t>
      </w:r>
      <w:r>
        <w:tab/>
        <w:t>00263869</w:t>
      </w:r>
    </w:p>
    <w:p w:rsidR="003C499C" w:rsidRDefault="00F3211A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Ivanou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ě m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 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3C499C" w:rsidRDefault="00F3211A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C499C" w:rsidRDefault="00F3211A">
      <w:pPr>
        <w:pStyle w:val="Zkladntext"/>
        <w:tabs>
          <w:tab w:val="left" w:pos="3262"/>
        </w:tabs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94-4610471/0710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podpory")</w:t>
      </w:r>
    </w:p>
    <w:p w:rsidR="003C499C" w:rsidRDefault="003C499C">
      <w:pPr>
        <w:pStyle w:val="Zkladntext"/>
        <w:spacing w:before="1"/>
        <w:ind w:left="0"/>
      </w:pPr>
    </w:p>
    <w:p w:rsidR="003C499C" w:rsidRDefault="00F3211A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C499C" w:rsidRDefault="003C499C">
      <w:pPr>
        <w:pStyle w:val="Zkladntext"/>
        <w:spacing w:before="12"/>
        <w:ind w:left="0"/>
        <w:rPr>
          <w:sz w:val="35"/>
        </w:rPr>
      </w:pPr>
    </w:p>
    <w:p w:rsidR="003C499C" w:rsidRDefault="00F3211A">
      <w:pPr>
        <w:pStyle w:val="Nadpis1"/>
      </w:pPr>
      <w:r>
        <w:t>I.</w:t>
      </w:r>
    </w:p>
    <w:p w:rsidR="003C499C" w:rsidRDefault="00F3211A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C499C" w:rsidRDefault="003C499C">
      <w:pPr>
        <w:pStyle w:val="Zkladntext"/>
        <w:ind w:left="0"/>
        <w:rPr>
          <w:b/>
          <w:sz w:val="18"/>
        </w:rPr>
      </w:pPr>
    </w:p>
    <w:p w:rsidR="003C499C" w:rsidRDefault="00F3211A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C499C" w:rsidRDefault="00F3211A">
      <w:pPr>
        <w:pStyle w:val="Zkladntext"/>
        <w:spacing w:before="1"/>
        <w:ind w:right="131"/>
        <w:jc w:val="both"/>
      </w:pPr>
      <w:r>
        <w:t>„Smlouva“) se uzavírá na základě Rozhodnutí ministra životního prostředí č. 5211200085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3C499C" w:rsidRDefault="00F3211A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12/2021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C499C" w:rsidRDefault="003C499C">
      <w:pPr>
        <w:jc w:val="both"/>
        <w:rPr>
          <w:sz w:val="20"/>
        </w:rPr>
        <w:sectPr w:rsidR="003C499C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3C499C" w:rsidRDefault="00F3211A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C499C" w:rsidRDefault="00F3211A">
      <w:pPr>
        <w:pStyle w:val="Nadpis2"/>
        <w:spacing w:before="120"/>
        <w:ind w:left="2890"/>
        <w:jc w:val="left"/>
      </w:pPr>
      <w:r>
        <w:t>„Snížen</w:t>
      </w:r>
      <w:r>
        <w:t>í</w:t>
      </w:r>
      <w:r>
        <w:rPr>
          <w:spacing w:val="-3"/>
        </w:rPr>
        <w:t xml:space="preserve"> </w:t>
      </w:r>
      <w:r>
        <w:t>energetické</w:t>
      </w:r>
      <w:r>
        <w:rPr>
          <w:spacing w:val="-1"/>
        </w:rPr>
        <w:t xml:space="preserve"> </w:t>
      </w:r>
      <w:r>
        <w:t>náročnosti</w:t>
      </w:r>
      <w:r>
        <w:rPr>
          <w:spacing w:val="-2"/>
        </w:rPr>
        <w:t xml:space="preserve"> </w:t>
      </w:r>
      <w:r>
        <w:t>KD</w:t>
      </w:r>
      <w:r>
        <w:rPr>
          <w:spacing w:val="-3"/>
        </w:rPr>
        <w:t xml:space="preserve"> </w:t>
      </w:r>
      <w:r>
        <w:t>Kyškovice“</w:t>
      </w:r>
    </w:p>
    <w:p w:rsidR="003C499C" w:rsidRDefault="00F3211A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investiční.</w:t>
      </w:r>
    </w:p>
    <w:p w:rsidR="003C499C" w:rsidRDefault="003C499C">
      <w:pPr>
        <w:pStyle w:val="Zkladntext"/>
        <w:ind w:left="0"/>
        <w:rPr>
          <w:sz w:val="26"/>
        </w:rPr>
      </w:pPr>
    </w:p>
    <w:p w:rsidR="003C499C" w:rsidRDefault="003C499C">
      <w:pPr>
        <w:pStyle w:val="Zkladntext"/>
        <w:spacing w:before="2"/>
        <w:ind w:left="0"/>
        <w:rPr>
          <w:sz w:val="30"/>
        </w:rPr>
      </w:pPr>
    </w:p>
    <w:p w:rsidR="003C499C" w:rsidRDefault="00F3211A">
      <w:pPr>
        <w:pStyle w:val="Nadpis1"/>
      </w:pPr>
      <w:r>
        <w:t>II.</w:t>
      </w:r>
    </w:p>
    <w:p w:rsidR="003C499C" w:rsidRDefault="00F3211A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C499C" w:rsidRDefault="003C499C">
      <w:pPr>
        <w:pStyle w:val="Zkladntext"/>
        <w:spacing w:before="12"/>
        <w:ind w:left="0"/>
        <w:rPr>
          <w:b/>
          <w:sz w:val="17"/>
        </w:rPr>
      </w:pPr>
    </w:p>
    <w:p w:rsidR="003C499C" w:rsidRDefault="00F3211A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ind w:left="741" w:right="129"/>
        <w:rPr>
          <w:sz w:val="20"/>
        </w:rPr>
      </w:pPr>
      <w:r>
        <w:rPr>
          <w:sz w:val="20"/>
        </w:rPr>
        <w:t>Fond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zavazuje</w:t>
      </w:r>
      <w:r>
        <w:rPr>
          <w:spacing w:val="8"/>
          <w:sz w:val="20"/>
        </w:rPr>
        <w:t xml:space="preserve"> </w:t>
      </w:r>
      <w:r>
        <w:rPr>
          <w:sz w:val="20"/>
        </w:rPr>
        <w:t>poskytnout</w:t>
      </w:r>
      <w:r>
        <w:rPr>
          <w:spacing w:val="8"/>
          <w:sz w:val="20"/>
        </w:rPr>
        <w:t xml:space="preserve"> </w:t>
      </w:r>
      <w:r>
        <w:rPr>
          <w:sz w:val="20"/>
        </w:rPr>
        <w:t>příjemci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podporu</w:t>
      </w:r>
      <w:r>
        <w:rPr>
          <w:spacing w:val="9"/>
          <w:sz w:val="20"/>
        </w:rPr>
        <w:t xml:space="preserve"> </w:t>
      </w:r>
      <w:r>
        <w:rPr>
          <w:sz w:val="20"/>
        </w:rPr>
        <w:t>formou</w:t>
      </w:r>
      <w:r>
        <w:rPr>
          <w:spacing w:val="9"/>
          <w:sz w:val="20"/>
        </w:rPr>
        <w:t xml:space="preserve"> </w:t>
      </w:r>
      <w:r>
        <w:rPr>
          <w:sz w:val="20"/>
        </w:rPr>
        <w:t>dotace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15"/>
          <w:sz w:val="20"/>
        </w:rPr>
        <w:t xml:space="preserve"> </w:t>
      </w:r>
      <w:r>
        <w:rPr>
          <w:b/>
          <w:sz w:val="20"/>
        </w:rPr>
        <w:t>843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881,77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(slovy:</w:t>
      </w:r>
      <w:r>
        <w:rPr>
          <w:spacing w:val="-51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osm set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3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1"/>
          <w:sz w:val="20"/>
        </w:rPr>
        <w:t xml:space="preserve"> </w:t>
      </w:r>
      <w:r>
        <w:rPr>
          <w:sz w:val="20"/>
        </w:rPr>
        <w:t>sedm haléřů).</w:t>
      </w:r>
    </w:p>
    <w:p w:rsidR="003C499C" w:rsidRDefault="00F3211A">
      <w:pPr>
        <w:pStyle w:val="Odstavecseseznamem"/>
        <w:numPr>
          <w:ilvl w:val="0"/>
          <w:numId w:val="9"/>
        </w:numPr>
        <w:tabs>
          <w:tab w:val="left" w:pos="742"/>
        </w:tabs>
        <w:ind w:left="741" w:right="129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4"/>
          <w:sz w:val="20"/>
        </w:rPr>
        <w:t xml:space="preserve"> </w:t>
      </w:r>
      <w:r>
        <w:rPr>
          <w:sz w:val="20"/>
        </w:rPr>
        <w:t>výdajům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5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109</w:t>
      </w:r>
      <w:r>
        <w:rPr>
          <w:spacing w:val="1"/>
          <w:sz w:val="20"/>
        </w:rPr>
        <w:t xml:space="preserve"> </w:t>
      </w:r>
      <w:r>
        <w:rPr>
          <w:sz w:val="20"/>
        </w:rPr>
        <w:t>704,44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C499C" w:rsidRDefault="00F3211A">
      <w:pPr>
        <w:pStyle w:val="Odstavecseseznamem"/>
        <w:numPr>
          <w:ilvl w:val="0"/>
          <w:numId w:val="9"/>
        </w:numPr>
        <w:tabs>
          <w:tab w:val="left" w:pos="742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40,00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C499C" w:rsidRDefault="00F3211A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8"/>
          <w:sz w:val="20"/>
        </w:rPr>
        <w:t xml:space="preserve"> </w:t>
      </w: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odpovídající postupu realizace akce), uhradí příjemce podpory částku tohoto překročení </w:t>
      </w:r>
      <w:r>
        <w:rPr>
          <w:sz w:val="20"/>
        </w:rPr>
        <w:t>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3C499C" w:rsidRDefault="00F3211A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C499C" w:rsidRDefault="00F3211A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3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55"/>
          <w:sz w:val="20"/>
        </w:rPr>
        <w:t xml:space="preserve"> </w:t>
      </w:r>
      <w:r>
        <w:rPr>
          <w:sz w:val="20"/>
        </w:rPr>
        <w:t>lze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z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4"/>
          <w:sz w:val="20"/>
        </w:rPr>
        <w:t xml:space="preserve"> </w:t>
      </w:r>
      <w:r>
        <w:rPr>
          <w:sz w:val="20"/>
        </w:rPr>
        <w:t>Fondem</w:t>
      </w:r>
      <w:r>
        <w:rPr>
          <w:spacing w:val="55"/>
          <w:sz w:val="20"/>
        </w:rPr>
        <w:t xml:space="preserve"> </w:t>
      </w:r>
      <w:r>
        <w:rPr>
          <w:sz w:val="20"/>
        </w:rPr>
        <w:t>hradit</w:t>
      </w:r>
      <w:r>
        <w:rPr>
          <w:spacing w:val="55"/>
          <w:sz w:val="20"/>
        </w:rPr>
        <w:t xml:space="preserve"> </w:t>
      </w:r>
      <w:r>
        <w:rPr>
          <w:sz w:val="20"/>
        </w:rPr>
        <w:t>pouze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stavební</w:t>
      </w:r>
      <w:r>
        <w:rPr>
          <w:spacing w:val="54"/>
          <w:sz w:val="20"/>
        </w:rPr>
        <w:t xml:space="preserve"> </w:t>
      </w:r>
      <w:r>
        <w:rPr>
          <w:sz w:val="20"/>
        </w:rPr>
        <w:t>práce,</w:t>
      </w:r>
      <w:r>
        <w:rPr>
          <w:spacing w:val="55"/>
          <w:sz w:val="20"/>
        </w:rPr>
        <w:t xml:space="preserve"> </w:t>
      </w:r>
      <w:r>
        <w:rPr>
          <w:sz w:val="20"/>
        </w:rPr>
        <w:t>služby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C499C" w:rsidRDefault="00F3211A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3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3C499C" w:rsidRDefault="003C499C">
      <w:pPr>
        <w:pStyle w:val="Zkladntext"/>
        <w:spacing w:before="2"/>
        <w:ind w:left="0"/>
        <w:rPr>
          <w:sz w:val="36"/>
        </w:rPr>
      </w:pPr>
    </w:p>
    <w:p w:rsidR="003C499C" w:rsidRDefault="00F3211A">
      <w:pPr>
        <w:pStyle w:val="Nadpis1"/>
        <w:spacing w:before="1"/>
        <w:ind w:left="3415"/>
      </w:pPr>
      <w:r>
        <w:t>III.</w:t>
      </w:r>
    </w:p>
    <w:p w:rsidR="003C499C" w:rsidRDefault="00F3211A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3C499C" w:rsidRDefault="003C499C">
      <w:pPr>
        <w:pStyle w:val="Zkladntext"/>
        <w:spacing w:before="12"/>
        <w:ind w:left="0"/>
        <w:rPr>
          <w:b/>
          <w:sz w:val="17"/>
        </w:rPr>
      </w:pP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6"/>
          <w:sz w:val="20"/>
        </w:rPr>
        <w:t xml:space="preserve"> </w:t>
      </w:r>
      <w:r>
        <w:rPr>
          <w:sz w:val="20"/>
        </w:rPr>
        <w:t>bankovním</w:t>
      </w:r>
      <w:r>
        <w:rPr>
          <w:spacing w:val="11"/>
          <w:sz w:val="20"/>
        </w:rPr>
        <w:t xml:space="preserve"> </w:t>
      </w:r>
      <w:r>
        <w:rPr>
          <w:sz w:val="20"/>
        </w:rPr>
        <w:t>převodem</w:t>
      </w:r>
      <w:r>
        <w:rPr>
          <w:spacing w:val="1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C499C" w:rsidRDefault="003C499C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3C499C">
        <w:trPr>
          <w:trHeight w:val="506"/>
        </w:trPr>
        <w:tc>
          <w:tcPr>
            <w:tcW w:w="4532" w:type="dxa"/>
          </w:tcPr>
          <w:p w:rsidR="003C499C" w:rsidRDefault="00F3211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3C499C" w:rsidRDefault="00F3211A">
            <w:pPr>
              <w:pStyle w:val="TableParagraph"/>
              <w:spacing w:before="120"/>
              <w:ind w:left="43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3C499C">
        <w:trPr>
          <w:trHeight w:val="505"/>
        </w:trPr>
        <w:tc>
          <w:tcPr>
            <w:tcW w:w="4532" w:type="dxa"/>
          </w:tcPr>
          <w:p w:rsidR="003C499C" w:rsidRDefault="00F3211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3C499C" w:rsidRDefault="00F3211A">
            <w:pPr>
              <w:pStyle w:val="TableParagraph"/>
              <w:spacing w:before="120"/>
              <w:ind w:left="467"/>
              <w:rPr>
                <w:sz w:val="20"/>
              </w:rPr>
            </w:pPr>
            <w:r>
              <w:rPr>
                <w:w w:val="95"/>
                <w:sz w:val="20"/>
              </w:rPr>
              <w:t>843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881,77</w:t>
            </w:r>
          </w:p>
        </w:tc>
      </w:tr>
    </w:tbl>
    <w:p w:rsidR="003C499C" w:rsidRDefault="003C499C">
      <w:pPr>
        <w:rPr>
          <w:sz w:val="20"/>
        </w:rPr>
        <w:sectPr w:rsidR="003C499C">
          <w:pgSz w:w="12240" w:h="15840"/>
          <w:pgMar w:top="1060" w:right="1000" w:bottom="1660" w:left="1320" w:header="0" w:footer="1460" w:gutter="0"/>
          <w:cols w:space="708"/>
        </w:sectPr>
      </w:pP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Smlouvou,</w:t>
      </w:r>
      <w:r>
        <w:rPr>
          <w:spacing w:val="-5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některé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vážně</w:t>
      </w:r>
      <w:r>
        <w:rPr>
          <w:spacing w:val="-5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</w:t>
      </w:r>
      <w:r>
        <w:rPr>
          <w:sz w:val="20"/>
        </w:rPr>
        <w:t>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 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3C499C" w:rsidRDefault="00F3211A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3C499C" w:rsidRDefault="003C499C">
      <w:pPr>
        <w:jc w:val="both"/>
        <w:rPr>
          <w:sz w:val="20"/>
        </w:rPr>
        <w:sectPr w:rsidR="003C499C">
          <w:pgSz w:w="12240" w:h="15840"/>
          <w:pgMar w:top="1060" w:right="1000" w:bottom="1660" w:left="1320" w:header="0" w:footer="1460" w:gutter="0"/>
          <w:cols w:space="708"/>
        </w:sectPr>
      </w:pPr>
    </w:p>
    <w:p w:rsidR="003C499C" w:rsidRDefault="003C499C">
      <w:pPr>
        <w:pStyle w:val="Zkladntext"/>
        <w:ind w:left="0"/>
        <w:rPr>
          <w:sz w:val="26"/>
        </w:rPr>
      </w:pPr>
    </w:p>
    <w:p w:rsidR="003C499C" w:rsidRDefault="003C499C">
      <w:pPr>
        <w:pStyle w:val="Zkladntext"/>
        <w:spacing w:before="8"/>
        <w:ind w:left="0"/>
        <w:rPr>
          <w:sz w:val="37"/>
        </w:rPr>
      </w:pPr>
    </w:p>
    <w:p w:rsidR="003C499C" w:rsidRDefault="00F3211A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3C499C" w:rsidRDefault="00F3211A">
      <w:pPr>
        <w:spacing w:before="73"/>
        <w:ind w:left="251" w:right="2304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C499C" w:rsidRDefault="00F3211A">
      <w:pPr>
        <w:pStyle w:val="Nadpis2"/>
        <w:ind w:left="251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3C499C" w:rsidRDefault="003C499C">
      <w:pPr>
        <w:sectPr w:rsidR="003C499C">
          <w:pgSz w:w="12240" w:h="15840"/>
          <w:pgMar w:top="1060" w:right="1000" w:bottom="1660" w:left="1320" w:header="0" w:footer="1460" w:gutter="0"/>
          <w:cols w:num="2" w:space="708" w:equalWidth="0">
            <w:col w:w="2267" w:space="40"/>
            <w:col w:w="7613"/>
          </w:cols>
        </w:sectPr>
      </w:pP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C499C" w:rsidRDefault="00F3211A">
      <w:pPr>
        <w:pStyle w:val="Odstavecseseznamem"/>
        <w:numPr>
          <w:ilvl w:val="2"/>
          <w:numId w:val="7"/>
        </w:numPr>
        <w:tabs>
          <w:tab w:val="left" w:pos="1090"/>
        </w:tabs>
        <w:ind w:right="136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52"/>
          <w:sz w:val="20"/>
        </w:rPr>
        <w:t xml:space="preserve"> </w:t>
      </w:r>
      <w:r>
        <w:rPr>
          <w:sz w:val="20"/>
        </w:rPr>
        <w:t>dokumentací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1"/>
          <w:sz w:val="20"/>
        </w:rPr>
        <w:t xml:space="preserve"> </w:t>
      </w:r>
      <w:r>
        <w:rPr>
          <w:sz w:val="20"/>
        </w:rPr>
        <w:t>změn,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předloženým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posouzením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odsouhlasených 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Smlouvou,</w:t>
      </w:r>
    </w:p>
    <w:p w:rsidR="003C499C" w:rsidRDefault="00F3211A">
      <w:pPr>
        <w:pStyle w:val="Odstavecseseznamem"/>
        <w:numPr>
          <w:ilvl w:val="2"/>
          <w:numId w:val="7"/>
        </w:numPr>
        <w:tabs>
          <w:tab w:val="left" w:pos="1090"/>
        </w:tabs>
        <w:spacing w:before="118"/>
        <w:ind w:right="128"/>
        <w:rPr>
          <w:sz w:val="20"/>
        </w:rPr>
      </w:pPr>
      <w:r>
        <w:rPr>
          <w:sz w:val="20"/>
        </w:rPr>
        <w:t>dojde k zateplení obvodového pláště budovy kulturního domu v Kyškovicích (p. č. st. 100/1 k. ú.</w:t>
      </w:r>
      <w:r>
        <w:rPr>
          <w:spacing w:val="1"/>
          <w:sz w:val="20"/>
        </w:rPr>
        <w:t xml:space="preserve"> </w:t>
      </w:r>
      <w:r>
        <w:rPr>
          <w:sz w:val="20"/>
        </w:rPr>
        <w:t>Kyškovice), výměně starých výplní otvorů a zateplení stropu. Dále dojde k vyregulování otopné</w:t>
      </w:r>
      <w:r>
        <w:rPr>
          <w:spacing w:val="1"/>
          <w:sz w:val="20"/>
        </w:rPr>
        <w:t xml:space="preserve"> </w:t>
      </w:r>
      <w:r>
        <w:rPr>
          <w:sz w:val="20"/>
        </w:rPr>
        <w:t>sou</w:t>
      </w:r>
      <w:r>
        <w:rPr>
          <w:sz w:val="20"/>
        </w:rPr>
        <w:t>stavy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zavedení</w:t>
      </w:r>
      <w:r>
        <w:rPr>
          <w:spacing w:val="2"/>
          <w:sz w:val="20"/>
        </w:rPr>
        <w:t xml:space="preserve"> </w:t>
      </w:r>
      <w:r>
        <w:rPr>
          <w:sz w:val="20"/>
        </w:rPr>
        <w:t>energetického</w:t>
      </w:r>
      <w:r>
        <w:rPr>
          <w:spacing w:val="2"/>
          <w:sz w:val="20"/>
        </w:rPr>
        <w:t xml:space="preserve"> </w:t>
      </w:r>
      <w:r>
        <w:rPr>
          <w:sz w:val="20"/>
        </w:rPr>
        <w:t>managementu.</w:t>
      </w:r>
    </w:p>
    <w:p w:rsidR="003C499C" w:rsidRDefault="00F3211A">
      <w:pPr>
        <w:pStyle w:val="Odstavecseseznamem"/>
        <w:numPr>
          <w:ilvl w:val="2"/>
          <w:numId w:val="7"/>
        </w:numPr>
        <w:tabs>
          <w:tab w:val="left" w:pos="1090"/>
        </w:tabs>
        <w:spacing w:before="122"/>
        <w:ind w:right="136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3C499C" w:rsidRDefault="003C499C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682"/>
        <w:gridCol w:w="1838"/>
        <w:gridCol w:w="1762"/>
      </w:tblGrid>
      <w:tr w:rsidR="003C499C">
        <w:trPr>
          <w:trHeight w:val="506"/>
        </w:trPr>
        <w:tc>
          <w:tcPr>
            <w:tcW w:w="3545" w:type="dxa"/>
          </w:tcPr>
          <w:p w:rsidR="003C499C" w:rsidRDefault="00F3211A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2" w:type="dxa"/>
          </w:tcPr>
          <w:p w:rsidR="003C499C" w:rsidRDefault="00F3211A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38" w:type="dxa"/>
          </w:tcPr>
          <w:p w:rsidR="003C499C" w:rsidRDefault="00F3211A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62" w:type="dxa"/>
          </w:tcPr>
          <w:p w:rsidR="003C499C" w:rsidRDefault="00F3211A"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3C499C">
        <w:trPr>
          <w:trHeight w:val="505"/>
        </w:trPr>
        <w:tc>
          <w:tcPr>
            <w:tcW w:w="3545" w:type="dxa"/>
          </w:tcPr>
          <w:p w:rsidR="003C499C" w:rsidRDefault="00F3211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2" w:type="dxa"/>
          </w:tcPr>
          <w:p w:rsidR="003C499C" w:rsidRDefault="00F3211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38" w:type="dxa"/>
          </w:tcPr>
          <w:p w:rsidR="003C499C" w:rsidRDefault="00F3211A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18.53</w:t>
            </w:r>
          </w:p>
        </w:tc>
        <w:tc>
          <w:tcPr>
            <w:tcW w:w="1762" w:type="dxa"/>
          </w:tcPr>
          <w:p w:rsidR="003C499C" w:rsidRDefault="00F3211A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10.72</w:t>
            </w:r>
          </w:p>
        </w:tc>
      </w:tr>
      <w:tr w:rsidR="003C499C">
        <w:trPr>
          <w:trHeight w:val="506"/>
        </w:trPr>
        <w:tc>
          <w:tcPr>
            <w:tcW w:w="3545" w:type="dxa"/>
          </w:tcPr>
          <w:p w:rsidR="003C499C" w:rsidRDefault="00F3211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82" w:type="dxa"/>
          </w:tcPr>
          <w:p w:rsidR="003C499C" w:rsidRDefault="00F3211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3C499C" w:rsidRDefault="00F3211A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202.20</w:t>
            </w:r>
          </w:p>
        </w:tc>
        <w:tc>
          <w:tcPr>
            <w:tcW w:w="1762" w:type="dxa"/>
          </w:tcPr>
          <w:p w:rsidR="003C499C" w:rsidRDefault="00F3211A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127.21</w:t>
            </w:r>
          </w:p>
        </w:tc>
      </w:tr>
      <w:tr w:rsidR="003C499C">
        <w:trPr>
          <w:trHeight w:val="532"/>
        </w:trPr>
        <w:tc>
          <w:tcPr>
            <w:tcW w:w="3545" w:type="dxa"/>
          </w:tcPr>
          <w:p w:rsidR="003C499C" w:rsidRDefault="00F3211A">
            <w:pPr>
              <w:pStyle w:val="TableParagraph"/>
              <w:spacing w:line="264" w:lineRule="exact"/>
              <w:ind w:left="388" w:right="859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2" w:type="dxa"/>
          </w:tcPr>
          <w:p w:rsidR="003C499C" w:rsidRDefault="00F3211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3C499C" w:rsidRDefault="00F3211A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254.05</w:t>
            </w:r>
          </w:p>
        </w:tc>
        <w:tc>
          <w:tcPr>
            <w:tcW w:w="1762" w:type="dxa"/>
          </w:tcPr>
          <w:p w:rsidR="003C499C" w:rsidRDefault="00F3211A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153.22</w:t>
            </w:r>
          </w:p>
        </w:tc>
      </w:tr>
    </w:tbl>
    <w:p w:rsidR="003C499C" w:rsidRDefault="003C499C">
      <w:pPr>
        <w:pStyle w:val="Zkladntext"/>
        <w:spacing w:before="12"/>
        <w:ind w:left="0"/>
        <w:rPr>
          <w:sz w:val="28"/>
        </w:rPr>
      </w:pPr>
    </w:p>
    <w:p w:rsidR="003C499C" w:rsidRDefault="00F3211A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0"/>
        <w:ind w:left="106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13.1</w:t>
      </w:r>
      <w:r>
        <w:rPr>
          <w:spacing w:val="-2"/>
          <w:sz w:val="20"/>
        </w:rPr>
        <w:t xml:space="preserve"> </w:t>
      </w:r>
      <w:r>
        <w:rPr>
          <w:sz w:val="20"/>
        </w:rPr>
        <w:t>písm. g)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C499C" w:rsidRDefault="00F3211A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ind w:left="1063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C499C" w:rsidRDefault="00F3211A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poznámky</w:t>
      </w:r>
      <w:r>
        <w:rPr>
          <w:spacing w:val="-1"/>
          <w:sz w:val="20"/>
        </w:rPr>
        <w:t xml:space="preserve"> </w:t>
      </w:r>
      <w:r>
        <w:rPr>
          <w:sz w:val="20"/>
        </w:rPr>
        <w:t>pod čarou č.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Výzvy),</w:t>
      </w:r>
    </w:p>
    <w:p w:rsidR="003C499C" w:rsidRDefault="00F3211A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C499C" w:rsidRDefault="00F3211A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podle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C499C" w:rsidRDefault="00F3211A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3C499C" w:rsidRDefault="00F3211A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C499C" w:rsidRDefault="00F3211A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132" w:hanging="286"/>
        <w:rPr>
          <w:sz w:val="20"/>
        </w:rPr>
      </w:pPr>
      <w:r>
        <w:rPr>
          <w:sz w:val="20"/>
        </w:rPr>
        <w:t>termín dokončení akce do konce 02/2023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1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(termínem</w:t>
      </w:r>
      <w:r>
        <w:rPr>
          <w:spacing w:val="-1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datum</w:t>
      </w:r>
      <w:r>
        <w:rPr>
          <w:spacing w:val="-13"/>
          <w:sz w:val="20"/>
        </w:rPr>
        <w:t xml:space="preserve"> </w:t>
      </w:r>
      <w:r>
        <w:rPr>
          <w:sz w:val="20"/>
        </w:rPr>
        <w:t>uvedení</w:t>
      </w:r>
      <w:r>
        <w:rPr>
          <w:spacing w:val="-13"/>
          <w:sz w:val="20"/>
        </w:rPr>
        <w:t xml:space="preserve"> </w:t>
      </w:r>
      <w:r>
        <w:rPr>
          <w:sz w:val="20"/>
        </w:rPr>
        <w:t>stavby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trvalému</w:t>
      </w:r>
      <w:r>
        <w:rPr>
          <w:spacing w:val="-12"/>
          <w:sz w:val="20"/>
        </w:rPr>
        <w:t xml:space="preserve"> </w:t>
      </w:r>
      <w:r>
        <w:rPr>
          <w:sz w:val="20"/>
        </w:rPr>
        <w:t>provozu,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zákonem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7"/>
          <w:sz w:val="20"/>
        </w:rPr>
        <w:t xml:space="preserve"> </w:t>
      </w:r>
      <w:r>
        <w:rPr>
          <w:sz w:val="20"/>
        </w:rPr>
        <w:t>183/2006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uzemním</w:t>
      </w:r>
      <w:r>
        <w:rPr>
          <w:spacing w:val="15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stavebním</w:t>
      </w:r>
      <w:r>
        <w:rPr>
          <w:spacing w:val="15"/>
          <w:sz w:val="20"/>
        </w:rPr>
        <w:t xml:space="preserve"> </w:t>
      </w:r>
      <w:r>
        <w:rPr>
          <w:sz w:val="20"/>
        </w:rPr>
        <w:t>řádu</w:t>
      </w:r>
      <w:r>
        <w:rPr>
          <w:spacing w:val="19"/>
          <w:sz w:val="20"/>
        </w:rPr>
        <w:t xml:space="preserve"> </w:t>
      </w:r>
      <w:r>
        <w:rPr>
          <w:sz w:val="20"/>
        </w:rPr>
        <w:t>(stavební</w:t>
      </w:r>
      <w:r>
        <w:rPr>
          <w:spacing w:val="16"/>
          <w:sz w:val="20"/>
        </w:rPr>
        <w:t xml:space="preserve"> </w:t>
      </w:r>
      <w:r>
        <w:rPr>
          <w:sz w:val="20"/>
        </w:rPr>
        <w:t>zákon),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platném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(kolaudační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souhlas,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doložení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oslovení</w:t>
      </w:r>
      <w:r>
        <w:rPr>
          <w:spacing w:val="-13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10"/>
          <w:sz w:val="20"/>
        </w:rPr>
        <w:t xml:space="preserve"> </w:t>
      </w:r>
      <w:r>
        <w:rPr>
          <w:sz w:val="20"/>
        </w:rPr>
        <w:t>úřadu,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písemný</w:t>
      </w:r>
      <w:r>
        <w:rPr>
          <w:spacing w:val="-12"/>
          <w:sz w:val="20"/>
        </w:rPr>
        <w:t xml:space="preserve"> </w:t>
      </w:r>
      <w:r>
        <w:rPr>
          <w:sz w:val="20"/>
        </w:rPr>
        <w:t>souhlas,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stavbu</w:t>
      </w:r>
      <w:r>
        <w:rPr>
          <w:spacing w:val="1"/>
          <w:sz w:val="20"/>
        </w:rPr>
        <w:t xml:space="preserve"> </w:t>
      </w:r>
      <w:r>
        <w:rPr>
          <w:sz w:val="20"/>
        </w:rPr>
        <w:t>lze</w:t>
      </w:r>
      <w:r>
        <w:rPr>
          <w:spacing w:val="-1"/>
          <w:sz w:val="20"/>
        </w:rPr>
        <w:t xml:space="preserve"> </w:t>
      </w:r>
      <w:r>
        <w:rPr>
          <w:sz w:val="20"/>
        </w:rPr>
        <w:t>užívat).</w:t>
      </w:r>
    </w:p>
    <w:p w:rsidR="003C499C" w:rsidRDefault="003C499C">
      <w:pPr>
        <w:jc w:val="both"/>
        <w:rPr>
          <w:sz w:val="20"/>
        </w:rPr>
        <w:sectPr w:rsidR="003C499C">
          <w:type w:val="continuous"/>
          <w:pgSz w:w="12240" w:h="15840"/>
          <w:pgMar w:top="1060" w:right="1000" w:bottom="1660" w:left="1320" w:header="0" w:footer="1460" w:gutter="0"/>
          <w:cols w:space="708"/>
        </w:sectPr>
      </w:pP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2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05/2023</w:t>
      </w:r>
      <w:r>
        <w:rPr>
          <w:spacing w:val="2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7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</w:t>
      </w:r>
      <w:r>
        <w:rPr>
          <w:spacing w:val="1"/>
          <w:sz w:val="20"/>
        </w:rPr>
        <w:t xml:space="preserve"> </w:t>
      </w:r>
      <w:r>
        <w:rPr>
          <w:sz w:val="20"/>
        </w:rPr>
        <w:t>bodu 15.4</w:t>
      </w:r>
      <w:r>
        <w:rPr>
          <w:spacing w:val="2"/>
          <w:sz w:val="20"/>
        </w:rPr>
        <w:t xml:space="preserve"> </w:t>
      </w:r>
      <w:r>
        <w:rPr>
          <w:sz w:val="20"/>
        </w:rPr>
        <w:t>Výzvy.</w:t>
      </w:r>
    </w:p>
    <w:p w:rsidR="003C499C" w:rsidRDefault="00F3211A">
      <w:pPr>
        <w:pStyle w:val="Zkladntext"/>
        <w:spacing w:before="121"/>
        <w:ind w:left="948" w:right="131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3C499C" w:rsidRDefault="00F3211A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</w:t>
      </w:r>
      <w:r>
        <w:rPr>
          <w:sz w:val="20"/>
        </w:rPr>
        <w:t>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</w:t>
      </w:r>
      <w:r>
        <w:rPr>
          <w:sz w:val="20"/>
        </w:rPr>
        <w:t>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1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3C499C" w:rsidRDefault="00F3211A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3C499C" w:rsidRDefault="003C499C">
      <w:pPr>
        <w:jc w:val="both"/>
        <w:rPr>
          <w:sz w:val="20"/>
        </w:rPr>
        <w:sectPr w:rsidR="003C499C">
          <w:pgSz w:w="12240" w:h="15840"/>
          <w:pgMar w:top="1060" w:right="1000" w:bottom="1660" w:left="1320" w:header="0" w:footer="1460" w:gutter="0"/>
          <w:cols w:space="708"/>
        </w:sectPr>
      </w:pPr>
    </w:p>
    <w:p w:rsidR="003C499C" w:rsidRDefault="00F3211A">
      <w:pPr>
        <w:pStyle w:val="Nadpis1"/>
        <w:spacing w:before="73"/>
        <w:ind w:left="3414"/>
      </w:pPr>
      <w:r>
        <w:lastRenderedPageBreak/>
        <w:t>V.</w:t>
      </w:r>
    </w:p>
    <w:p w:rsidR="003C499C" w:rsidRDefault="00F3211A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C499C" w:rsidRDefault="003C499C">
      <w:pPr>
        <w:pStyle w:val="Zkladntext"/>
        <w:spacing w:before="1"/>
        <w:ind w:left="0"/>
        <w:rPr>
          <w:b/>
          <w:sz w:val="18"/>
        </w:rPr>
      </w:pPr>
    </w:p>
    <w:p w:rsidR="003C499C" w:rsidRDefault="00F3211A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3C499C" w:rsidRDefault="00F3211A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2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d),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3C499C" w:rsidRDefault="00F3211A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 xml:space="preserve"> </w:t>
      </w:r>
      <w:r>
        <w:rPr>
          <w:sz w:val="20"/>
        </w:rPr>
        <w:t>odrá</w:t>
      </w:r>
      <w:r>
        <w:rPr>
          <w:sz w:val="20"/>
        </w:rPr>
        <w:t>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4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50-89,99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"/>
          <w:sz w:val="20"/>
        </w:rPr>
        <w:t xml:space="preserve"> </w:t>
      </w:r>
      <w:r>
        <w:rPr>
          <w:sz w:val="20"/>
        </w:rPr>
        <w:t>bude toto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2"/>
          <w:sz w:val="20"/>
        </w:rPr>
        <w:t xml:space="preserve"> </w:t>
      </w:r>
      <w:r>
        <w:rPr>
          <w:sz w:val="20"/>
        </w:rPr>
        <w:t>10-50</w:t>
      </w:r>
    </w:p>
    <w:p w:rsidR="003C499C" w:rsidRDefault="00F3211A">
      <w:pPr>
        <w:pStyle w:val="Zkladntext"/>
        <w:ind w:right="131"/>
        <w:jc w:val="both"/>
      </w:pPr>
      <w:r>
        <w:t>% z poskytnuté podpory v závislosti na míře porušení stanovených indikátorů účelu akce. Plnění účelu</w:t>
      </w:r>
      <w:r>
        <w:rPr>
          <w:spacing w:val="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v rozmezí</w:t>
      </w:r>
      <w:r>
        <w:rPr>
          <w:spacing w:val="-1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 stanovených</w:t>
      </w:r>
      <w:r>
        <w:rPr>
          <w:spacing w:val="-1"/>
        </w:rPr>
        <w:t xml:space="preserve"> </w:t>
      </w:r>
      <w:r>
        <w:t>indikátorů nebude</w:t>
      </w:r>
      <w:r>
        <w:rPr>
          <w:spacing w:val="-2"/>
        </w:rPr>
        <w:t xml:space="preserve"> </w:t>
      </w:r>
      <w:r>
        <w:t>postiženo</w:t>
      </w:r>
      <w:r>
        <w:rPr>
          <w:spacing w:val="1"/>
        </w:rPr>
        <w:t xml:space="preserve"> </w:t>
      </w:r>
      <w:r>
        <w:t>odvodem.</w:t>
      </w:r>
    </w:p>
    <w:p w:rsidR="003C499C" w:rsidRDefault="00F3211A">
      <w:pPr>
        <w:pStyle w:val="Odstavecseseznamem"/>
        <w:numPr>
          <w:ilvl w:val="0"/>
          <w:numId w:val="6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21"/>
          <w:sz w:val="20"/>
        </w:rPr>
        <w:t xml:space="preserve"> </w:t>
      </w:r>
      <w:r>
        <w:rPr>
          <w:sz w:val="20"/>
        </w:rPr>
        <w:t>c)</w:t>
      </w:r>
      <w:r>
        <w:rPr>
          <w:spacing w:val="19"/>
          <w:sz w:val="20"/>
        </w:rPr>
        <w:t xml:space="preserve"> </w:t>
      </w:r>
      <w:r>
        <w:rPr>
          <w:sz w:val="20"/>
        </w:rPr>
        <w:t>nebo</w:t>
      </w:r>
      <w:r>
        <w:rPr>
          <w:spacing w:val="19"/>
          <w:sz w:val="20"/>
        </w:rPr>
        <w:t xml:space="preserve"> </w:t>
      </w:r>
      <w:r>
        <w:rPr>
          <w:sz w:val="20"/>
        </w:rPr>
        <w:t>d)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C499C" w:rsidRDefault="00F3211A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V případě, že dojde k porušení povinn</w:t>
      </w:r>
      <w:r>
        <w:rPr>
          <w:sz w:val="20"/>
        </w:rPr>
        <w:t>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Smlouvy.</w:t>
      </w:r>
    </w:p>
    <w:p w:rsidR="003C499C" w:rsidRDefault="00F3211A">
      <w:pPr>
        <w:pStyle w:val="Odstavecseseznamem"/>
        <w:numPr>
          <w:ilvl w:val="0"/>
          <w:numId w:val="6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C499C" w:rsidRDefault="003C499C">
      <w:pPr>
        <w:pStyle w:val="Zkladntext"/>
        <w:spacing w:before="2"/>
        <w:ind w:left="0"/>
        <w:rPr>
          <w:sz w:val="36"/>
        </w:rPr>
      </w:pPr>
    </w:p>
    <w:p w:rsidR="003C499C" w:rsidRDefault="00F3211A">
      <w:pPr>
        <w:pStyle w:val="Nadpis1"/>
        <w:spacing w:line="265" w:lineRule="exact"/>
        <w:ind w:left="3417"/>
      </w:pPr>
      <w:r>
        <w:t>VI.</w:t>
      </w:r>
    </w:p>
    <w:p w:rsidR="003C499C" w:rsidRDefault="00F3211A">
      <w:pPr>
        <w:pStyle w:val="Nadpis2"/>
        <w:spacing w:line="265" w:lineRule="exact"/>
        <w:ind w:left="3416" w:right="3168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bezdlužnosti</w:t>
      </w:r>
    </w:p>
    <w:p w:rsidR="003C499C" w:rsidRDefault="003C499C">
      <w:pPr>
        <w:pStyle w:val="Zkladntext"/>
        <w:spacing w:before="1"/>
        <w:ind w:left="0"/>
        <w:rPr>
          <w:b/>
        </w:rPr>
      </w:pPr>
    </w:p>
    <w:p w:rsidR="003C499C" w:rsidRDefault="00F3211A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bodu 13.1 písm.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3C499C" w:rsidRDefault="00F3211A">
      <w:pPr>
        <w:pStyle w:val="Odstavecseseznamem"/>
        <w:numPr>
          <w:ilvl w:val="0"/>
          <w:numId w:val="5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bere</w:t>
      </w:r>
      <w:r>
        <w:rPr>
          <w:spacing w:val="-3"/>
          <w:sz w:val="20"/>
        </w:rPr>
        <w:t xml:space="preserve"> </w:t>
      </w:r>
      <w:r>
        <w:rPr>
          <w:sz w:val="20"/>
        </w:rPr>
        <w:t>přitom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není 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přijetí</w:t>
      </w:r>
      <w:r>
        <w:rPr>
          <w:spacing w:val="-53"/>
          <w:sz w:val="20"/>
        </w:rPr>
        <w:t xml:space="preserve"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</w:t>
      </w:r>
      <w:r>
        <w:rPr>
          <w:sz w:val="20"/>
        </w:rPr>
        <w:t>e mohou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3C499C" w:rsidRDefault="003C499C">
      <w:pPr>
        <w:pStyle w:val="Zkladntext"/>
        <w:spacing w:before="1"/>
        <w:ind w:left="0"/>
        <w:rPr>
          <w:sz w:val="36"/>
        </w:rPr>
      </w:pPr>
    </w:p>
    <w:p w:rsidR="003C499C" w:rsidRDefault="00F3211A">
      <w:pPr>
        <w:pStyle w:val="Nadpis1"/>
        <w:ind w:left="3419"/>
      </w:pPr>
      <w:r>
        <w:t>VII.</w:t>
      </w:r>
    </w:p>
    <w:p w:rsidR="003C499C" w:rsidRDefault="00F3211A">
      <w:pPr>
        <w:pStyle w:val="Nadpis2"/>
        <w:spacing w:before="1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C499C" w:rsidRDefault="003C499C">
      <w:pPr>
        <w:pStyle w:val="Zkladntext"/>
        <w:ind w:left="0"/>
        <w:rPr>
          <w:b/>
          <w:sz w:val="18"/>
        </w:rPr>
      </w:pPr>
    </w:p>
    <w:p w:rsidR="003C499C" w:rsidRDefault="00F3211A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</w:t>
      </w:r>
      <w:r>
        <w:rPr>
          <w:sz w:val="20"/>
        </w:rPr>
        <w:t>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C499C" w:rsidRDefault="00F3211A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8"/>
          <w:sz w:val="20"/>
        </w:rPr>
        <w:t xml:space="preserve"> </w:t>
      </w:r>
      <w:r>
        <w:rPr>
          <w:sz w:val="20"/>
        </w:rPr>
        <w:t>budou</w:t>
      </w:r>
      <w:r>
        <w:rPr>
          <w:spacing w:val="8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8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8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9"/>
          <w:sz w:val="20"/>
        </w:rPr>
        <w:t xml:space="preserve"> </w:t>
      </w:r>
      <w:r>
        <w:rPr>
          <w:sz w:val="20"/>
        </w:rPr>
        <w:t>týkající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</w:p>
    <w:p w:rsidR="003C499C" w:rsidRDefault="003C499C">
      <w:pPr>
        <w:jc w:val="both"/>
        <w:rPr>
          <w:sz w:val="20"/>
        </w:rPr>
        <w:sectPr w:rsidR="003C499C">
          <w:pgSz w:w="12240" w:h="15840"/>
          <w:pgMar w:top="1060" w:right="1000" w:bottom="1660" w:left="1320" w:header="0" w:footer="1460" w:gutter="0"/>
          <w:cols w:space="708"/>
        </w:sectPr>
      </w:pPr>
    </w:p>
    <w:p w:rsidR="003C499C" w:rsidRDefault="00F3211A">
      <w:pPr>
        <w:pStyle w:val="Zkladntext"/>
        <w:spacing w:before="73"/>
        <w:jc w:val="both"/>
      </w:pPr>
      <w:r>
        <w:lastRenderedPageBreak/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t>Smlouvy,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3C499C" w:rsidRDefault="00F3211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</w:t>
      </w:r>
      <w:r>
        <w:rPr>
          <w:sz w:val="20"/>
        </w:rPr>
        <w:t>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C499C" w:rsidRDefault="00F3211A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3C499C" w:rsidRDefault="00F3211A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3C499C" w:rsidRDefault="00F3211A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C499C" w:rsidRDefault="00F3211A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C499C" w:rsidRDefault="00F3211A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C499C" w:rsidRDefault="00F3211A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C499C" w:rsidRDefault="003C499C">
      <w:pPr>
        <w:pStyle w:val="Zkladntext"/>
        <w:ind w:left="0"/>
        <w:rPr>
          <w:sz w:val="36"/>
        </w:rPr>
      </w:pPr>
    </w:p>
    <w:p w:rsidR="003C499C" w:rsidRDefault="00F3211A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3C499C" w:rsidRDefault="003C499C">
      <w:pPr>
        <w:pStyle w:val="Zkladntext"/>
        <w:spacing w:before="1"/>
        <w:ind w:left="0"/>
        <w:rPr>
          <w:sz w:val="18"/>
        </w:rPr>
      </w:pPr>
    </w:p>
    <w:p w:rsidR="003C499C" w:rsidRDefault="00F3211A">
      <w:pPr>
        <w:pStyle w:val="Zkladntext"/>
        <w:ind w:left="382"/>
      </w:pPr>
      <w:r>
        <w:t>dne:</w:t>
      </w:r>
    </w:p>
    <w:p w:rsidR="003C499C" w:rsidRDefault="003C499C">
      <w:pPr>
        <w:pStyle w:val="Zkladntext"/>
        <w:ind w:left="0"/>
        <w:rPr>
          <w:sz w:val="26"/>
        </w:rPr>
      </w:pPr>
    </w:p>
    <w:p w:rsidR="003C499C" w:rsidRDefault="003C499C">
      <w:pPr>
        <w:pStyle w:val="Zkladntext"/>
        <w:spacing w:before="3"/>
        <w:ind w:left="0"/>
        <w:rPr>
          <w:sz w:val="28"/>
        </w:rPr>
      </w:pPr>
    </w:p>
    <w:p w:rsidR="003C499C" w:rsidRDefault="00F3211A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C499C" w:rsidRDefault="00F3211A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C499C" w:rsidRDefault="003C499C">
      <w:pPr>
        <w:pStyle w:val="Zkladntext"/>
        <w:ind w:left="0"/>
        <w:rPr>
          <w:sz w:val="26"/>
        </w:rPr>
      </w:pPr>
    </w:p>
    <w:p w:rsidR="003C499C" w:rsidRDefault="003C499C">
      <w:pPr>
        <w:pStyle w:val="Zkladntext"/>
        <w:spacing w:before="2"/>
        <w:ind w:left="0"/>
        <w:rPr>
          <w:sz w:val="32"/>
        </w:rPr>
      </w:pPr>
    </w:p>
    <w:p w:rsidR="003C499C" w:rsidRDefault="00F3211A">
      <w:pPr>
        <w:pStyle w:val="Zkladntext"/>
        <w:spacing w:line="264" w:lineRule="auto"/>
        <w:ind w:left="382"/>
      </w:pPr>
      <w:r>
        <w:t>Příloha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odvodů,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 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C499C" w:rsidRDefault="003C499C">
      <w:pPr>
        <w:spacing w:line="264" w:lineRule="auto"/>
        <w:sectPr w:rsidR="003C499C">
          <w:pgSz w:w="12240" w:h="15840"/>
          <w:pgMar w:top="1060" w:right="1000" w:bottom="1660" w:left="1320" w:header="0" w:footer="1460" w:gutter="0"/>
          <w:cols w:space="708"/>
        </w:sectPr>
      </w:pPr>
    </w:p>
    <w:p w:rsidR="003C499C" w:rsidRDefault="00F3211A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C499C" w:rsidRDefault="003C499C">
      <w:pPr>
        <w:pStyle w:val="Zkladntext"/>
        <w:ind w:left="0"/>
        <w:rPr>
          <w:sz w:val="26"/>
        </w:rPr>
      </w:pPr>
    </w:p>
    <w:p w:rsidR="003C499C" w:rsidRDefault="003C499C">
      <w:pPr>
        <w:pStyle w:val="Zkladntext"/>
        <w:spacing w:before="2"/>
        <w:ind w:left="0"/>
        <w:rPr>
          <w:sz w:val="32"/>
        </w:rPr>
      </w:pPr>
    </w:p>
    <w:p w:rsidR="003C499C" w:rsidRDefault="00F3211A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3C499C" w:rsidRDefault="003C499C">
      <w:pPr>
        <w:pStyle w:val="Zkladntext"/>
        <w:spacing w:before="1"/>
        <w:ind w:left="0"/>
        <w:rPr>
          <w:b/>
          <w:sz w:val="27"/>
        </w:rPr>
      </w:pPr>
    </w:p>
    <w:p w:rsidR="003C499C" w:rsidRDefault="00F3211A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:rsidR="003C499C" w:rsidRDefault="003C499C">
      <w:pPr>
        <w:pStyle w:val="Zkladntext"/>
        <w:spacing w:before="1"/>
        <w:ind w:left="0"/>
        <w:rPr>
          <w:b/>
          <w:sz w:val="29"/>
        </w:rPr>
      </w:pPr>
    </w:p>
    <w:p w:rsidR="003C499C" w:rsidRDefault="00F3211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</w:t>
      </w:r>
      <w:r>
        <w:rPr>
          <w:sz w:val="20"/>
        </w:rPr>
        <w:t>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3C499C" w:rsidRDefault="00F3211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C499C" w:rsidRDefault="00F3211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3C499C" w:rsidRDefault="00F3211A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C499C" w:rsidRDefault="00F3211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3C499C" w:rsidRDefault="00F3211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 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3C499C" w:rsidRDefault="00F3211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3C499C" w:rsidRDefault="003C499C">
      <w:pPr>
        <w:spacing w:line="312" w:lineRule="auto"/>
        <w:jc w:val="both"/>
        <w:rPr>
          <w:sz w:val="20"/>
        </w:rPr>
        <w:sectPr w:rsidR="003C499C">
          <w:pgSz w:w="12240" w:h="15840"/>
          <w:pgMar w:top="1060" w:right="1000" w:bottom="1660" w:left="1320" w:header="0" w:footer="1460" w:gutter="0"/>
          <w:cols w:space="708"/>
        </w:sectPr>
      </w:pPr>
    </w:p>
    <w:p w:rsidR="003C499C" w:rsidRDefault="00F3211A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C499C" w:rsidRDefault="003C499C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499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C499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C499C" w:rsidRDefault="00F3211A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3C499C" w:rsidRDefault="00F3211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C499C" w:rsidRDefault="00F3211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C499C" w:rsidRDefault="00F3211A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C499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C499C" w:rsidRDefault="00F3211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C499C" w:rsidRDefault="00F3211A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C499C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C499C" w:rsidRDefault="00F321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C499C" w:rsidRDefault="00F3211A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C499C" w:rsidRDefault="00F3211A">
            <w:pPr>
              <w:pStyle w:val="TableParagraph"/>
              <w:spacing w:before="3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C499C" w:rsidRDefault="00F3211A">
            <w:pPr>
              <w:pStyle w:val="TableParagraph"/>
              <w:spacing w:before="2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3C499C" w:rsidRDefault="00F3211A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C499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C499C" w:rsidRDefault="00F3211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C499C" w:rsidRDefault="00F3211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C499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C499C" w:rsidRDefault="00F3211A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C499C" w:rsidRDefault="00F3211A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C499C" w:rsidRDefault="00F3211A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C499C">
        <w:trPr>
          <w:trHeight w:val="203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C499C" w:rsidRDefault="00F3211A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C499C" w:rsidRDefault="00F321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C499C" w:rsidRDefault="00F3211A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C499C" w:rsidRDefault="003C499C">
      <w:pPr>
        <w:rPr>
          <w:sz w:val="20"/>
        </w:rPr>
        <w:sectPr w:rsidR="003C499C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499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C499C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C499C" w:rsidRDefault="00F3211A"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C499C" w:rsidRDefault="00F3211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C499C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C499C" w:rsidRDefault="00F3211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C499C" w:rsidRDefault="00F3211A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C499C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C499C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C499C" w:rsidRDefault="00F3211A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C499C" w:rsidRDefault="00F3211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C499C" w:rsidRDefault="00F3211A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C499C" w:rsidRDefault="00F3211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C499C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C499C" w:rsidRDefault="00F3211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C499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3C499C" w:rsidRDefault="00F3211A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C499C" w:rsidRDefault="00F3211A">
            <w:pPr>
              <w:pStyle w:val="TableParagraph"/>
              <w:spacing w:before="2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C499C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3C499C" w:rsidRDefault="00F321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3C499C" w:rsidRDefault="003C499C">
      <w:pPr>
        <w:rPr>
          <w:sz w:val="20"/>
        </w:rPr>
        <w:sectPr w:rsidR="003C499C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499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C499C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C499C" w:rsidRDefault="00F321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C499C" w:rsidRDefault="00F3211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C499C" w:rsidRDefault="00F3211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C499C" w:rsidRDefault="00F3211A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3C499C" w:rsidRDefault="00F3211A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C499C" w:rsidRDefault="00F3211A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3C499C" w:rsidRDefault="00F3211A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C499C" w:rsidRDefault="00F3211A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C499C" w:rsidRDefault="00F3211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C499C" w:rsidRDefault="00F3211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C499C" w:rsidRDefault="00F3211A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C499C" w:rsidRDefault="00F3211A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3C499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C499C" w:rsidRDefault="00F3211A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3C499C" w:rsidRDefault="00F3211A">
            <w:pPr>
              <w:pStyle w:val="TableParagraph"/>
              <w:spacing w:before="3" w:line="237" w:lineRule="auto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3C499C" w:rsidRDefault="00F3211A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499C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C499C" w:rsidRDefault="00F3211A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C499C" w:rsidRDefault="00F3211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C499C" w:rsidRDefault="00F3211A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C499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C499C" w:rsidRDefault="00F3211A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C499C" w:rsidRDefault="00F3211A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3C499C" w:rsidRDefault="003C499C">
      <w:pPr>
        <w:pStyle w:val="Zkladntext"/>
        <w:ind w:left="0"/>
        <w:rPr>
          <w:b/>
        </w:rPr>
      </w:pPr>
    </w:p>
    <w:p w:rsidR="003C499C" w:rsidRDefault="00AB4DE2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FEE03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C499C" w:rsidRDefault="003C499C">
      <w:pPr>
        <w:pStyle w:val="Zkladntext"/>
        <w:ind w:left="0"/>
        <w:rPr>
          <w:b/>
        </w:rPr>
      </w:pPr>
    </w:p>
    <w:p w:rsidR="003C499C" w:rsidRDefault="003C499C">
      <w:pPr>
        <w:pStyle w:val="Zkladntext"/>
        <w:spacing w:before="3"/>
        <w:ind w:left="0"/>
        <w:rPr>
          <w:b/>
          <w:sz w:val="14"/>
        </w:rPr>
      </w:pPr>
    </w:p>
    <w:p w:rsidR="003C499C" w:rsidRDefault="00F3211A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3C499C" w:rsidRDefault="003C499C">
      <w:pPr>
        <w:rPr>
          <w:sz w:val="16"/>
        </w:rPr>
        <w:sectPr w:rsidR="003C499C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499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C499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3C4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C499C" w:rsidRDefault="00F3211A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C499C" w:rsidRDefault="00F3211A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C499C" w:rsidRDefault="00F3211A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3C499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C499C" w:rsidRDefault="00F3211A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C499C" w:rsidRDefault="00F3211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C499C" w:rsidRDefault="00F3211A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C499C" w:rsidRDefault="00F3211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C499C" w:rsidRDefault="00F3211A">
            <w:pPr>
              <w:pStyle w:val="TableParagraph"/>
              <w:spacing w:before="2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C499C" w:rsidRDefault="00F321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C499C" w:rsidRDefault="00F3211A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C499C" w:rsidRDefault="00F3211A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C499C" w:rsidRDefault="00F3211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C499C" w:rsidRDefault="00F3211A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C499C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C499C" w:rsidRDefault="00F3211A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C499C" w:rsidRDefault="00F3211A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C499C" w:rsidRDefault="00F3211A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3C499C" w:rsidRDefault="00F3211A">
            <w:pPr>
              <w:pStyle w:val="TableParagraph"/>
              <w:spacing w:before="3" w:line="237" w:lineRule="auto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C499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C499C" w:rsidRDefault="00F3211A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C499C" w:rsidRDefault="00F3211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C499C" w:rsidRDefault="00F3211A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C499C" w:rsidRDefault="00F3211A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C499C" w:rsidRDefault="00F3211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C499C" w:rsidRDefault="00F3211A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C499C" w:rsidRDefault="00F3211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C499C" w:rsidRDefault="00F3211A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3C499C" w:rsidRDefault="00F3211A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C499C" w:rsidRDefault="00F321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C499C" w:rsidRDefault="00F3211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C499C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C499C" w:rsidRDefault="003C499C">
      <w:pPr>
        <w:rPr>
          <w:sz w:val="20"/>
        </w:rPr>
        <w:sectPr w:rsidR="003C499C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499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C499C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C499C" w:rsidRDefault="00F3211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C499C" w:rsidRDefault="00F3211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C499C" w:rsidRDefault="00F3211A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C499C" w:rsidRDefault="00F3211A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C499C" w:rsidRDefault="00F3211A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C499C" w:rsidRDefault="00F3211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C499C" w:rsidRDefault="00F3211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C499C" w:rsidRDefault="00F321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3C499C" w:rsidRDefault="00F3211A">
            <w:pPr>
              <w:pStyle w:val="TableParagraph"/>
              <w:spacing w:before="3" w:line="237" w:lineRule="auto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C499C" w:rsidRDefault="00F3211A">
            <w:pPr>
              <w:pStyle w:val="TableParagraph"/>
              <w:spacing w:before="2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C499C" w:rsidRDefault="00F3211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C499C" w:rsidRDefault="00F3211A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3C499C" w:rsidRDefault="00F3211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C499C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C499C" w:rsidRDefault="00F3211A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C499C" w:rsidRDefault="00F3211A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C499C" w:rsidRDefault="00F3211A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C499C" w:rsidRDefault="00F3211A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C499C" w:rsidRDefault="00F3211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C499C" w:rsidRDefault="00F3211A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C499C" w:rsidRDefault="00F3211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3C499C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C499C" w:rsidRDefault="00F3211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C499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C499C" w:rsidRDefault="00F3211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3C499C" w:rsidRDefault="003C499C">
      <w:pPr>
        <w:rPr>
          <w:sz w:val="20"/>
        </w:rPr>
        <w:sectPr w:rsidR="003C499C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499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C499C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3C4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C499C" w:rsidRDefault="00F3211A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3C4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C499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C499C" w:rsidRDefault="00F3211A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C499C" w:rsidRDefault="00F3211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C499C" w:rsidRDefault="00F3211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C499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C499C" w:rsidRDefault="00F3211A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C499C" w:rsidRDefault="00F3211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C499C" w:rsidRDefault="00F321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C499C" w:rsidRDefault="00F3211A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C499C" w:rsidRDefault="00F3211A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C499C" w:rsidRDefault="00F321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3C499C" w:rsidRDefault="00F3211A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C499C" w:rsidRDefault="00F3211A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499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3C499C" w:rsidRDefault="00F3211A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C499C" w:rsidRDefault="00F3211A">
            <w:pPr>
              <w:pStyle w:val="TableParagraph"/>
              <w:spacing w:before="3" w:line="237" w:lineRule="auto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C499C" w:rsidRDefault="00F3211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3C499C" w:rsidRDefault="00F3211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C499C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96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C499C" w:rsidRDefault="00F3211A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C499C" w:rsidRDefault="00F3211A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3C499C" w:rsidRDefault="003C499C">
      <w:pPr>
        <w:rPr>
          <w:sz w:val="20"/>
        </w:rPr>
        <w:sectPr w:rsidR="003C499C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499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C499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C499C" w:rsidRDefault="00F3211A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C499C" w:rsidRDefault="00F3211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499C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C499C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C499C" w:rsidRDefault="00F3211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C499C" w:rsidRDefault="00F3211A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C499C" w:rsidRDefault="00F321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C499C" w:rsidRDefault="00F3211A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C499C" w:rsidRDefault="00F3211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C499C" w:rsidRDefault="00F3211A">
            <w:pPr>
              <w:pStyle w:val="TableParagraph"/>
              <w:spacing w:before="2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C499C" w:rsidRDefault="00F3211A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499C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C499C" w:rsidRDefault="00F3211A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9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C499C" w:rsidRDefault="00F3211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C499C" w:rsidRDefault="00F3211A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C499C" w:rsidRDefault="00F3211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C499C" w:rsidRDefault="00F3211A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C499C" w:rsidRDefault="003C499C">
      <w:pPr>
        <w:rPr>
          <w:sz w:val="20"/>
        </w:rPr>
        <w:sectPr w:rsidR="003C499C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499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C499C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C499C" w:rsidRDefault="00F3211A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C499C" w:rsidRDefault="00F3211A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C499C" w:rsidRDefault="00F3211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499C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C499C" w:rsidRDefault="00F3211A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C499C" w:rsidRDefault="00F3211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C499C" w:rsidRDefault="00F321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C499C" w:rsidRDefault="00F3211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C499C" w:rsidRDefault="00F3211A">
            <w:pPr>
              <w:pStyle w:val="TableParagraph"/>
              <w:spacing w:before="2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499C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3C499C" w:rsidRDefault="00F3211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C499C" w:rsidRDefault="00F3211A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C499C" w:rsidRDefault="00F3211A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C499C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3C499C" w:rsidRDefault="00AB4DE2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6C2AC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C499C" w:rsidRDefault="003C499C">
      <w:pPr>
        <w:pStyle w:val="Zkladntext"/>
        <w:ind w:left="0"/>
      </w:pPr>
    </w:p>
    <w:p w:rsidR="003C499C" w:rsidRDefault="003C499C">
      <w:pPr>
        <w:pStyle w:val="Zkladntext"/>
        <w:spacing w:before="3"/>
        <w:ind w:left="0"/>
        <w:rPr>
          <w:sz w:val="14"/>
        </w:rPr>
      </w:pPr>
    </w:p>
    <w:p w:rsidR="003C499C" w:rsidRDefault="00F3211A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3C499C" w:rsidRDefault="003C499C">
      <w:pPr>
        <w:rPr>
          <w:sz w:val="16"/>
        </w:rPr>
        <w:sectPr w:rsidR="003C499C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499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C499C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499C" w:rsidRDefault="003C4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C499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C499C" w:rsidRDefault="00F3211A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3C499C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C499C" w:rsidRDefault="00F3211A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3C499C" w:rsidRDefault="00F3211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C499C" w:rsidRDefault="00F3211A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C499C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499C" w:rsidRDefault="00F3211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C499C" w:rsidRDefault="003C499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C499C" w:rsidRDefault="00F3211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C499C" w:rsidRDefault="003C499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C499C" w:rsidRDefault="00F3211A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C499C" w:rsidRDefault="00F3211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C499C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C499C" w:rsidRDefault="003C499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C499C" w:rsidRDefault="00F3211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C499C" w:rsidRDefault="003C499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C499C" w:rsidRDefault="00F3211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C499C" w:rsidRDefault="00F3211A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C499C" w:rsidRDefault="00F3211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C499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C499C" w:rsidRDefault="00F3211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499C" w:rsidRDefault="00F3211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499C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C499C" w:rsidRDefault="003C499C">
      <w:pPr>
        <w:spacing w:line="237" w:lineRule="auto"/>
        <w:rPr>
          <w:sz w:val="20"/>
        </w:rPr>
        <w:sectPr w:rsidR="003C499C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499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F3211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C499C">
        <w:trPr>
          <w:trHeight w:val="1564"/>
        </w:trPr>
        <w:tc>
          <w:tcPr>
            <w:tcW w:w="670" w:type="dxa"/>
            <w:tcBorders>
              <w:right w:val="single" w:sz="4" w:space="0" w:color="000000"/>
            </w:tcBorders>
          </w:tcPr>
          <w:p w:rsidR="003C499C" w:rsidRDefault="003C49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3C49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499C" w:rsidRDefault="00F3211A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 2</w:t>
            </w:r>
            <w:r>
              <w:rPr>
                <w:spacing w:val="5"/>
                <w:sz w:val="20"/>
              </w:rPr>
              <w:t xml:space="preserve"> </w:t>
            </w:r>
            <w:r>
              <w:t>písm.</w:t>
            </w:r>
            <w:r>
              <w:rPr>
                <w:spacing w:val="-1"/>
              </w:rPr>
              <w:t xml:space="preserve"> </w:t>
            </w:r>
            <w:r>
              <w:t>j),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499C" w:rsidRDefault="003C49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F3211A" w:rsidRDefault="00F3211A"/>
    <w:sectPr w:rsidR="00F3211A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11A" w:rsidRDefault="00F3211A">
      <w:r>
        <w:separator/>
      </w:r>
    </w:p>
  </w:endnote>
  <w:endnote w:type="continuationSeparator" w:id="0">
    <w:p w:rsidR="00F3211A" w:rsidRDefault="00F3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9C" w:rsidRDefault="00AB4DE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99C" w:rsidRDefault="00F3211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4D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3C499C" w:rsidRDefault="00F3211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B4D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11A" w:rsidRDefault="00F3211A">
      <w:r>
        <w:separator/>
      </w:r>
    </w:p>
  </w:footnote>
  <w:footnote w:type="continuationSeparator" w:id="0">
    <w:p w:rsidR="00F3211A" w:rsidRDefault="00F3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76E"/>
    <w:multiLevelType w:val="hybridMultilevel"/>
    <w:tmpl w:val="842604E8"/>
    <w:lvl w:ilvl="0" w:tplc="AB4C330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A8ECE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2E89B5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546748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070531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9AAC9D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9CACE8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B9C25C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BF8658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3723B16"/>
    <w:multiLevelType w:val="hybridMultilevel"/>
    <w:tmpl w:val="071AD3BC"/>
    <w:lvl w:ilvl="0" w:tplc="695C44EA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36618F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CF2646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6CAC99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5987C8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D2A580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44E46D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2AA511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E8C973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EA54F99"/>
    <w:multiLevelType w:val="hybridMultilevel"/>
    <w:tmpl w:val="D7DCC10C"/>
    <w:lvl w:ilvl="0" w:tplc="7272F15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0EEF2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1949778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7E228012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D158C026"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 w:tplc="2DC2DB82">
      <w:numFmt w:val="bullet"/>
      <w:lvlText w:val="•"/>
      <w:lvlJc w:val="left"/>
      <w:pPr>
        <w:ind w:left="1433" w:hanging="281"/>
      </w:pPr>
      <w:rPr>
        <w:rFonts w:hint="default"/>
        <w:lang w:val="cs-CZ" w:eastAsia="en-US" w:bidi="ar-SA"/>
      </w:rPr>
    </w:lvl>
    <w:lvl w:ilvl="6" w:tplc="89BC70C0"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 w:tplc="162873F2">
      <w:numFmt w:val="bullet"/>
      <w:lvlText w:val="•"/>
      <w:lvlJc w:val="left"/>
      <w:pPr>
        <w:ind w:left="1766" w:hanging="281"/>
      </w:pPr>
      <w:rPr>
        <w:rFonts w:hint="default"/>
        <w:lang w:val="cs-CZ" w:eastAsia="en-US" w:bidi="ar-SA"/>
      </w:rPr>
    </w:lvl>
    <w:lvl w:ilvl="8" w:tplc="9942002A">
      <w:numFmt w:val="bullet"/>
      <w:lvlText w:val="•"/>
      <w:lvlJc w:val="left"/>
      <w:pPr>
        <w:ind w:left="1933" w:hanging="281"/>
      </w:pPr>
      <w:rPr>
        <w:rFonts w:hint="default"/>
        <w:lang w:val="cs-CZ" w:eastAsia="en-US" w:bidi="ar-SA"/>
      </w:rPr>
    </w:lvl>
  </w:abstractNum>
  <w:abstractNum w:abstractNumId="3" w15:restartNumberingAfterBreak="0">
    <w:nsid w:val="1ED349AE"/>
    <w:multiLevelType w:val="hybridMultilevel"/>
    <w:tmpl w:val="CE5297A6"/>
    <w:lvl w:ilvl="0" w:tplc="2F88C84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4F2265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247CF74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15B4EAF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92AF24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3872D8E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16C167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C42699E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F27E77F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1F3146F5"/>
    <w:multiLevelType w:val="hybridMultilevel"/>
    <w:tmpl w:val="C2A83BAC"/>
    <w:lvl w:ilvl="0" w:tplc="8522DA6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9A42F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68EA8C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B8492D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E86451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3CCE30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E7899D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4889D7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00C5B7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2783433"/>
    <w:multiLevelType w:val="hybridMultilevel"/>
    <w:tmpl w:val="77AA296C"/>
    <w:lvl w:ilvl="0" w:tplc="7A521F9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3A408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92CD2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C12E4A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D56F8E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AACA13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CAC338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8A44F3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4B8F2A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AFE2D05"/>
    <w:multiLevelType w:val="hybridMultilevel"/>
    <w:tmpl w:val="8EF266AE"/>
    <w:lvl w:ilvl="0" w:tplc="AEFA337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E861B88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A392B12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8E96B3C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6602C2B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81EA65C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0EAE825C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662C228C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9B6AD06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59BC3E3F"/>
    <w:multiLevelType w:val="hybridMultilevel"/>
    <w:tmpl w:val="4EB0490C"/>
    <w:lvl w:ilvl="0" w:tplc="A94EB51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9EEA7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516B10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8EE3E6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B8276F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42E860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4AC1D3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EA6053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54E300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0F42F04"/>
    <w:multiLevelType w:val="hybridMultilevel"/>
    <w:tmpl w:val="B7D27790"/>
    <w:lvl w:ilvl="0" w:tplc="6F42C708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4DE8D1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EB524A4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95C41A3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FEC9DC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FCBC77F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16A751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4C32816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BAE2D4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C115910"/>
    <w:multiLevelType w:val="hybridMultilevel"/>
    <w:tmpl w:val="089E1120"/>
    <w:lvl w:ilvl="0" w:tplc="5230744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D0940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74CA14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59C704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67AD63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5DCEB6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1D0927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51EFF4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52808D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9C"/>
    <w:rsid w:val="003C499C"/>
    <w:rsid w:val="00AB4DE2"/>
    <w:rsid w:val="00F3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317EA2-08DF-438C-9F8B-DA28F1B1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4962</Words>
  <Characters>29281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2023-03-23T16:08:00Z</dcterms:created>
  <dcterms:modified xsi:type="dcterms:W3CDTF">2023-03-23T16:08:00Z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