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chovatelů a pěstitelů Litomyšl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Zahájská 369, 57001 Litomyšl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Lány u Litomyšle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46 559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11 596,35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4 077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2 568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31 087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7 742,77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31 734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7 903,92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9 306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2 317,82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7 022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1 748,96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100 300,00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1,1288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133 397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33 358,60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Litomyšl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1,1289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3 126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část, 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108 600,00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7 330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1 976,74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Nedošín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1,1288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96 800,00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1,1287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5 007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1 203,56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145 734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36 539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č.11N02/19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1110219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12.02.2002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36 539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22.02.2023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01.03.2002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