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898333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8B0A95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39D9999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261874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261874" w:rsidRPr="002C4709">
        <w:rPr>
          <w:rFonts w:ascii="Arial" w:hAnsi="Arial" w:cs="Arial"/>
          <w:sz w:val="20"/>
          <w:szCs w:val="20"/>
        </w:rPr>
        <w:t xml:space="preserve">Ing. </w:t>
      </w:r>
      <w:r w:rsidR="00261874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261874">
        <w:rPr>
          <w:rFonts w:ascii="Arial" w:hAnsi="Arial" w:cs="Arial"/>
          <w:sz w:val="20"/>
          <w:szCs w:val="20"/>
        </w:rPr>
        <w:t>Dundrem</w:t>
      </w:r>
      <w:proofErr w:type="spellEnd"/>
      <w:r w:rsidR="00261874" w:rsidRPr="002C4709">
        <w:rPr>
          <w:rFonts w:ascii="Arial" w:hAnsi="Arial" w:cs="Arial"/>
          <w:sz w:val="20"/>
          <w:szCs w:val="20"/>
        </w:rPr>
        <w:t xml:space="preserve">, </w:t>
      </w:r>
      <w:r w:rsidR="00261874">
        <w:rPr>
          <w:rFonts w:ascii="Arial" w:hAnsi="Arial" w:cs="Arial"/>
          <w:sz w:val="20"/>
          <w:szCs w:val="20"/>
        </w:rPr>
        <w:t>místop</w:t>
      </w:r>
      <w:r w:rsidR="00261874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FCD9A" w14:textId="77777777" w:rsidR="00DC331C" w:rsidRPr="00813EF3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Domácí hospic Vysočina, o.p.s.</w:t>
      </w:r>
    </w:p>
    <w:p w14:paraId="675F5A7E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Vratislavovo náměstí 115, 592 31 Nové Město na Moravě</w:t>
      </w:r>
    </w:p>
    <w:p w14:paraId="501F93E6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70803978</w:t>
      </w:r>
    </w:p>
    <w:p w14:paraId="6679CF9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CZ70803978</w:t>
      </w:r>
    </w:p>
    <w:p w14:paraId="6A1EE445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</w:t>
      </w:r>
    </w:p>
    <w:p w14:paraId="3E281F48" w14:textId="40011877" w:rsidR="00DC331C" w:rsidRPr="003E4A0E" w:rsidRDefault="00DC331C" w:rsidP="00DC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8B0A95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14:paraId="2444DC6F" w14:textId="77777777" w:rsidR="00DC331C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</w:t>
      </w:r>
      <w:r w:rsidRPr="007004AE">
        <w:rPr>
          <w:rFonts w:ascii="Arial" w:hAnsi="Arial" w:cs="Arial"/>
          <w:sz w:val="20"/>
          <w:szCs w:val="20"/>
        </w:rPr>
        <w:t xml:space="preserve">rejstříku </w:t>
      </w:r>
      <w:r w:rsidR="008B145F">
        <w:rPr>
          <w:rFonts w:ascii="Arial" w:hAnsi="Arial" w:cs="Arial"/>
          <w:sz w:val="20"/>
          <w:szCs w:val="20"/>
        </w:rPr>
        <w:t xml:space="preserve">obecně prospěšných společností </w:t>
      </w:r>
      <w:r w:rsidRPr="007004AE">
        <w:rPr>
          <w:rFonts w:ascii="Arial" w:hAnsi="Arial" w:cs="Arial"/>
          <w:sz w:val="20"/>
          <w:szCs w:val="20"/>
        </w:rPr>
        <w:t>vedeném Krajským soudem</w:t>
      </w:r>
      <w:r>
        <w:rPr>
          <w:rFonts w:ascii="Arial" w:hAnsi="Arial" w:cs="Arial"/>
          <w:sz w:val="20"/>
          <w:szCs w:val="20"/>
        </w:rPr>
        <w:t xml:space="preserve"> v </w:t>
      </w:r>
      <w:r w:rsidRPr="002B3F71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Pr="002B3F7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, vložka </w:t>
      </w:r>
      <w:r w:rsidRPr="002B3F71">
        <w:rPr>
          <w:rFonts w:ascii="Arial" w:hAnsi="Arial" w:cs="Arial"/>
          <w:sz w:val="20"/>
          <w:szCs w:val="20"/>
        </w:rPr>
        <w:t>636</w:t>
      </w:r>
    </w:p>
    <w:p w14:paraId="00C9488C" w14:textId="543C118F" w:rsidR="003E4A0E" w:rsidRDefault="00DC331C" w:rsidP="00DC33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C6F1B">
        <w:rPr>
          <w:rFonts w:ascii="Arial" w:hAnsi="Arial" w:cs="Arial"/>
          <w:sz w:val="20"/>
          <w:szCs w:val="20"/>
        </w:rPr>
        <w:t>Ing.</w:t>
      </w:r>
      <w:r w:rsidR="000952E8">
        <w:rPr>
          <w:rFonts w:ascii="Arial" w:hAnsi="Arial" w:cs="Arial"/>
          <w:sz w:val="20"/>
          <w:szCs w:val="20"/>
        </w:rPr>
        <w:t xml:space="preserve"> </w:t>
      </w:r>
      <w:r w:rsidR="00E73475">
        <w:rPr>
          <w:rFonts w:ascii="Arial" w:hAnsi="Arial" w:cs="Arial"/>
          <w:sz w:val="20"/>
          <w:szCs w:val="20"/>
        </w:rPr>
        <w:t>Hanou Brnickou</w:t>
      </w:r>
      <w:r>
        <w:rPr>
          <w:rFonts w:ascii="Arial" w:hAnsi="Arial" w:cs="Arial"/>
          <w:sz w:val="20"/>
          <w:szCs w:val="20"/>
        </w:rPr>
        <w:t>, ředite</w:t>
      </w:r>
      <w:r w:rsidR="00E73475">
        <w:rPr>
          <w:rFonts w:ascii="Arial" w:hAnsi="Arial" w:cs="Arial"/>
          <w:sz w:val="20"/>
          <w:szCs w:val="20"/>
        </w:rPr>
        <w:t>lkou</w:t>
      </w:r>
      <w:r>
        <w:rPr>
          <w:rFonts w:ascii="Arial" w:hAnsi="Arial" w:cs="Arial"/>
          <w:sz w:val="20"/>
          <w:szCs w:val="20"/>
        </w:rPr>
        <w:t xml:space="preserve"> společnosti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4A119F04" w:rsidR="00A603AD" w:rsidRDefault="002250BB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574512" w:rsidRPr="00574512">
        <w:rPr>
          <w:rFonts w:ascii="Arial" w:hAnsi="Arial" w:cs="Arial"/>
          <w:b/>
          <w:sz w:val="20"/>
          <w:szCs w:val="20"/>
        </w:rPr>
        <w:t>1</w:t>
      </w:r>
      <w:r w:rsidR="00FE0EB9">
        <w:rPr>
          <w:rFonts w:ascii="Arial" w:hAnsi="Arial" w:cs="Arial"/>
          <w:b/>
          <w:sz w:val="20"/>
          <w:szCs w:val="20"/>
        </w:rPr>
        <w:t>8</w:t>
      </w:r>
      <w:r w:rsidR="00574512" w:rsidRPr="00574512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.000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EA29BC">
        <w:rPr>
          <w:rFonts w:ascii="Arial" w:hAnsi="Arial" w:cs="Arial"/>
          <w:sz w:val="20"/>
          <w:szCs w:val="20"/>
        </w:rPr>
        <w:t> </w:t>
      </w:r>
      <w:proofErr w:type="spellStart"/>
      <w:r w:rsidR="00E81C1F">
        <w:rPr>
          <w:rFonts w:ascii="Arial" w:hAnsi="Arial" w:cs="Arial"/>
          <w:sz w:val="20"/>
          <w:szCs w:val="20"/>
        </w:rPr>
        <w:t>jedno</w:t>
      </w:r>
      <w:r w:rsidR="00574512">
        <w:rPr>
          <w:rFonts w:ascii="Arial" w:hAnsi="Arial" w:cs="Arial"/>
          <w:sz w:val="20"/>
          <w:szCs w:val="20"/>
        </w:rPr>
        <w:t>sto</w:t>
      </w:r>
      <w:r w:rsidR="00FE0EB9">
        <w:rPr>
          <w:rFonts w:ascii="Arial" w:hAnsi="Arial" w:cs="Arial"/>
          <w:sz w:val="20"/>
          <w:szCs w:val="20"/>
        </w:rPr>
        <w:t>osmde</w:t>
      </w:r>
      <w:r w:rsidR="00574512">
        <w:rPr>
          <w:rFonts w:ascii="Arial" w:hAnsi="Arial" w:cs="Arial"/>
          <w:sz w:val="20"/>
          <w:szCs w:val="20"/>
        </w:rPr>
        <w:t>sát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E81C1F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EA29BC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56380512" w:rsidR="00574512" w:rsidRPr="008002A1" w:rsidRDefault="00FE0EB9" w:rsidP="00EA29BC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A29BC">
        <w:rPr>
          <w:rFonts w:ascii="Arial" w:hAnsi="Arial" w:cs="Arial"/>
          <w:b/>
          <w:sz w:val="20"/>
          <w:szCs w:val="20"/>
        </w:rPr>
        <w:t xml:space="preserve">mzdové náklady </w:t>
      </w:r>
      <w:r w:rsidR="008C78A7" w:rsidRPr="00EA29BC">
        <w:rPr>
          <w:rFonts w:ascii="Arial" w:hAnsi="Arial" w:cs="Arial"/>
          <w:b/>
          <w:sz w:val="20"/>
          <w:szCs w:val="20"/>
        </w:rPr>
        <w:t>lékařů</w:t>
      </w:r>
      <w:r w:rsidRPr="00EA29BC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EA29BC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77777777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273EE96D" w14:textId="77777777" w:rsidR="00EA29BC" w:rsidRDefault="00EA29BC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682A9D8" w14:textId="206D96CD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689578AF" w:rsidR="00D56632" w:rsidRDefault="00D56632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261874">
        <w:rPr>
          <w:rFonts w:ascii="Arial" w:hAnsi="Arial" w:cs="Arial"/>
          <w:sz w:val="20"/>
          <w:szCs w:val="20"/>
        </w:rPr>
        <w:t>3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15ED2DAD" w:rsidR="00D612DA" w:rsidRDefault="00D612DA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B712BCA" w14:textId="778F5C76" w:rsidR="00FE0EB9" w:rsidRPr="00D612DA" w:rsidRDefault="00FE0EB9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380808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84023" w:rsidRPr="000248ED">
          <w:rPr>
            <w:rStyle w:val="Hypertextovodkaz"/>
            <w:rFonts w:ascii="Arial" w:hAnsi="Arial" w:cs="Arial"/>
            <w:sz w:val="20"/>
            <w:szCs w:val="20"/>
          </w:rPr>
          <w:t>dary@mero.cz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EA29BC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EA29BC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629A8274" w:rsidR="0053207F" w:rsidRPr="0053207F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9" w:history="1">
        <w:r w:rsidR="00284023" w:rsidRPr="000248ED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EA29BC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 xml:space="preserve">mluvními stranami, přičemž </w:t>
      </w:r>
      <w:proofErr w:type="gramStart"/>
      <w:r w:rsidRPr="002C4709">
        <w:rPr>
          <w:rFonts w:ascii="Arial" w:hAnsi="Arial" w:cs="Arial"/>
          <w:sz w:val="20"/>
          <w:szCs w:val="20"/>
        </w:rPr>
        <w:t>jinou</w:t>
      </w:r>
      <w:proofErr w:type="gramEnd"/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EA29BC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Novém Městě na Moravě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5C47929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61874">
              <w:rPr>
                <w:rFonts w:ascii="Arial" w:hAnsi="Arial" w:cs="Arial"/>
                <w:sz w:val="20"/>
                <w:szCs w:val="20"/>
              </w:rPr>
              <w:t>Jaroslav Pantůček,</w:t>
            </w:r>
            <w:r w:rsidR="005F3A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78A7">
              <w:rPr>
                <w:rFonts w:ascii="Arial" w:hAnsi="Arial" w:cs="Arial"/>
                <w:sz w:val="20"/>
                <w:szCs w:val="20"/>
              </w:rPr>
              <w:t xml:space="preserve">předseda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A7ECDFF" w14:textId="77777777" w:rsidR="00261874" w:rsidRDefault="00261874" w:rsidP="002618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Zdeněk Dundr, místopředseda představenstva</w:t>
            </w:r>
          </w:p>
          <w:p w14:paraId="7FF50CE9" w14:textId="18406C1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77B2DF7" w14:textId="0F0909DB" w:rsidR="003E4A0E" w:rsidRPr="004D3F55" w:rsidRDefault="00BC6F1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E73475">
              <w:rPr>
                <w:rFonts w:ascii="Arial" w:hAnsi="Arial" w:cs="Arial"/>
                <w:sz w:val="20"/>
                <w:szCs w:val="20"/>
              </w:rPr>
              <w:t>Hana Brnická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>, ředitel</w:t>
            </w:r>
            <w:r w:rsidR="00E73475">
              <w:rPr>
                <w:rFonts w:ascii="Arial" w:hAnsi="Arial" w:cs="Arial"/>
                <w:sz w:val="20"/>
                <w:szCs w:val="20"/>
              </w:rPr>
              <w:t>ka</w:t>
            </w:r>
            <w:r w:rsidR="00DC331C" w:rsidRPr="004D3F55">
              <w:rPr>
                <w:rFonts w:ascii="Arial" w:hAnsi="Arial" w:cs="Arial"/>
                <w:sz w:val="20"/>
                <w:szCs w:val="20"/>
              </w:rPr>
              <w:t xml:space="preserve"> společnosti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EA29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1324E" w14:textId="77777777" w:rsidR="00F4075E" w:rsidRDefault="00F4075E" w:rsidP="00903FEF">
      <w:pPr>
        <w:spacing w:after="0" w:line="240" w:lineRule="auto"/>
      </w:pPr>
      <w:r>
        <w:separator/>
      </w:r>
    </w:p>
  </w:endnote>
  <w:endnote w:type="continuationSeparator" w:id="0">
    <w:p w14:paraId="0F2FCA87" w14:textId="77777777" w:rsidR="00F4075E" w:rsidRDefault="00F4075E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EF09" w14:textId="77777777" w:rsidR="00261EF9" w:rsidRDefault="00261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8F41" w14:textId="77777777" w:rsidR="00261EF9" w:rsidRDefault="00261E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EA073" w14:textId="77777777" w:rsidR="00F4075E" w:rsidRDefault="00F4075E" w:rsidP="00903FEF">
      <w:pPr>
        <w:spacing w:after="0" w:line="240" w:lineRule="auto"/>
      </w:pPr>
      <w:r>
        <w:separator/>
      </w:r>
    </w:p>
  </w:footnote>
  <w:footnote w:type="continuationSeparator" w:id="0">
    <w:p w14:paraId="57341937" w14:textId="77777777" w:rsidR="00F4075E" w:rsidRDefault="00F4075E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F77D" w14:textId="77777777" w:rsidR="00261EF9" w:rsidRDefault="00261E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76276A55" w:rsidR="002B3F71" w:rsidRPr="00261EF9" w:rsidRDefault="00261EF9" w:rsidP="00261EF9">
    <w:pPr>
      <w:pStyle w:val="Zhlav"/>
      <w:jc w:val="right"/>
    </w:pPr>
    <w:r w:rsidRPr="00261EF9">
      <w:rPr>
        <w:b/>
        <w:sz w:val="24"/>
        <w:szCs w:val="24"/>
      </w:rPr>
      <w:t>01364/DAR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3A2D" w14:textId="77777777" w:rsidR="00261EF9" w:rsidRDefault="00261E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611C9"/>
    <w:rsid w:val="000952E8"/>
    <w:rsid w:val="000D3E3B"/>
    <w:rsid w:val="00140985"/>
    <w:rsid w:val="001955A5"/>
    <w:rsid w:val="001D72E0"/>
    <w:rsid w:val="002100EA"/>
    <w:rsid w:val="00214EC7"/>
    <w:rsid w:val="002250BB"/>
    <w:rsid w:val="00241284"/>
    <w:rsid w:val="00247480"/>
    <w:rsid w:val="00261874"/>
    <w:rsid w:val="00261EF9"/>
    <w:rsid w:val="00273A4F"/>
    <w:rsid w:val="00284023"/>
    <w:rsid w:val="00297DB2"/>
    <w:rsid w:val="002B3F71"/>
    <w:rsid w:val="002C4709"/>
    <w:rsid w:val="002D144D"/>
    <w:rsid w:val="00347DBE"/>
    <w:rsid w:val="00380808"/>
    <w:rsid w:val="003E4A0E"/>
    <w:rsid w:val="00481944"/>
    <w:rsid w:val="004860FA"/>
    <w:rsid w:val="004862D0"/>
    <w:rsid w:val="004D3F55"/>
    <w:rsid w:val="00526E8B"/>
    <w:rsid w:val="0053207F"/>
    <w:rsid w:val="00574512"/>
    <w:rsid w:val="00582CF9"/>
    <w:rsid w:val="005D0A6B"/>
    <w:rsid w:val="005F3A16"/>
    <w:rsid w:val="0061462C"/>
    <w:rsid w:val="00636A06"/>
    <w:rsid w:val="006D11EB"/>
    <w:rsid w:val="006D6329"/>
    <w:rsid w:val="00703576"/>
    <w:rsid w:val="007208D8"/>
    <w:rsid w:val="007333C3"/>
    <w:rsid w:val="007432CB"/>
    <w:rsid w:val="00795710"/>
    <w:rsid w:val="007F7D0F"/>
    <w:rsid w:val="008002A1"/>
    <w:rsid w:val="00812FAD"/>
    <w:rsid w:val="00817757"/>
    <w:rsid w:val="008553D8"/>
    <w:rsid w:val="00871EDC"/>
    <w:rsid w:val="0088234A"/>
    <w:rsid w:val="00887B24"/>
    <w:rsid w:val="008B0A95"/>
    <w:rsid w:val="008B145F"/>
    <w:rsid w:val="008B4BF1"/>
    <w:rsid w:val="008C78A7"/>
    <w:rsid w:val="008E4434"/>
    <w:rsid w:val="009030A1"/>
    <w:rsid w:val="00903FEF"/>
    <w:rsid w:val="0095625B"/>
    <w:rsid w:val="00987884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1015C"/>
    <w:rsid w:val="00B201EF"/>
    <w:rsid w:val="00B4114B"/>
    <w:rsid w:val="00B7203B"/>
    <w:rsid w:val="00BC48B1"/>
    <w:rsid w:val="00BC6F1B"/>
    <w:rsid w:val="00BD1083"/>
    <w:rsid w:val="00BF372B"/>
    <w:rsid w:val="00C51279"/>
    <w:rsid w:val="00C74577"/>
    <w:rsid w:val="00C954B8"/>
    <w:rsid w:val="00CB5C1B"/>
    <w:rsid w:val="00D26E96"/>
    <w:rsid w:val="00D46104"/>
    <w:rsid w:val="00D56632"/>
    <w:rsid w:val="00D612DA"/>
    <w:rsid w:val="00DC331C"/>
    <w:rsid w:val="00E37B6E"/>
    <w:rsid w:val="00E73475"/>
    <w:rsid w:val="00E81C1F"/>
    <w:rsid w:val="00EA29BC"/>
    <w:rsid w:val="00ED610A"/>
    <w:rsid w:val="00EE358D"/>
    <w:rsid w:val="00EF3FF8"/>
    <w:rsid w:val="00F4075E"/>
    <w:rsid w:val="00FB23AF"/>
    <w:rsid w:val="00FB77B7"/>
    <w:rsid w:val="00F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874"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8402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@mer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o-spolecnosti/eticky-kodex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EEFD-0364-4A24-A3B3-CFB1B513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Jitka Koukalová</cp:lastModifiedBy>
  <cp:revision>4</cp:revision>
  <cp:lastPrinted>2019-11-14T09:22:00Z</cp:lastPrinted>
  <dcterms:created xsi:type="dcterms:W3CDTF">2023-03-23T09:43:00Z</dcterms:created>
  <dcterms:modified xsi:type="dcterms:W3CDTF">2023-03-23T09:43:00Z</dcterms:modified>
</cp:coreProperties>
</file>