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8DAD" w14:textId="77777777" w:rsidR="00680E90" w:rsidRPr="00353D8B" w:rsidRDefault="00EC16F4" w:rsidP="005C1925">
      <w:pPr>
        <w:jc w:val="center"/>
        <w:rPr>
          <w:rFonts w:ascii="Tahoma" w:hAnsi="Tahoma" w:cs="Tahoma"/>
          <w:b/>
          <w:bCs/>
          <w:sz w:val="28"/>
          <w:szCs w:val="28"/>
        </w:rPr>
      </w:pPr>
      <w:proofErr w:type="gramStart"/>
      <w:r w:rsidRPr="00353D8B">
        <w:rPr>
          <w:rFonts w:ascii="Tahoma" w:hAnsi="Tahoma" w:cs="Tahoma"/>
          <w:b/>
          <w:bCs/>
          <w:sz w:val="28"/>
          <w:szCs w:val="28"/>
        </w:rPr>
        <w:t xml:space="preserve">Příloha </w:t>
      </w:r>
      <w:r w:rsidR="001F7A46" w:rsidRPr="00353D8B">
        <w:rPr>
          <w:rFonts w:ascii="Tahoma" w:hAnsi="Tahoma" w:cs="Tahoma"/>
          <w:b/>
          <w:bCs/>
          <w:sz w:val="28"/>
          <w:szCs w:val="28"/>
        </w:rPr>
        <w:t xml:space="preserve">- </w:t>
      </w:r>
      <w:r w:rsidR="00680E90" w:rsidRPr="00353D8B">
        <w:rPr>
          <w:rFonts w:ascii="Tahoma" w:hAnsi="Tahoma" w:cs="Tahoma"/>
          <w:b/>
          <w:bCs/>
          <w:sz w:val="28"/>
          <w:szCs w:val="28"/>
        </w:rPr>
        <w:t>Čestné</w:t>
      </w:r>
      <w:proofErr w:type="gramEnd"/>
      <w:r w:rsidR="00680E90" w:rsidRPr="00353D8B">
        <w:rPr>
          <w:rFonts w:ascii="Tahoma" w:hAnsi="Tahoma" w:cs="Tahoma"/>
          <w:b/>
          <w:bCs/>
          <w:sz w:val="28"/>
          <w:szCs w:val="28"/>
        </w:rPr>
        <w:t xml:space="preserve"> prohlášení o splnění </w:t>
      </w:r>
      <w:r w:rsidR="007C2130" w:rsidRPr="00353D8B">
        <w:rPr>
          <w:rFonts w:ascii="Tahoma" w:hAnsi="Tahoma" w:cs="Tahoma"/>
          <w:b/>
          <w:bCs/>
          <w:sz w:val="28"/>
          <w:szCs w:val="28"/>
        </w:rPr>
        <w:t>kvalifikace</w:t>
      </w:r>
    </w:p>
    <w:p w14:paraId="34F88DAE" w14:textId="77777777" w:rsidR="005C1925" w:rsidRDefault="005C1925" w:rsidP="005C1925">
      <w:pPr>
        <w:jc w:val="center"/>
        <w:rPr>
          <w:rFonts w:ascii="Tahoma" w:hAnsi="Tahoma" w:cs="Tahoma"/>
          <w:sz w:val="20"/>
          <w:szCs w:val="20"/>
        </w:rPr>
      </w:pPr>
    </w:p>
    <w:p w14:paraId="34F88DAF" w14:textId="77777777" w:rsidR="00680E90" w:rsidRPr="007C1D39" w:rsidRDefault="00680E90" w:rsidP="005C1925">
      <w:pPr>
        <w:jc w:val="center"/>
        <w:rPr>
          <w:rFonts w:ascii="Tahoma" w:hAnsi="Tahoma" w:cs="Tahoma"/>
          <w:sz w:val="20"/>
          <w:szCs w:val="20"/>
        </w:rPr>
      </w:pPr>
    </w:p>
    <w:p w14:paraId="34F88DB0" w14:textId="77777777" w:rsidR="00BE4C87" w:rsidRDefault="00F604E4" w:rsidP="005C1925">
      <w:pPr>
        <w:rPr>
          <w:rFonts w:ascii="Tahoma" w:hAnsi="Tahoma" w:cs="Tahoma"/>
          <w:noProof/>
          <w:sz w:val="20"/>
          <w:szCs w:val="20"/>
        </w:rPr>
      </w:pPr>
      <w:r>
        <w:rPr>
          <w:rFonts w:ascii="Tahoma" w:hAnsi="Tahoma" w:cs="Tahoma"/>
          <w:noProof/>
          <w:sz w:val="20"/>
          <w:szCs w:val="20"/>
        </w:rPr>
        <mc:AlternateContent>
          <mc:Choice Requires="wpc">
            <w:drawing>
              <wp:inline distT="0" distB="0" distL="0" distR="0" wp14:anchorId="34F88DF0" wp14:editId="16D93E03">
                <wp:extent cx="5715000" cy="819150"/>
                <wp:effectExtent l="19050" t="19050" r="19050" b="0"/>
                <wp:docPr id="3"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0" y="0"/>
                            <a:ext cx="5715000" cy="685800"/>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5E96AFF6" w14:textId="7DFB4001" w:rsidR="00265546" w:rsidRDefault="00BD742F" w:rsidP="00265546">
                              <w:pPr>
                                <w:jc w:val="center"/>
                                <w:rPr>
                                  <w:rFonts w:ascii="Tahoma" w:hAnsi="Tahoma" w:cs="Tahoma"/>
                                  <w:b/>
                                  <w:sz w:val="32"/>
                                  <w:szCs w:val="32"/>
                                </w:rPr>
                              </w:pPr>
                              <w:r>
                                <w:rPr>
                                  <w:rFonts w:ascii="Tahoma" w:hAnsi="Tahoma" w:cs="Tahoma"/>
                                  <w:b/>
                                  <w:sz w:val="32"/>
                                  <w:szCs w:val="32"/>
                                </w:rPr>
                                <w:t>„</w:t>
                              </w:r>
                              <w:r w:rsidR="00265546">
                                <w:rPr>
                                  <w:rFonts w:ascii="Tahoma" w:hAnsi="Tahoma" w:cs="Tahoma"/>
                                  <w:b/>
                                  <w:sz w:val="32"/>
                                  <w:szCs w:val="32"/>
                                </w:rPr>
                                <w:t xml:space="preserve">Zajištění outdoorové kampaně s názvem </w:t>
                              </w:r>
                            </w:p>
                            <w:p w14:paraId="55E94B8E" w14:textId="4581F35A" w:rsidR="00265546" w:rsidRPr="0022485E" w:rsidRDefault="00344075" w:rsidP="00265546">
                              <w:pPr>
                                <w:jc w:val="center"/>
                                <w:rPr>
                                  <w:rFonts w:ascii="Tahoma" w:hAnsi="Tahoma" w:cs="Tahoma"/>
                                  <w:b/>
                                  <w:bCs/>
                                  <w:sz w:val="32"/>
                                  <w:szCs w:val="32"/>
                                </w:rPr>
                              </w:pPr>
                              <w:r>
                                <w:rPr>
                                  <w:rFonts w:ascii="Tahoma" w:hAnsi="Tahoma" w:cs="Tahoma"/>
                                  <w:b/>
                                  <w:sz w:val="32"/>
                                  <w:szCs w:val="32"/>
                                </w:rPr>
                                <w:t>Zahájení předprodeje 128. sezony 3. 4. 2023</w:t>
                              </w:r>
                              <w:r w:rsidR="00570F54">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wps:txbx>
                        <wps:bodyPr rot="0" vert="horz" wrap="square" lIns="91440" tIns="45720" rIns="91440" bIns="45720" anchor="t" anchorCtr="0" upright="1">
                          <a:noAutofit/>
                        </wps:bodyPr>
                      </wps:wsp>
                    </wpc:wpc>
                  </a:graphicData>
                </a:graphic>
              </wp:inline>
            </w:drawing>
          </mc:Choice>
          <mc:Fallback>
            <w:pict>
              <v:group w14:anchorId="34F88DF0" id="Plátno 2" o:spid="_x0000_s1026" editas="canvas" style="width:450pt;height:64.5pt;mso-position-horizontal-relative:char;mso-position-vertical-relative:line" coordsize="57150,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819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width:5715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14:paraId="5E96AFF6" w14:textId="7DFB4001" w:rsidR="00265546" w:rsidRDefault="00BD742F" w:rsidP="00265546">
                        <w:pPr>
                          <w:jc w:val="center"/>
                          <w:rPr>
                            <w:rFonts w:ascii="Tahoma" w:hAnsi="Tahoma" w:cs="Tahoma"/>
                            <w:b/>
                            <w:sz w:val="32"/>
                            <w:szCs w:val="32"/>
                          </w:rPr>
                        </w:pPr>
                        <w:r>
                          <w:rPr>
                            <w:rFonts w:ascii="Tahoma" w:hAnsi="Tahoma" w:cs="Tahoma"/>
                            <w:b/>
                            <w:sz w:val="32"/>
                            <w:szCs w:val="32"/>
                          </w:rPr>
                          <w:t>„</w:t>
                        </w:r>
                        <w:r w:rsidR="00265546">
                          <w:rPr>
                            <w:rFonts w:ascii="Tahoma" w:hAnsi="Tahoma" w:cs="Tahoma"/>
                            <w:b/>
                            <w:sz w:val="32"/>
                            <w:szCs w:val="32"/>
                          </w:rPr>
                          <w:t xml:space="preserve">Zajištění </w:t>
                        </w:r>
                        <w:proofErr w:type="spellStart"/>
                        <w:r w:rsidR="00265546">
                          <w:rPr>
                            <w:rFonts w:ascii="Tahoma" w:hAnsi="Tahoma" w:cs="Tahoma"/>
                            <w:b/>
                            <w:sz w:val="32"/>
                            <w:szCs w:val="32"/>
                          </w:rPr>
                          <w:t>outdoorové</w:t>
                        </w:r>
                        <w:proofErr w:type="spellEnd"/>
                        <w:r w:rsidR="00265546">
                          <w:rPr>
                            <w:rFonts w:ascii="Tahoma" w:hAnsi="Tahoma" w:cs="Tahoma"/>
                            <w:b/>
                            <w:sz w:val="32"/>
                            <w:szCs w:val="32"/>
                          </w:rPr>
                          <w:t xml:space="preserve"> kampaně s názvem </w:t>
                        </w:r>
                      </w:p>
                      <w:p w14:paraId="55E94B8E" w14:textId="4581F35A" w:rsidR="00265546" w:rsidRPr="0022485E" w:rsidRDefault="00344075" w:rsidP="00265546">
                        <w:pPr>
                          <w:jc w:val="center"/>
                          <w:rPr>
                            <w:rFonts w:ascii="Tahoma" w:hAnsi="Tahoma" w:cs="Tahoma"/>
                            <w:b/>
                            <w:bCs/>
                            <w:sz w:val="32"/>
                            <w:szCs w:val="32"/>
                          </w:rPr>
                        </w:pPr>
                        <w:r>
                          <w:rPr>
                            <w:rFonts w:ascii="Tahoma" w:hAnsi="Tahoma" w:cs="Tahoma"/>
                            <w:b/>
                            <w:sz w:val="32"/>
                            <w:szCs w:val="32"/>
                          </w:rPr>
                          <w:t>Zahájení předprodeje 128. sezony 3. 4. 2023</w:t>
                        </w:r>
                        <w:bookmarkStart w:id="1" w:name="_GoBack"/>
                        <w:bookmarkEnd w:id="1"/>
                        <w:r w:rsidR="00570F54">
                          <w:rPr>
                            <w:rFonts w:ascii="Tahoma" w:hAnsi="Tahoma" w:cs="Tahoma"/>
                            <w:b/>
                            <w:sz w:val="32"/>
                            <w:szCs w:val="32"/>
                          </w:rPr>
                          <w:t>“</w:t>
                        </w:r>
                      </w:p>
                      <w:p w14:paraId="34F88E02" w14:textId="77777777" w:rsidR="005D3953" w:rsidRPr="0022485E" w:rsidRDefault="005D3953" w:rsidP="005E0697">
                        <w:pPr>
                          <w:jc w:val="center"/>
                          <w:rPr>
                            <w:rFonts w:ascii="Tahoma" w:hAnsi="Tahoma" w:cs="Tahoma"/>
                            <w:b/>
                            <w:sz w:val="32"/>
                            <w:szCs w:val="32"/>
                          </w:rPr>
                        </w:pPr>
                      </w:p>
                    </w:txbxContent>
                  </v:textbox>
                </v:shape>
                <w10:anchorlock/>
              </v:group>
            </w:pict>
          </mc:Fallback>
        </mc:AlternateContent>
      </w:r>
    </w:p>
    <w:p w14:paraId="34F88DB1" w14:textId="77777777" w:rsidR="005C1925" w:rsidRDefault="005C1925" w:rsidP="005C1925">
      <w:pPr>
        <w:rPr>
          <w:rFonts w:ascii="Tahoma" w:hAnsi="Tahoma" w:cs="Tahoma"/>
          <w:b/>
          <w:bCs/>
          <w:color w:val="000080"/>
          <w:sz w:val="20"/>
          <w:szCs w:val="20"/>
        </w:rPr>
      </w:pPr>
    </w:p>
    <w:p w14:paraId="34F88DB2"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34F88DB3"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0" behindDoc="0" locked="1" layoutInCell="1" allowOverlap="1" wp14:anchorId="34F88DF2" wp14:editId="34F88DF3">
                <wp:simplePos x="0" y="0"/>
                <wp:positionH relativeFrom="column">
                  <wp:posOffset>0</wp:posOffset>
                </wp:positionH>
                <wp:positionV relativeFrom="paragraph">
                  <wp:posOffset>114299</wp:posOffset>
                </wp:positionV>
                <wp:extent cx="57150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E06E2" id="Line 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KhEg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" strokecolor="navy" strokeweight="1.5pt">
                <w10:anchorlock/>
              </v:line>
            </w:pict>
          </mc:Fallback>
        </mc:AlternateContent>
      </w:r>
      <w:r w:rsidR="00BE4C87" w:rsidRPr="007C1D39">
        <w:rPr>
          <w:rFonts w:ascii="Tahoma" w:hAnsi="Tahoma" w:cs="Tahoma"/>
          <w:sz w:val="20"/>
          <w:szCs w:val="20"/>
        </w:rPr>
        <w:tab/>
      </w:r>
    </w:p>
    <w:p w14:paraId="34F88DB4" w14:textId="77777777" w:rsidR="00BE4C87" w:rsidRPr="007C1D39" w:rsidRDefault="00BE4C87" w:rsidP="00BE4C87">
      <w:pPr>
        <w:rPr>
          <w:rFonts w:ascii="Tahoma" w:hAnsi="Tahoma" w:cs="Tahoma"/>
          <w:sz w:val="20"/>
          <w:szCs w:val="20"/>
        </w:rPr>
      </w:pPr>
    </w:p>
    <w:p w14:paraId="73EFCA03" w14:textId="77777777" w:rsidR="00663A09" w:rsidRPr="00E21406" w:rsidRDefault="00663A09" w:rsidP="00663A09">
      <w:pPr>
        <w:pStyle w:val="Nzev"/>
        <w:jc w:val="left"/>
        <w:rPr>
          <w:rFonts w:ascii="Tahoma" w:hAnsi="Tahoma" w:cs="Tahoma"/>
          <w:b/>
          <w:sz w:val="20"/>
          <w:szCs w:val="20"/>
        </w:rPr>
      </w:pPr>
      <w:r w:rsidRPr="00E21406">
        <w:rPr>
          <w:rFonts w:ascii="Tahoma" w:hAnsi="Tahoma" w:cs="Tahoma"/>
          <w:b/>
          <w:sz w:val="20"/>
          <w:szCs w:val="20"/>
        </w:rPr>
        <w:t>Česká filharmonie, příspěvková organizace</w:t>
      </w:r>
    </w:p>
    <w:p w14:paraId="5125B872" w14:textId="77777777" w:rsidR="00663A09" w:rsidRPr="007D5850" w:rsidRDefault="00663A09" w:rsidP="00663A09">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Alšovo nábřeží 79/12, 110 00 Praha 1</w:t>
      </w:r>
    </w:p>
    <w:p w14:paraId="2F21C1DC" w14:textId="77777777" w:rsidR="00663A09" w:rsidRPr="00045E5F" w:rsidRDefault="00663A09" w:rsidP="00663A09">
      <w:pPr>
        <w:pStyle w:val="Nzev"/>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t>00023264</w:t>
      </w:r>
    </w:p>
    <w:p w14:paraId="3D16E399" w14:textId="77777777" w:rsidR="00663A09" w:rsidRDefault="00663A09" w:rsidP="00663A09">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t>CZ00023264</w:t>
      </w:r>
    </w:p>
    <w:p w14:paraId="322633C8" w14:textId="77777777" w:rsidR="00663A09" w:rsidRDefault="00663A09" w:rsidP="00663A09">
      <w:pPr>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t>MgA. Davidem Marečkem, Ph.D., generálním ředitelem</w:t>
      </w:r>
    </w:p>
    <w:p w14:paraId="7E9D5944" w14:textId="77777777" w:rsidR="00663A09" w:rsidRDefault="00663A09" w:rsidP="00663A09">
      <w:pPr>
        <w:rPr>
          <w:rFonts w:ascii="Tahoma" w:hAnsi="Tahoma" w:cs="Tahoma"/>
          <w:sz w:val="20"/>
          <w:szCs w:val="20"/>
        </w:rPr>
      </w:pPr>
    </w:p>
    <w:p w14:paraId="34F88DBA" w14:textId="77777777" w:rsidR="00045E5F" w:rsidRPr="007D5850" w:rsidRDefault="00045E5F" w:rsidP="00BE4C87">
      <w:pPr>
        <w:rPr>
          <w:rFonts w:ascii="Tahoma" w:hAnsi="Tahoma" w:cs="Tahoma"/>
          <w:b/>
          <w:bCs/>
          <w:caps/>
          <w:color w:val="000080"/>
          <w:sz w:val="20"/>
          <w:szCs w:val="20"/>
        </w:rPr>
      </w:pPr>
    </w:p>
    <w:p w14:paraId="34F88DBB"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34F88DBC"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1" behindDoc="0" locked="1" layoutInCell="1" allowOverlap="1" wp14:anchorId="34F88DF4" wp14:editId="34F88DF5">
                <wp:simplePos x="0" y="0"/>
                <wp:positionH relativeFrom="column">
                  <wp:posOffset>0</wp:posOffset>
                </wp:positionH>
                <wp:positionV relativeFrom="paragraph">
                  <wp:posOffset>114299</wp:posOffset>
                </wp:positionV>
                <wp:extent cx="5715000" cy="0"/>
                <wp:effectExtent l="0" t="0" r="19050" b="1905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8CB07" id="Line 7"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" strokecolor="navy" strokeweight="1.5pt">
                <w10:anchorlock/>
              </v:line>
            </w:pict>
          </mc:Fallback>
        </mc:AlternateContent>
      </w:r>
      <w:r w:rsidR="00BE4C87" w:rsidRPr="007C1D39">
        <w:rPr>
          <w:rFonts w:ascii="Tahoma" w:hAnsi="Tahoma" w:cs="Tahoma"/>
          <w:sz w:val="20"/>
          <w:szCs w:val="20"/>
        </w:rPr>
        <w:tab/>
      </w:r>
    </w:p>
    <w:p w14:paraId="34F88DBD" w14:textId="77777777" w:rsidR="00EC16F4" w:rsidRDefault="00EC16F4" w:rsidP="00362CD9">
      <w:pPr>
        <w:rPr>
          <w:rFonts w:ascii="Tahoma" w:hAnsi="Tahoma" w:cs="Tahoma"/>
          <w:sz w:val="20"/>
          <w:szCs w:val="20"/>
        </w:rPr>
      </w:pPr>
    </w:p>
    <w:p w14:paraId="7443BB0C" w14:textId="77777777" w:rsidR="00762E61" w:rsidRDefault="00762E61" w:rsidP="00680E90">
      <w:pPr>
        <w:rPr>
          <w:rFonts w:ascii="Tahoma" w:hAnsi="Tahoma" w:cs="Tahoma"/>
          <w:b/>
          <w:sz w:val="20"/>
          <w:szCs w:val="20"/>
        </w:rPr>
      </w:pPr>
      <w:r>
        <w:rPr>
          <w:rFonts w:ascii="Tahoma" w:hAnsi="Tahoma" w:cs="Tahoma"/>
          <w:b/>
          <w:sz w:val="20"/>
          <w:szCs w:val="20"/>
        </w:rPr>
        <w:t>ADJUST ART, spol. s r.o.</w:t>
      </w:r>
    </w:p>
    <w:p w14:paraId="34F88DBF" w14:textId="4D47328A"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00762E61">
        <w:rPr>
          <w:rFonts w:ascii="Tahoma" w:hAnsi="Tahoma" w:cs="Tahoma"/>
          <w:sz w:val="20"/>
          <w:szCs w:val="20"/>
        </w:rPr>
        <w:t xml:space="preserve">Národní 961/25, 110 </w:t>
      </w:r>
      <w:proofErr w:type="gramStart"/>
      <w:r w:rsidR="00762E61">
        <w:rPr>
          <w:rFonts w:ascii="Tahoma" w:hAnsi="Tahoma" w:cs="Tahoma"/>
          <w:sz w:val="20"/>
          <w:szCs w:val="20"/>
        </w:rPr>
        <w:t>00  Praha</w:t>
      </w:r>
      <w:proofErr w:type="gramEnd"/>
      <w:r w:rsidR="00762E61">
        <w:rPr>
          <w:rFonts w:ascii="Tahoma" w:hAnsi="Tahoma" w:cs="Tahoma"/>
          <w:sz w:val="20"/>
          <w:szCs w:val="20"/>
        </w:rPr>
        <w:t xml:space="preserve"> 1</w:t>
      </w:r>
      <w:r w:rsidRPr="00680E90">
        <w:rPr>
          <w:rFonts w:ascii="Tahoma" w:hAnsi="Tahoma" w:cs="Tahoma"/>
          <w:sz w:val="20"/>
          <w:szCs w:val="20"/>
        </w:rPr>
        <w:t xml:space="preserve"> </w:t>
      </w:r>
    </w:p>
    <w:p w14:paraId="34F88DC0" w14:textId="3EE2B8C1"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62E61">
        <w:rPr>
          <w:rFonts w:ascii="Tahoma" w:hAnsi="Tahoma" w:cs="Tahoma"/>
          <w:sz w:val="20"/>
          <w:szCs w:val="20"/>
        </w:rPr>
        <w:t>Ivana Zemancová, jednatelka</w:t>
      </w:r>
    </w:p>
    <w:p w14:paraId="34F88DC1" w14:textId="25A190E7"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00762E61">
        <w:rPr>
          <w:rFonts w:ascii="Tahoma" w:hAnsi="Tahoma" w:cs="Tahoma"/>
          <w:sz w:val="20"/>
          <w:szCs w:val="20"/>
        </w:rPr>
        <w:t>25636057</w:t>
      </w:r>
    </w:p>
    <w:p w14:paraId="34F88DC2" w14:textId="77777777" w:rsidR="00680E90" w:rsidRDefault="00680E90" w:rsidP="00EC16F4">
      <w:pPr>
        <w:rPr>
          <w:rFonts w:ascii="Tahoma" w:hAnsi="Tahoma" w:cs="Tahoma"/>
          <w:sz w:val="20"/>
          <w:szCs w:val="20"/>
        </w:rPr>
      </w:pPr>
    </w:p>
    <w:p w14:paraId="34F88DC3" w14:textId="77777777" w:rsidR="00680E90" w:rsidRDefault="00680E90" w:rsidP="00EC16F4">
      <w:pPr>
        <w:rPr>
          <w:rFonts w:ascii="Tahoma" w:hAnsi="Tahoma" w:cs="Tahoma"/>
          <w:sz w:val="20"/>
          <w:szCs w:val="20"/>
        </w:rPr>
      </w:pPr>
    </w:p>
    <w:p w14:paraId="34F88DC4" w14:textId="77777777"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14:paraId="34F88DC5" w14:textId="77777777" w:rsidR="00EC16F4" w:rsidRPr="00680E90" w:rsidRDefault="00EC16F4" w:rsidP="00EC16F4">
      <w:pPr>
        <w:rPr>
          <w:rFonts w:ascii="Tahoma" w:hAnsi="Tahoma" w:cs="Tahoma"/>
          <w:b/>
          <w:sz w:val="20"/>
          <w:szCs w:val="20"/>
        </w:rPr>
      </w:pPr>
    </w:p>
    <w:p w14:paraId="34F88DC6" w14:textId="77777777"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EC16F4" w:rsidRPr="00A03AA5">
        <w:rPr>
          <w:rFonts w:ascii="Tahoma" w:hAnsi="Tahoma" w:cs="Tahoma"/>
          <w:sz w:val="20"/>
          <w:szCs w:val="20"/>
        </w:rPr>
        <w:t>:</w:t>
      </w:r>
    </w:p>
    <w:p w14:paraId="34F88DC7" w14:textId="77777777" w:rsidR="00EC16F4" w:rsidRPr="00EC16F4" w:rsidRDefault="00EC16F4" w:rsidP="00EC16F4">
      <w:pPr>
        <w:rPr>
          <w:rFonts w:ascii="Tahoma" w:hAnsi="Tahoma" w:cs="Tahoma"/>
          <w:sz w:val="20"/>
          <w:szCs w:val="20"/>
        </w:rPr>
      </w:pPr>
    </w:p>
    <w:p w14:paraId="34F88DC8"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34F88DC9" w14:textId="77777777" w:rsidR="009C369C" w:rsidRDefault="009C369C" w:rsidP="009C369C">
      <w:pPr>
        <w:pStyle w:val="Default"/>
        <w:ind w:left="1134" w:hanging="288"/>
        <w:jc w:val="both"/>
        <w:rPr>
          <w:rFonts w:ascii="Tahoma" w:hAnsi="Tahoma" w:cs="Tahoma"/>
          <w:sz w:val="20"/>
          <w:szCs w:val="20"/>
        </w:rPr>
      </w:pPr>
    </w:p>
    <w:p w14:paraId="34F88DCA"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34F88DCB" w14:textId="77777777" w:rsidR="00E558DF" w:rsidRDefault="00E558DF" w:rsidP="00271C50">
      <w:pPr>
        <w:pStyle w:val="Default"/>
        <w:ind w:left="709" w:hanging="288"/>
        <w:jc w:val="both"/>
        <w:rPr>
          <w:rFonts w:ascii="Tahoma" w:hAnsi="Tahoma" w:cs="Tahoma"/>
          <w:sz w:val="20"/>
          <w:szCs w:val="20"/>
        </w:rPr>
      </w:pPr>
    </w:p>
    <w:p w14:paraId="34F88DCC"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34F88DCD" w14:textId="77777777" w:rsidR="00271C50" w:rsidRDefault="00271C50" w:rsidP="00271C50">
      <w:pPr>
        <w:pStyle w:val="Default"/>
        <w:ind w:left="709" w:hanging="288"/>
        <w:jc w:val="both"/>
        <w:rPr>
          <w:rFonts w:ascii="Tahoma" w:hAnsi="Tahoma" w:cs="Tahoma"/>
          <w:sz w:val="20"/>
          <w:szCs w:val="20"/>
        </w:rPr>
      </w:pPr>
    </w:p>
    <w:p w14:paraId="34F88DCE"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34F88DCF" w14:textId="77777777" w:rsidR="009C369C" w:rsidRPr="002553F3" w:rsidRDefault="009C369C" w:rsidP="009C369C">
      <w:pPr>
        <w:pStyle w:val="Default"/>
        <w:ind w:left="993" w:hanging="284"/>
        <w:jc w:val="both"/>
        <w:rPr>
          <w:rFonts w:ascii="Tahoma" w:hAnsi="Tahoma" w:cs="Tahoma"/>
          <w:sz w:val="20"/>
          <w:szCs w:val="20"/>
        </w:rPr>
      </w:pPr>
    </w:p>
    <w:p w14:paraId="34F88DD0"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14:paraId="34F88DD1" w14:textId="77777777" w:rsidR="00E558DF" w:rsidRDefault="00E558DF" w:rsidP="00A03AA5">
      <w:pPr>
        <w:pStyle w:val="Default"/>
        <w:ind w:left="709" w:hanging="284"/>
        <w:jc w:val="both"/>
        <w:rPr>
          <w:rFonts w:ascii="Tahoma" w:hAnsi="Tahoma" w:cs="Tahoma"/>
          <w:sz w:val="20"/>
          <w:szCs w:val="20"/>
        </w:rPr>
      </w:pPr>
    </w:p>
    <w:p w14:paraId="34F88DD2" w14:textId="77777777"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34F88DD3" w14:textId="77777777" w:rsidR="00E558DF" w:rsidRDefault="00E558DF" w:rsidP="00E558DF">
      <w:pPr>
        <w:pStyle w:val="Default"/>
        <w:ind w:left="709" w:hanging="1"/>
        <w:jc w:val="both"/>
        <w:rPr>
          <w:rFonts w:ascii="Tahoma" w:hAnsi="Tahoma" w:cs="Tahoma"/>
          <w:sz w:val="20"/>
          <w:szCs w:val="20"/>
        </w:rPr>
      </w:pPr>
    </w:p>
    <w:p w14:paraId="34F88DD4" w14:textId="77777777" w:rsidR="00E558DF" w:rsidRDefault="00E558DF" w:rsidP="001F7245">
      <w:pPr>
        <w:pStyle w:val="Default"/>
        <w:ind w:left="993" w:hanging="285"/>
        <w:jc w:val="both"/>
        <w:rPr>
          <w:rFonts w:ascii="Tahoma" w:hAnsi="Tahoma" w:cs="Tahoma"/>
          <w:sz w:val="20"/>
          <w:szCs w:val="20"/>
        </w:rPr>
      </w:pPr>
      <w:r>
        <w:rPr>
          <w:rFonts w:ascii="Tahoma" w:hAnsi="Tahoma" w:cs="Tahoma"/>
          <w:sz w:val="20"/>
          <w:szCs w:val="20"/>
        </w:rPr>
        <w:lastRenderedPageBreak/>
        <w:t>g)</w:t>
      </w:r>
      <w:r>
        <w:rPr>
          <w:rFonts w:ascii="Tahoma" w:hAnsi="Tahoma" w:cs="Tahoma"/>
          <w:sz w:val="20"/>
          <w:szCs w:val="20"/>
        </w:rPr>
        <w:tab/>
        <w:t xml:space="preserve">Je-li účastníkem pobočka závodu zahraniční právnické osoby, splňuje podmínku dle písm. a) tato právnická osoba a vedoucí pobočky závodu. </w:t>
      </w:r>
    </w:p>
    <w:p w14:paraId="34F88DD5" w14:textId="77777777" w:rsidR="00E558DF" w:rsidRDefault="00E558DF" w:rsidP="00E558DF">
      <w:pPr>
        <w:pStyle w:val="Default"/>
        <w:ind w:left="709" w:hanging="1"/>
        <w:jc w:val="both"/>
        <w:rPr>
          <w:rFonts w:ascii="Tahoma" w:hAnsi="Tahoma" w:cs="Tahoma"/>
          <w:sz w:val="20"/>
          <w:szCs w:val="20"/>
        </w:rPr>
      </w:pPr>
    </w:p>
    <w:p w14:paraId="34F88DD6" w14:textId="77777777" w:rsidR="00E558DF" w:rsidRDefault="001F7245" w:rsidP="001F7245">
      <w:pPr>
        <w:pStyle w:val="Default"/>
        <w:ind w:left="993" w:hanging="285"/>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34F88DD7" w14:textId="77777777" w:rsidR="005D3953" w:rsidRDefault="005D3953" w:rsidP="009C369C">
      <w:pPr>
        <w:pStyle w:val="Default"/>
        <w:ind w:left="1134" w:hanging="284"/>
        <w:jc w:val="both"/>
        <w:rPr>
          <w:rFonts w:ascii="Tahoma" w:hAnsi="Tahoma" w:cs="Tahoma"/>
          <w:sz w:val="20"/>
          <w:szCs w:val="20"/>
        </w:rPr>
      </w:pPr>
    </w:p>
    <w:p w14:paraId="34F88DD8" w14:textId="77777777" w:rsidR="000C4FEE" w:rsidRPr="00277680"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Pr="000C4FEE">
        <w:rPr>
          <w:rFonts w:ascii="Tahoma" w:hAnsi="Tahoma" w:cs="Tahoma"/>
          <w:b/>
          <w:sz w:val="20"/>
        </w:rPr>
        <w:t xml:space="preserve">ve smyslu </w:t>
      </w:r>
      <w:r w:rsidR="004110C2">
        <w:rPr>
          <w:rFonts w:ascii="Tahoma" w:hAnsi="Tahoma" w:cs="Tahoma"/>
          <w:b/>
          <w:sz w:val="20"/>
        </w:rPr>
        <w:t>ZZVZ;</w:t>
      </w:r>
    </w:p>
    <w:p w14:paraId="34F88DD9" w14:textId="77777777" w:rsidR="00277680" w:rsidRPr="00C7305B" w:rsidRDefault="00277680" w:rsidP="00277680">
      <w:pPr>
        <w:autoSpaceDE w:val="0"/>
        <w:autoSpaceDN w:val="0"/>
        <w:adjustRightInd w:val="0"/>
        <w:spacing w:before="12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14:paraId="34F88DDA" w14:textId="77777777" w:rsidR="001F7245" w:rsidRDefault="00277680" w:rsidP="00277680">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je oprávněn podnikat v rozsahu odpovídajícím</w:t>
      </w:r>
      <w:r w:rsidR="001F7245">
        <w:rPr>
          <w:rFonts w:ascii="Tahoma" w:hAnsi="Tahoma" w:cs="Tahoma"/>
          <w:color w:val="000000"/>
          <w:sz w:val="20"/>
          <w:szCs w:val="20"/>
        </w:rPr>
        <w:t>u</w:t>
      </w:r>
      <w:r>
        <w:rPr>
          <w:rFonts w:ascii="Tahoma" w:hAnsi="Tahoma" w:cs="Tahoma"/>
          <w:color w:val="000000"/>
          <w:sz w:val="20"/>
          <w:szCs w:val="20"/>
        </w:rPr>
        <w:t xml:space="preserve"> předmětu </w:t>
      </w:r>
      <w:r w:rsidRPr="00C7305B">
        <w:rPr>
          <w:rFonts w:ascii="Tahoma" w:hAnsi="Tahoma" w:cs="Tahoma"/>
          <w:color w:val="000000"/>
          <w:sz w:val="20"/>
          <w:szCs w:val="20"/>
        </w:rPr>
        <w:t xml:space="preserve">veřejné zakázky, </w:t>
      </w:r>
      <w:r>
        <w:rPr>
          <w:rFonts w:ascii="Tahoma" w:hAnsi="Tahoma" w:cs="Tahoma"/>
          <w:color w:val="000000"/>
          <w:sz w:val="20"/>
          <w:szCs w:val="20"/>
        </w:rPr>
        <w:t>pokud jiné právní předpisy takové oprávnění vyžadují</w:t>
      </w:r>
    </w:p>
    <w:p w14:paraId="34F88DDB" w14:textId="77777777" w:rsidR="00C52AC3" w:rsidRDefault="00C52AC3" w:rsidP="00277680">
      <w:pPr>
        <w:autoSpaceDE w:val="0"/>
        <w:autoSpaceDN w:val="0"/>
        <w:adjustRightInd w:val="0"/>
        <w:spacing w:before="120"/>
        <w:ind w:left="709" w:hanging="283"/>
        <w:jc w:val="both"/>
        <w:rPr>
          <w:rFonts w:ascii="Tahoma" w:hAnsi="Tahoma" w:cs="Tahoma"/>
          <w:color w:val="000000"/>
          <w:sz w:val="20"/>
          <w:szCs w:val="20"/>
        </w:rPr>
      </w:pPr>
    </w:p>
    <w:p w14:paraId="34FCA26F" w14:textId="69041037" w:rsidR="00F60307" w:rsidRPr="007F61DE" w:rsidRDefault="00F60307" w:rsidP="00C52AC3">
      <w:pPr>
        <w:pStyle w:val="Odstavecseseznamem"/>
        <w:numPr>
          <w:ilvl w:val="0"/>
          <w:numId w:val="6"/>
        </w:numPr>
        <w:ind w:left="993"/>
        <w:rPr>
          <w:rFonts w:ascii="Tahoma" w:eastAsia="Tahoma" w:hAnsi="Tahoma" w:cs="Tahoma"/>
          <w:color w:val="000000"/>
          <w:sz w:val="20"/>
          <w:szCs w:val="22"/>
        </w:rPr>
      </w:pPr>
      <w:r w:rsidRPr="007F61DE">
        <w:rPr>
          <w:rFonts w:ascii="Tahoma" w:eastAsia="Tahoma" w:hAnsi="Tahoma" w:cs="Tahoma"/>
          <w:color w:val="000000"/>
          <w:sz w:val="20"/>
          <w:szCs w:val="22"/>
        </w:rPr>
        <w:t>reklamní činnost, marketing, mediální zastoupení</w:t>
      </w:r>
    </w:p>
    <w:p w14:paraId="15370447" w14:textId="77777777" w:rsidR="0084535D" w:rsidRDefault="0084535D" w:rsidP="0084535D">
      <w:pPr>
        <w:pStyle w:val="Odstavecseseznamem"/>
        <w:ind w:left="993"/>
        <w:rPr>
          <w:rFonts w:ascii="Tahoma" w:eastAsia="Tahoma" w:hAnsi="Tahoma" w:cs="Tahoma"/>
          <w:color w:val="000000"/>
          <w:sz w:val="20"/>
          <w:szCs w:val="22"/>
          <w:highlight w:val="cyan"/>
        </w:rPr>
      </w:pPr>
    </w:p>
    <w:p w14:paraId="42AE4959" w14:textId="77777777" w:rsidR="00384ED6" w:rsidRPr="00384ED6" w:rsidRDefault="00384ED6" w:rsidP="00384ED6">
      <w:pPr>
        <w:pStyle w:val="Odstavecseseznamem"/>
        <w:ind w:left="786"/>
        <w:rPr>
          <w:rFonts w:ascii="Tahoma" w:eastAsia="Tahoma" w:hAnsi="Tahoma" w:cs="Tahoma"/>
          <w:color w:val="000000"/>
          <w:sz w:val="20"/>
          <w:szCs w:val="22"/>
          <w:highlight w:val="cyan"/>
        </w:rPr>
      </w:pPr>
    </w:p>
    <w:p w14:paraId="34F88DDE" w14:textId="77777777" w:rsidR="00F604E4" w:rsidRDefault="00F604E4" w:rsidP="00F604E4">
      <w:pPr>
        <w:jc w:val="both"/>
        <w:rPr>
          <w:rFonts w:ascii="Tahoma" w:hAnsi="Tahoma" w:cs="Tahoma"/>
          <w:sz w:val="20"/>
          <w:szCs w:val="20"/>
        </w:rPr>
      </w:pPr>
    </w:p>
    <w:p w14:paraId="34F88DDF" w14:textId="330C9A8E"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k žádosti zadavatele v řízení kdykoli předložit doklady </w:t>
      </w:r>
      <w:r w:rsidR="004B3F4B">
        <w:rPr>
          <w:rFonts w:ascii="Tahoma" w:hAnsi="Tahoma" w:cs="Tahoma"/>
          <w:sz w:val="20"/>
          <w:szCs w:val="20"/>
        </w:rPr>
        <w:t>analogicky k</w:t>
      </w:r>
      <w:r>
        <w:rPr>
          <w:rFonts w:ascii="Tahoma" w:hAnsi="Tahoma" w:cs="Tahoma"/>
          <w:sz w:val="20"/>
          <w:szCs w:val="20"/>
        </w:rPr>
        <w:t xml:space="preserve"> § 73 a násl. ZZVZ k prokázání </w:t>
      </w:r>
      <w:r w:rsidR="00F604E4">
        <w:rPr>
          <w:rFonts w:ascii="Tahoma" w:hAnsi="Tahoma" w:cs="Tahoma"/>
          <w:sz w:val="20"/>
          <w:szCs w:val="20"/>
        </w:rPr>
        <w:t>výše uvedených prohlášení.</w:t>
      </w:r>
    </w:p>
    <w:p w14:paraId="34F88DE0" w14:textId="77777777" w:rsidR="00F604E4" w:rsidRDefault="00F604E4" w:rsidP="00F604E4">
      <w:pPr>
        <w:jc w:val="both"/>
        <w:rPr>
          <w:rFonts w:ascii="Tahoma" w:hAnsi="Tahoma" w:cs="Tahoma"/>
          <w:sz w:val="20"/>
          <w:szCs w:val="20"/>
        </w:rPr>
      </w:pPr>
    </w:p>
    <w:p w14:paraId="34F88DE1"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4F88DE2" w14:textId="77777777" w:rsidR="001F7245" w:rsidRDefault="001F7245" w:rsidP="00EC16F4">
      <w:pPr>
        <w:rPr>
          <w:rFonts w:ascii="Tahoma" w:hAnsi="Tahoma" w:cs="Tahoma"/>
          <w:sz w:val="20"/>
          <w:szCs w:val="20"/>
        </w:rPr>
      </w:pPr>
    </w:p>
    <w:p w14:paraId="3B3C0DF4" w14:textId="77777777" w:rsidR="0048333B" w:rsidRDefault="0048333B" w:rsidP="00EC16F4">
      <w:pPr>
        <w:rPr>
          <w:rFonts w:ascii="Tahoma" w:hAnsi="Tahoma" w:cs="Tahoma"/>
          <w:sz w:val="20"/>
          <w:szCs w:val="20"/>
        </w:rPr>
      </w:pPr>
    </w:p>
    <w:p w14:paraId="34F88DE7" w14:textId="2D5E4850"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00762E61">
        <w:rPr>
          <w:rFonts w:ascii="Tahoma" w:hAnsi="Tahoma" w:cs="Tahoma"/>
          <w:sz w:val="20"/>
          <w:szCs w:val="20"/>
        </w:rPr>
        <w:t>Praze</w:t>
      </w:r>
      <w:r w:rsidRPr="00EC16F4">
        <w:rPr>
          <w:rFonts w:ascii="Tahoma" w:hAnsi="Tahoma" w:cs="Tahoma"/>
          <w:sz w:val="20"/>
          <w:szCs w:val="20"/>
        </w:rPr>
        <w:t xml:space="preserve"> dne </w:t>
      </w:r>
      <w:r w:rsidR="00762E61">
        <w:rPr>
          <w:rFonts w:ascii="Tahoma" w:hAnsi="Tahoma" w:cs="Tahoma"/>
          <w:sz w:val="20"/>
          <w:szCs w:val="20"/>
        </w:rPr>
        <w:t>17.2.2023</w:t>
      </w:r>
    </w:p>
    <w:p w14:paraId="34F88DE8"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4F88DE9" w14:textId="77777777" w:rsidR="00680E90" w:rsidRDefault="00680E90" w:rsidP="00EC16F4">
      <w:pPr>
        <w:rPr>
          <w:rFonts w:ascii="Tahoma" w:hAnsi="Tahoma" w:cs="Tahoma"/>
          <w:sz w:val="20"/>
          <w:szCs w:val="20"/>
          <w:highlight w:val="yellow"/>
        </w:rPr>
      </w:pPr>
    </w:p>
    <w:p w14:paraId="34F88DEB" w14:textId="77777777" w:rsidR="00680E90" w:rsidRDefault="00680E90" w:rsidP="00EC16F4">
      <w:pPr>
        <w:rPr>
          <w:rFonts w:ascii="Tahoma" w:hAnsi="Tahoma" w:cs="Tahoma"/>
          <w:sz w:val="20"/>
          <w:szCs w:val="20"/>
          <w:highlight w:val="yellow"/>
        </w:rPr>
      </w:pPr>
    </w:p>
    <w:p w14:paraId="34F88DED" w14:textId="77777777" w:rsidR="00EC16F4" w:rsidRDefault="00EC16F4" w:rsidP="00EC16F4">
      <w:pPr>
        <w:rPr>
          <w:rFonts w:ascii="Tahoma" w:hAnsi="Tahoma" w:cs="Tahoma"/>
          <w:sz w:val="20"/>
          <w:szCs w:val="20"/>
        </w:rPr>
      </w:pPr>
      <w:r w:rsidRPr="00EC16F4">
        <w:rPr>
          <w:rFonts w:ascii="Tahoma" w:hAnsi="Tahoma" w:cs="Tahoma"/>
          <w:sz w:val="20"/>
          <w:szCs w:val="20"/>
        </w:rPr>
        <w:t>..…………………………………………..</w:t>
      </w:r>
    </w:p>
    <w:p w14:paraId="26C716D9" w14:textId="5BE1E462" w:rsidR="00E559B6" w:rsidRDefault="00762E61" w:rsidP="00E559B6">
      <w:pPr>
        <w:rPr>
          <w:rFonts w:ascii="Tahoma" w:hAnsi="Tahoma" w:cs="Tahoma"/>
          <w:sz w:val="20"/>
          <w:szCs w:val="20"/>
        </w:rPr>
      </w:pPr>
      <w:r>
        <w:rPr>
          <w:rFonts w:ascii="Tahoma" w:hAnsi="Tahoma" w:cs="Tahoma"/>
          <w:sz w:val="20"/>
          <w:szCs w:val="20"/>
        </w:rPr>
        <w:t>Ivana Zemancová, jednatelka</w:t>
      </w:r>
    </w:p>
    <w:p w14:paraId="040368AF" w14:textId="1EDC1DB9" w:rsidR="00762E61" w:rsidRPr="00EC16F4" w:rsidRDefault="00762E61" w:rsidP="00E559B6">
      <w:pPr>
        <w:rPr>
          <w:rFonts w:ascii="Tahoma" w:hAnsi="Tahoma" w:cs="Tahoma"/>
          <w:sz w:val="20"/>
          <w:szCs w:val="20"/>
        </w:rPr>
      </w:pPr>
      <w:r>
        <w:rPr>
          <w:rFonts w:ascii="Tahoma" w:hAnsi="Tahoma" w:cs="Tahoma"/>
          <w:sz w:val="20"/>
          <w:szCs w:val="20"/>
        </w:rPr>
        <w:t>ADJUST ART, spol. s r.o.</w:t>
      </w:r>
    </w:p>
    <w:p w14:paraId="34F88DEE" w14:textId="77777777" w:rsidR="00EC16F4" w:rsidRDefault="00EC16F4" w:rsidP="00362CD9">
      <w:pPr>
        <w:rPr>
          <w:rFonts w:ascii="Tahoma" w:hAnsi="Tahoma" w:cs="Tahoma"/>
          <w:sz w:val="20"/>
          <w:szCs w:val="20"/>
        </w:rPr>
      </w:pPr>
    </w:p>
    <w:p w14:paraId="34F88DEF" w14:textId="77777777" w:rsidR="00EC16F4" w:rsidRDefault="00EC16F4" w:rsidP="00362CD9">
      <w:pPr>
        <w:rPr>
          <w:rFonts w:ascii="Tahoma" w:hAnsi="Tahoma" w:cs="Tahoma"/>
          <w:sz w:val="20"/>
          <w:szCs w:val="20"/>
        </w:rPr>
      </w:pPr>
    </w:p>
    <w:sectPr w:rsidR="00EC16F4" w:rsidSect="00556A1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14D78" w14:textId="77777777" w:rsidR="002869AD" w:rsidRDefault="002869AD" w:rsidP="00556A1F">
      <w:r>
        <w:separator/>
      </w:r>
    </w:p>
  </w:endnote>
  <w:endnote w:type="continuationSeparator" w:id="0">
    <w:p w14:paraId="5168E02F" w14:textId="77777777" w:rsidR="002869AD" w:rsidRDefault="002869AD" w:rsidP="00556A1F">
      <w:r>
        <w:continuationSeparator/>
      </w:r>
    </w:p>
  </w:endnote>
  <w:endnote w:type="continuationNotice" w:id="1">
    <w:p w14:paraId="5DF6B6CF" w14:textId="77777777" w:rsidR="002869AD" w:rsidRDefault="002869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8DFD" w14:textId="77777777" w:rsidR="00FB06FF" w:rsidRDefault="00FB06FF">
    <w:pPr>
      <w:pStyle w:val="Zpat"/>
      <w:pBdr>
        <w:bottom w:val="single" w:sz="12" w:space="1" w:color="auto"/>
      </w:pBdr>
    </w:pPr>
  </w:p>
  <w:p w14:paraId="34F88DFE" w14:textId="77777777" w:rsidR="00FB06FF" w:rsidRDefault="00FB06FF" w:rsidP="00556A1F">
    <w:pPr>
      <w:pStyle w:val="Zpat"/>
      <w:jc w:val="right"/>
      <w:rPr>
        <w:rFonts w:ascii="Arial" w:hAnsi="Arial" w:cs="Arial"/>
        <w:sz w:val="20"/>
        <w:szCs w:val="20"/>
      </w:rPr>
    </w:pPr>
  </w:p>
  <w:p w14:paraId="34F88DFF" w14:textId="77777777"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41B94" w:rsidRPr="00584ECC">
      <w:rPr>
        <w:rFonts w:ascii="Arial" w:hAnsi="Arial" w:cs="Arial"/>
        <w:color w:val="000080"/>
        <w:sz w:val="20"/>
        <w:szCs w:val="20"/>
      </w:rPr>
      <w:fldChar w:fldCharType="separate"/>
    </w:r>
    <w:r w:rsidR="00570F54">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41B94" w:rsidRPr="00584ECC">
      <w:rPr>
        <w:rFonts w:ascii="Arial" w:hAnsi="Arial" w:cs="Arial"/>
        <w:color w:val="000080"/>
        <w:sz w:val="20"/>
        <w:szCs w:val="20"/>
      </w:rPr>
      <w:fldChar w:fldCharType="separate"/>
    </w:r>
    <w:r w:rsidR="00570F54">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A570" w14:textId="77777777" w:rsidR="002869AD" w:rsidRDefault="002869AD" w:rsidP="00556A1F">
      <w:r>
        <w:separator/>
      </w:r>
    </w:p>
  </w:footnote>
  <w:footnote w:type="continuationSeparator" w:id="0">
    <w:p w14:paraId="4A7373B7" w14:textId="77777777" w:rsidR="002869AD" w:rsidRDefault="002869AD" w:rsidP="00556A1F">
      <w:r>
        <w:continuationSeparator/>
      </w:r>
    </w:p>
  </w:footnote>
  <w:footnote w:type="continuationNotice" w:id="1">
    <w:p w14:paraId="709F54FA" w14:textId="77777777" w:rsidR="002869AD" w:rsidRDefault="002869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8DFC"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1E304BF"/>
    <w:multiLevelType w:val="hybridMultilevel"/>
    <w:tmpl w:val="9D7AB7BC"/>
    <w:lvl w:ilvl="0" w:tplc="5226EF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F26858"/>
    <w:multiLevelType w:val="hybridMultilevel"/>
    <w:tmpl w:val="96ACE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9C32F83"/>
    <w:multiLevelType w:val="hybridMultilevel"/>
    <w:tmpl w:val="78E67D06"/>
    <w:lvl w:ilvl="0" w:tplc="71B21EB6">
      <w:start w:val="3"/>
      <w:numFmt w:val="bullet"/>
      <w:lvlText w:val="-"/>
      <w:lvlJc w:val="left"/>
      <w:pPr>
        <w:ind w:left="786" w:hanging="360"/>
      </w:pPr>
      <w:rPr>
        <w:rFonts w:ascii="Tahoma" w:eastAsia="Tahoma"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6"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11575DD2"/>
    <w:multiLevelType w:val="hybridMultilevel"/>
    <w:tmpl w:val="210AE85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03D3756"/>
    <w:multiLevelType w:val="hybridMultilevel"/>
    <w:tmpl w:val="43DA5998"/>
    <w:lvl w:ilvl="0" w:tplc="D862DD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1"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AB2646A"/>
    <w:multiLevelType w:val="hybridMultilevel"/>
    <w:tmpl w:val="F0BE6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5840013">
    <w:abstractNumId w:val="0"/>
  </w:num>
  <w:num w:numId="2" w16cid:durableId="1435705968">
    <w:abstractNumId w:val="8"/>
  </w:num>
  <w:num w:numId="3" w16cid:durableId="1802113777">
    <w:abstractNumId w:val="11"/>
  </w:num>
  <w:num w:numId="4" w16cid:durableId="93670744">
    <w:abstractNumId w:val="10"/>
  </w:num>
  <w:num w:numId="5" w16cid:durableId="1824202336">
    <w:abstractNumId w:val="6"/>
  </w:num>
  <w:num w:numId="6" w16cid:durableId="429206852">
    <w:abstractNumId w:val="9"/>
  </w:num>
  <w:num w:numId="7" w16cid:durableId="1562133549">
    <w:abstractNumId w:val="5"/>
  </w:num>
  <w:num w:numId="8" w16cid:durableId="1367487091">
    <w:abstractNumId w:val="12"/>
  </w:num>
  <w:num w:numId="9" w16cid:durableId="1420447456">
    <w:abstractNumId w:val="4"/>
  </w:num>
  <w:num w:numId="10" w16cid:durableId="1387295379">
    <w:abstractNumId w:val="3"/>
  </w:num>
  <w:num w:numId="11" w16cid:durableId="210260196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CD9"/>
    <w:rsid w:val="000107ED"/>
    <w:rsid w:val="0001125A"/>
    <w:rsid w:val="0001333C"/>
    <w:rsid w:val="00027AD1"/>
    <w:rsid w:val="000330A2"/>
    <w:rsid w:val="00034FAC"/>
    <w:rsid w:val="00036F96"/>
    <w:rsid w:val="00045E5F"/>
    <w:rsid w:val="00053012"/>
    <w:rsid w:val="000624A8"/>
    <w:rsid w:val="000702DF"/>
    <w:rsid w:val="00077900"/>
    <w:rsid w:val="00090C32"/>
    <w:rsid w:val="000A738C"/>
    <w:rsid w:val="000A7581"/>
    <w:rsid w:val="000B112F"/>
    <w:rsid w:val="000B36B5"/>
    <w:rsid w:val="000C4FEE"/>
    <w:rsid w:val="000D53FF"/>
    <w:rsid w:val="000D593D"/>
    <w:rsid w:val="000D7633"/>
    <w:rsid w:val="000E26E1"/>
    <w:rsid w:val="000F5FF6"/>
    <w:rsid w:val="000F7CAF"/>
    <w:rsid w:val="00113381"/>
    <w:rsid w:val="001146F2"/>
    <w:rsid w:val="0011540C"/>
    <w:rsid w:val="00124D2E"/>
    <w:rsid w:val="0012566D"/>
    <w:rsid w:val="0012626E"/>
    <w:rsid w:val="00137841"/>
    <w:rsid w:val="0014370E"/>
    <w:rsid w:val="001449A6"/>
    <w:rsid w:val="00161894"/>
    <w:rsid w:val="00161BC1"/>
    <w:rsid w:val="0016350A"/>
    <w:rsid w:val="001640EB"/>
    <w:rsid w:val="0016488E"/>
    <w:rsid w:val="0016742B"/>
    <w:rsid w:val="00167D63"/>
    <w:rsid w:val="00181045"/>
    <w:rsid w:val="001844D8"/>
    <w:rsid w:val="00187C7C"/>
    <w:rsid w:val="001A1B09"/>
    <w:rsid w:val="001A4D12"/>
    <w:rsid w:val="001A6946"/>
    <w:rsid w:val="001B132A"/>
    <w:rsid w:val="001B5E94"/>
    <w:rsid w:val="001D2D23"/>
    <w:rsid w:val="001D77A0"/>
    <w:rsid w:val="001E1B0B"/>
    <w:rsid w:val="001E1E3E"/>
    <w:rsid w:val="001E6ECA"/>
    <w:rsid w:val="001F1AF6"/>
    <w:rsid w:val="001F1C77"/>
    <w:rsid w:val="001F66DC"/>
    <w:rsid w:val="001F7245"/>
    <w:rsid w:val="001F7A46"/>
    <w:rsid w:val="002005A5"/>
    <w:rsid w:val="00203A0E"/>
    <w:rsid w:val="00215087"/>
    <w:rsid w:val="0021573E"/>
    <w:rsid w:val="002171CA"/>
    <w:rsid w:val="0022485E"/>
    <w:rsid w:val="00231346"/>
    <w:rsid w:val="00234F46"/>
    <w:rsid w:val="00243846"/>
    <w:rsid w:val="002553F3"/>
    <w:rsid w:val="00256868"/>
    <w:rsid w:val="00262D53"/>
    <w:rsid w:val="00265546"/>
    <w:rsid w:val="00271C50"/>
    <w:rsid w:val="00277680"/>
    <w:rsid w:val="002817B9"/>
    <w:rsid w:val="002869AD"/>
    <w:rsid w:val="002A18FB"/>
    <w:rsid w:val="002C1663"/>
    <w:rsid w:val="002C5C6A"/>
    <w:rsid w:val="002D5938"/>
    <w:rsid w:val="002D6A83"/>
    <w:rsid w:val="002E567E"/>
    <w:rsid w:val="002E7736"/>
    <w:rsid w:val="00313275"/>
    <w:rsid w:val="00320E98"/>
    <w:rsid w:val="00322A82"/>
    <w:rsid w:val="003402CF"/>
    <w:rsid w:val="00342667"/>
    <w:rsid w:val="00344075"/>
    <w:rsid w:val="00353D8B"/>
    <w:rsid w:val="003546BC"/>
    <w:rsid w:val="00356268"/>
    <w:rsid w:val="00360CAB"/>
    <w:rsid w:val="00362CD9"/>
    <w:rsid w:val="00370C8A"/>
    <w:rsid w:val="003739CF"/>
    <w:rsid w:val="00374B65"/>
    <w:rsid w:val="00382F2A"/>
    <w:rsid w:val="00384ED6"/>
    <w:rsid w:val="00392A6B"/>
    <w:rsid w:val="0039456B"/>
    <w:rsid w:val="0039534B"/>
    <w:rsid w:val="003A0038"/>
    <w:rsid w:val="003B3135"/>
    <w:rsid w:val="003C0362"/>
    <w:rsid w:val="003C10C1"/>
    <w:rsid w:val="003D67F9"/>
    <w:rsid w:val="003F06E6"/>
    <w:rsid w:val="003F0FD6"/>
    <w:rsid w:val="003F1C8C"/>
    <w:rsid w:val="003F75AC"/>
    <w:rsid w:val="004074C4"/>
    <w:rsid w:val="004110C2"/>
    <w:rsid w:val="0041129F"/>
    <w:rsid w:val="0041227F"/>
    <w:rsid w:val="00414B88"/>
    <w:rsid w:val="00416251"/>
    <w:rsid w:val="0042425D"/>
    <w:rsid w:val="00424313"/>
    <w:rsid w:val="004300BF"/>
    <w:rsid w:val="00432E4B"/>
    <w:rsid w:val="00433CA1"/>
    <w:rsid w:val="00434450"/>
    <w:rsid w:val="004350E6"/>
    <w:rsid w:val="00441B94"/>
    <w:rsid w:val="004553F3"/>
    <w:rsid w:val="00477FD6"/>
    <w:rsid w:val="0048311A"/>
    <w:rsid w:val="0048333B"/>
    <w:rsid w:val="00490ACD"/>
    <w:rsid w:val="00490B63"/>
    <w:rsid w:val="00496CBB"/>
    <w:rsid w:val="004B3F4B"/>
    <w:rsid w:val="004C608D"/>
    <w:rsid w:val="004F5A06"/>
    <w:rsid w:val="004F6DE9"/>
    <w:rsid w:val="00500FEE"/>
    <w:rsid w:val="00503035"/>
    <w:rsid w:val="005125EF"/>
    <w:rsid w:val="00515319"/>
    <w:rsid w:val="005216B5"/>
    <w:rsid w:val="00522C27"/>
    <w:rsid w:val="005238A7"/>
    <w:rsid w:val="005270E7"/>
    <w:rsid w:val="00532E23"/>
    <w:rsid w:val="00535B83"/>
    <w:rsid w:val="00556A1F"/>
    <w:rsid w:val="00565820"/>
    <w:rsid w:val="00570F54"/>
    <w:rsid w:val="00572823"/>
    <w:rsid w:val="0057635D"/>
    <w:rsid w:val="00583A06"/>
    <w:rsid w:val="00586819"/>
    <w:rsid w:val="00586E7F"/>
    <w:rsid w:val="005976DD"/>
    <w:rsid w:val="00597E73"/>
    <w:rsid w:val="005A199C"/>
    <w:rsid w:val="005A3535"/>
    <w:rsid w:val="005A5EBA"/>
    <w:rsid w:val="005B0531"/>
    <w:rsid w:val="005C1925"/>
    <w:rsid w:val="005C45DA"/>
    <w:rsid w:val="005D1ED9"/>
    <w:rsid w:val="005D3953"/>
    <w:rsid w:val="005D7CCA"/>
    <w:rsid w:val="005E0697"/>
    <w:rsid w:val="005E0AAF"/>
    <w:rsid w:val="005E13F0"/>
    <w:rsid w:val="005E3E5E"/>
    <w:rsid w:val="005F05CD"/>
    <w:rsid w:val="005F3D94"/>
    <w:rsid w:val="005F62A7"/>
    <w:rsid w:val="00603CA5"/>
    <w:rsid w:val="00616F05"/>
    <w:rsid w:val="00617E67"/>
    <w:rsid w:val="00627D37"/>
    <w:rsid w:val="00642430"/>
    <w:rsid w:val="00646607"/>
    <w:rsid w:val="0064790B"/>
    <w:rsid w:val="006631BA"/>
    <w:rsid w:val="00663A09"/>
    <w:rsid w:val="0066774C"/>
    <w:rsid w:val="00670AD2"/>
    <w:rsid w:val="00671A59"/>
    <w:rsid w:val="006742BD"/>
    <w:rsid w:val="00677C1E"/>
    <w:rsid w:val="00680E90"/>
    <w:rsid w:val="006812BD"/>
    <w:rsid w:val="00686DD8"/>
    <w:rsid w:val="00687704"/>
    <w:rsid w:val="00691FDF"/>
    <w:rsid w:val="006927DB"/>
    <w:rsid w:val="00693F12"/>
    <w:rsid w:val="006A0FED"/>
    <w:rsid w:val="006A2E81"/>
    <w:rsid w:val="006B2AF6"/>
    <w:rsid w:val="006B4C71"/>
    <w:rsid w:val="006D2C09"/>
    <w:rsid w:val="006E266F"/>
    <w:rsid w:val="006E4C96"/>
    <w:rsid w:val="0070117F"/>
    <w:rsid w:val="00712E3D"/>
    <w:rsid w:val="0072400D"/>
    <w:rsid w:val="0072763E"/>
    <w:rsid w:val="00727EBE"/>
    <w:rsid w:val="0075298A"/>
    <w:rsid w:val="00762E61"/>
    <w:rsid w:val="00783726"/>
    <w:rsid w:val="0079375D"/>
    <w:rsid w:val="007A4A1A"/>
    <w:rsid w:val="007B2784"/>
    <w:rsid w:val="007C1D39"/>
    <w:rsid w:val="007C2130"/>
    <w:rsid w:val="007D2381"/>
    <w:rsid w:val="007D5850"/>
    <w:rsid w:val="007D7650"/>
    <w:rsid w:val="007F61DE"/>
    <w:rsid w:val="007F6DDE"/>
    <w:rsid w:val="00812349"/>
    <w:rsid w:val="00815CB2"/>
    <w:rsid w:val="0082048F"/>
    <w:rsid w:val="008315EC"/>
    <w:rsid w:val="00832543"/>
    <w:rsid w:val="008343CA"/>
    <w:rsid w:val="00835645"/>
    <w:rsid w:val="0084438A"/>
    <w:rsid w:val="0084535D"/>
    <w:rsid w:val="00882D0F"/>
    <w:rsid w:val="008949D3"/>
    <w:rsid w:val="00895FDF"/>
    <w:rsid w:val="008A17FA"/>
    <w:rsid w:val="008B3B22"/>
    <w:rsid w:val="008B4D0E"/>
    <w:rsid w:val="008B5AFB"/>
    <w:rsid w:val="008B6FED"/>
    <w:rsid w:val="008C4F3F"/>
    <w:rsid w:val="008D62A3"/>
    <w:rsid w:val="008E4EDD"/>
    <w:rsid w:val="008F4A24"/>
    <w:rsid w:val="00905265"/>
    <w:rsid w:val="00912D3A"/>
    <w:rsid w:val="0091529B"/>
    <w:rsid w:val="009164A0"/>
    <w:rsid w:val="009211D9"/>
    <w:rsid w:val="0093577B"/>
    <w:rsid w:val="009378FA"/>
    <w:rsid w:val="00946B76"/>
    <w:rsid w:val="00962071"/>
    <w:rsid w:val="009729EA"/>
    <w:rsid w:val="00974274"/>
    <w:rsid w:val="00982550"/>
    <w:rsid w:val="009878FE"/>
    <w:rsid w:val="0099291F"/>
    <w:rsid w:val="00995959"/>
    <w:rsid w:val="009B2A80"/>
    <w:rsid w:val="009C369C"/>
    <w:rsid w:val="009C3FF6"/>
    <w:rsid w:val="009D5192"/>
    <w:rsid w:val="009F39B9"/>
    <w:rsid w:val="00A03AA5"/>
    <w:rsid w:val="00A03D8F"/>
    <w:rsid w:val="00A049F9"/>
    <w:rsid w:val="00A24E8E"/>
    <w:rsid w:val="00A35877"/>
    <w:rsid w:val="00A426BE"/>
    <w:rsid w:val="00A50B2D"/>
    <w:rsid w:val="00A72C05"/>
    <w:rsid w:val="00A87189"/>
    <w:rsid w:val="00A87A0D"/>
    <w:rsid w:val="00A9269A"/>
    <w:rsid w:val="00AB3EBB"/>
    <w:rsid w:val="00AD07F7"/>
    <w:rsid w:val="00AD5142"/>
    <w:rsid w:val="00AE0401"/>
    <w:rsid w:val="00AE1DC1"/>
    <w:rsid w:val="00AE668E"/>
    <w:rsid w:val="00AF2AB5"/>
    <w:rsid w:val="00AF41D2"/>
    <w:rsid w:val="00B10B04"/>
    <w:rsid w:val="00B116B2"/>
    <w:rsid w:val="00B16B79"/>
    <w:rsid w:val="00B207E5"/>
    <w:rsid w:val="00B20E6B"/>
    <w:rsid w:val="00B215B9"/>
    <w:rsid w:val="00B2163B"/>
    <w:rsid w:val="00B23AEF"/>
    <w:rsid w:val="00B32155"/>
    <w:rsid w:val="00B35D99"/>
    <w:rsid w:val="00B55B95"/>
    <w:rsid w:val="00B72CE5"/>
    <w:rsid w:val="00B737C0"/>
    <w:rsid w:val="00B778EA"/>
    <w:rsid w:val="00B80E98"/>
    <w:rsid w:val="00BB1C52"/>
    <w:rsid w:val="00BB1FBE"/>
    <w:rsid w:val="00BB4633"/>
    <w:rsid w:val="00BC5062"/>
    <w:rsid w:val="00BC5DC4"/>
    <w:rsid w:val="00BD1E33"/>
    <w:rsid w:val="00BD5CA0"/>
    <w:rsid w:val="00BD742F"/>
    <w:rsid w:val="00BE4C87"/>
    <w:rsid w:val="00BE5B7A"/>
    <w:rsid w:val="00BF35C9"/>
    <w:rsid w:val="00BF364C"/>
    <w:rsid w:val="00C05728"/>
    <w:rsid w:val="00C15DF6"/>
    <w:rsid w:val="00C16715"/>
    <w:rsid w:val="00C20563"/>
    <w:rsid w:val="00C2222B"/>
    <w:rsid w:val="00C224AA"/>
    <w:rsid w:val="00C24401"/>
    <w:rsid w:val="00C316E4"/>
    <w:rsid w:val="00C414D4"/>
    <w:rsid w:val="00C433CB"/>
    <w:rsid w:val="00C46171"/>
    <w:rsid w:val="00C500D9"/>
    <w:rsid w:val="00C50654"/>
    <w:rsid w:val="00C52436"/>
    <w:rsid w:val="00C52AC3"/>
    <w:rsid w:val="00C73C69"/>
    <w:rsid w:val="00C74FCD"/>
    <w:rsid w:val="00C77CBB"/>
    <w:rsid w:val="00CA2D10"/>
    <w:rsid w:val="00CA78DF"/>
    <w:rsid w:val="00CB15FD"/>
    <w:rsid w:val="00CB56E8"/>
    <w:rsid w:val="00CC029F"/>
    <w:rsid w:val="00CC3B46"/>
    <w:rsid w:val="00CC7ED5"/>
    <w:rsid w:val="00CD0020"/>
    <w:rsid w:val="00CD20C3"/>
    <w:rsid w:val="00CD2537"/>
    <w:rsid w:val="00CD71AD"/>
    <w:rsid w:val="00CD7ED8"/>
    <w:rsid w:val="00CE1997"/>
    <w:rsid w:val="00CF1D00"/>
    <w:rsid w:val="00CF3A94"/>
    <w:rsid w:val="00CF6BFF"/>
    <w:rsid w:val="00CF73FF"/>
    <w:rsid w:val="00CF7897"/>
    <w:rsid w:val="00D17250"/>
    <w:rsid w:val="00D17B6A"/>
    <w:rsid w:val="00D21B3F"/>
    <w:rsid w:val="00D2220D"/>
    <w:rsid w:val="00D255C5"/>
    <w:rsid w:val="00D36BEC"/>
    <w:rsid w:val="00D37BA1"/>
    <w:rsid w:val="00D641C9"/>
    <w:rsid w:val="00D65B48"/>
    <w:rsid w:val="00D65C97"/>
    <w:rsid w:val="00D74A9E"/>
    <w:rsid w:val="00D851A9"/>
    <w:rsid w:val="00D86FC2"/>
    <w:rsid w:val="00D9124F"/>
    <w:rsid w:val="00D97A01"/>
    <w:rsid w:val="00D97B27"/>
    <w:rsid w:val="00DB7115"/>
    <w:rsid w:val="00DE353C"/>
    <w:rsid w:val="00DF3FBA"/>
    <w:rsid w:val="00DF4A95"/>
    <w:rsid w:val="00E15C19"/>
    <w:rsid w:val="00E1708E"/>
    <w:rsid w:val="00E270F0"/>
    <w:rsid w:val="00E30D6A"/>
    <w:rsid w:val="00E43D08"/>
    <w:rsid w:val="00E44988"/>
    <w:rsid w:val="00E558DF"/>
    <w:rsid w:val="00E559B6"/>
    <w:rsid w:val="00E63E65"/>
    <w:rsid w:val="00E7476E"/>
    <w:rsid w:val="00E84EDD"/>
    <w:rsid w:val="00E86FDA"/>
    <w:rsid w:val="00E96128"/>
    <w:rsid w:val="00E964C0"/>
    <w:rsid w:val="00EA7FA1"/>
    <w:rsid w:val="00EB11E1"/>
    <w:rsid w:val="00EC048E"/>
    <w:rsid w:val="00EC16F4"/>
    <w:rsid w:val="00EC3313"/>
    <w:rsid w:val="00EC359D"/>
    <w:rsid w:val="00EC3FB2"/>
    <w:rsid w:val="00ED428D"/>
    <w:rsid w:val="00EE02B2"/>
    <w:rsid w:val="00EF1A16"/>
    <w:rsid w:val="00EF7D06"/>
    <w:rsid w:val="00F00F19"/>
    <w:rsid w:val="00F019AF"/>
    <w:rsid w:val="00F43880"/>
    <w:rsid w:val="00F53DDF"/>
    <w:rsid w:val="00F57016"/>
    <w:rsid w:val="00F60307"/>
    <w:rsid w:val="00F604E4"/>
    <w:rsid w:val="00F7193E"/>
    <w:rsid w:val="00F73971"/>
    <w:rsid w:val="00F769B4"/>
    <w:rsid w:val="00F77533"/>
    <w:rsid w:val="00F91224"/>
    <w:rsid w:val="00F91505"/>
    <w:rsid w:val="00F94F1D"/>
    <w:rsid w:val="00F9779C"/>
    <w:rsid w:val="00FA01A0"/>
    <w:rsid w:val="00FA0657"/>
    <w:rsid w:val="00FB06FF"/>
    <w:rsid w:val="00FB197D"/>
    <w:rsid w:val="00FB4740"/>
    <w:rsid w:val="00FC6DCB"/>
    <w:rsid w:val="00FD3097"/>
    <w:rsid w:val="00FF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8DAD"/>
  <w15:docId w15:val="{FFA56B2F-A364-491E-974C-FE53FDA7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73C69"/>
    <w:pPr>
      <w:spacing w:after="200"/>
      <w:jc w:val="both"/>
    </w:pPr>
    <w:rPr>
      <w:rFonts w:ascii="Arial" w:hAnsi="Arial"/>
      <w:b/>
      <w:bCs/>
      <w:sz w:val="18"/>
      <w:szCs w:val="18"/>
      <w:lang w:val="x-none"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73C69"/>
    <w:rPr>
      <w:rFonts w:ascii="Arial" w:eastAsia="Times New Roman" w:hAnsi="Arial" w:cs="Times New Roman"/>
      <w:b/>
      <w:bCs/>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3141fb-0fbf-451d-9458-12e5c61e31ff" xsi:nil="true"/>
    <lcf76f155ced4ddcb4097134ff3c332f xmlns="49ae65ee-df7c-4cc2-96aa-892d4b5f72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77AE93692B0BE418988153B9EFC7554" ma:contentTypeVersion="16" ma:contentTypeDescription="Vytvoří nový dokument" ma:contentTypeScope="" ma:versionID="d2b04167eb1319a285e46b03a52ca282">
  <xsd:schema xmlns:xsd="http://www.w3.org/2001/XMLSchema" xmlns:xs="http://www.w3.org/2001/XMLSchema" xmlns:p="http://schemas.microsoft.com/office/2006/metadata/properties" xmlns:ns2="49ae65ee-df7c-4cc2-96aa-892d4b5f723e" xmlns:ns3="943141fb-0fbf-451d-9458-12e5c61e31ff" targetNamespace="http://schemas.microsoft.com/office/2006/metadata/properties" ma:root="true" ma:fieldsID="63d3425592725e95d31afdc32d6aa0db" ns2:_="" ns3:_="">
    <xsd:import namespace="49ae65ee-df7c-4cc2-96aa-892d4b5f723e"/>
    <xsd:import namespace="943141fb-0fbf-451d-9458-12e5c61e31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e65ee-df7c-4cc2-96aa-892d4b5f7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c42a130-8de2-4668-81d2-b1c137443e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3141fb-0fbf-451d-9458-12e5c61e31ff" elementFormDefault="qualified">
    <xsd:import namespace="http://schemas.microsoft.com/office/2006/documentManagement/types"/>
    <xsd:import namespace="http://schemas.microsoft.com/office/infopath/2007/PartnerControls"/>
    <xsd:element name="SharedWithUsers" ma:index="1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fa964a5-beb6-445b-a1c4-5a7030fddc47}" ma:internalName="TaxCatchAll" ma:showField="CatchAllData" ma:web="943141fb-0fbf-451d-9458-12e5c61e3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0722D2-56C2-4F99-9D90-E390A49061A3}">
  <ds:schemaRefs>
    <ds:schemaRef ds:uri="943141fb-0fbf-451d-9458-12e5c61e31ff"/>
    <ds:schemaRef ds:uri="http://purl.org/dc/dcmitype/"/>
    <ds:schemaRef ds:uri="http://schemas.microsoft.com/office/2006/documentManagement/types"/>
    <ds:schemaRef ds:uri="http://schemas.microsoft.com/office/infopath/2007/PartnerControls"/>
    <ds:schemaRef ds:uri="http://purl.org/dc/elements/1.1/"/>
    <ds:schemaRef ds:uri="49ae65ee-df7c-4cc2-96aa-892d4b5f723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E5833CBD-FDF7-41FA-90EA-E08D59BF972B}">
  <ds:schemaRefs>
    <ds:schemaRef ds:uri="http://schemas.openxmlformats.org/officeDocument/2006/bibliography"/>
  </ds:schemaRefs>
</ds:datastoreItem>
</file>

<file path=customXml/itemProps3.xml><?xml version="1.0" encoding="utf-8"?>
<ds:datastoreItem xmlns:ds="http://schemas.openxmlformats.org/officeDocument/2006/customXml" ds:itemID="{20AEA8ED-D48C-4743-9176-43E4476C9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e65ee-df7c-4cc2-96aa-892d4b5f723e"/>
    <ds:schemaRef ds:uri="943141fb-0fbf-451d-9458-12e5c61e3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A1CA5-A698-45CF-A4FD-42B9F1C8DD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2632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Gábi</dc:creator>
  <cp:lastModifiedBy>Pavel Přecechtěl</cp:lastModifiedBy>
  <cp:revision>3</cp:revision>
  <cp:lastPrinted>2023-02-16T12:23:00Z</cp:lastPrinted>
  <dcterms:created xsi:type="dcterms:W3CDTF">2023-02-13T10:55:00Z</dcterms:created>
  <dcterms:modified xsi:type="dcterms:W3CDTF">2023-02-16T12:23:00Z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0x010100D77AE93692B0BE418988153B9EFC7554</vt:lpwstr>
  </property>
  <property fmtid="{D5CDD505-2E9C-101B-9397-08002B2CF9AE}" pid="3" name="MediaServiceImageTags">
    <vt:lpwstr/>
  </property>
</Properties>
</file>