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FE" w:rsidRDefault="00F233FE"/>
    <w:p w:rsidR="00F233FE" w:rsidRDefault="003B7C09">
      <w:pPr>
        <w:pStyle w:val="Zkladntext1"/>
        <w:spacing w:after="340"/>
        <w:jc w:val="center"/>
      </w:pPr>
      <w:r>
        <w:rPr>
          <w:b/>
          <w:bCs/>
          <w:smallCaps/>
        </w:rPr>
        <w:t>Dohoda o ukončení smlouvy o dílo</w:t>
      </w:r>
    </w:p>
    <w:p w:rsidR="00F233FE" w:rsidRDefault="003B7C09">
      <w:pPr>
        <w:pStyle w:val="Nadpis10"/>
        <w:keepNext/>
        <w:keepLines/>
      </w:pPr>
      <w:bookmarkStart w:id="0" w:name="bookmark0"/>
      <w:r>
        <w:t>1. správcovská a konkurzní v. o. s.</w:t>
      </w:r>
      <w:bookmarkEnd w:id="0"/>
    </w:p>
    <w:p w:rsidR="00F233FE" w:rsidRDefault="003B7C09">
      <w:pPr>
        <w:pStyle w:val="Zkladntext1"/>
        <w:spacing w:after="0"/>
      </w:pPr>
      <w:r>
        <w:t>IČO 26126788</w:t>
      </w:r>
    </w:p>
    <w:p w:rsidR="00F233FE" w:rsidRDefault="003B7C09">
      <w:pPr>
        <w:pStyle w:val="Zkladntext1"/>
        <w:spacing w:after="0"/>
      </w:pPr>
      <w:r>
        <w:t>se sídlem Pardubice, Sladkovského 67</w:t>
      </w:r>
    </w:p>
    <w:p w:rsidR="00F233FE" w:rsidRDefault="003B7C09">
      <w:pPr>
        <w:pStyle w:val="Zkladntext1"/>
        <w:spacing w:after="0"/>
      </w:pPr>
      <w:r>
        <w:t>zastoupena ohlášeným společníkem Mgr. Pavlem Novákem jako insolvenční správce dlužníka</w:t>
      </w:r>
    </w:p>
    <w:p w:rsidR="00F233FE" w:rsidRDefault="003B7C09">
      <w:pPr>
        <w:pStyle w:val="Zkladntext1"/>
        <w:spacing w:after="0"/>
      </w:pPr>
      <w:r>
        <w:t>ACG-Real s.r.o. IČO: 27094359,</w:t>
      </w:r>
    </w:p>
    <w:p w:rsidR="00F233FE" w:rsidRDefault="003B7C09">
      <w:pPr>
        <w:pStyle w:val="Zkladntext1"/>
      </w:pPr>
      <w:r>
        <w:t xml:space="preserve">se sídlem: </w:t>
      </w:r>
      <w:r>
        <w:t xml:space="preserve">Michelská 966/74, 141 00 Praha 4, </w:t>
      </w:r>
      <w:r w:rsidR="003960EF">
        <w:br/>
      </w:r>
      <w:bookmarkStart w:id="1" w:name="_GoBack"/>
      <w:bookmarkEnd w:id="1"/>
      <w:r>
        <w:t>sp.zn. MSPH 88 INS 13671/2022</w:t>
      </w:r>
    </w:p>
    <w:p w:rsidR="00D16EB5" w:rsidRDefault="003B7C09">
      <w:pPr>
        <w:pStyle w:val="Zkladntext1"/>
        <w:spacing w:after="960"/>
      </w:pPr>
      <w:r>
        <w:t>na straně jedné jako zhotovitel</w:t>
      </w:r>
      <w:r w:rsidR="00D16EB5">
        <w:br/>
      </w:r>
    </w:p>
    <w:p w:rsidR="00F233FE" w:rsidRDefault="003B7C09">
      <w:pPr>
        <w:pStyle w:val="Nadpis10"/>
        <w:keepNext/>
        <w:keepLines/>
      </w:pPr>
      <w:bookmarkStart w:id="2" w:name="bookmark2"/>
      <w:r>
        <w:t>Městská část Praha 19</w:t>
      </w:r>
      <w:bookmarkEnd w:id="2"/>
    </w:p>
    <w:p w:rsidR="00F233FE" w:rsidRDefault="003B7C09">
      <w:pPr>
        <w:pStyle w:val="Zkladntext1"/>
        <w:spacing w:after="0"/>
      </w:pPr>
      <w:r>
        <w:t>I</w:t>
      </w:r>
      <w:r>
        <w:t>ČO: 00231304</w:t>
      </w:r>
    </w:p>
    <w:p w:rsidR="00F233FE" w:rsidRDefault="003B7C09">
      <w:pPr>
        <w:pStyle w:val="Zkladntext1"/>
        <w:spacing w:after="0"/>
      </w:pPr>
      <w:r>
        <w:t>se sídlem Semilská 43/1, 197 00 Praha 9 - Kbely</w:t>
      </w:r>
    </w:p>
    <w:p w:rsidR="00F233FE" w:rsidRDefault="003B7C09">
      <w:pPr>
        <w:pStyle w:val="Zkladntext1"/>
        <w:spacing w:after="340"/>
      </w:pPr>
      <w:r>
        <w:t>zastoupena starostou městské části panem Pavlem Zďárským</w:t>
      </w:r>
    </w:p>
    <w:p w:rsidR="00F233FE" w:rsidRDefault="003B7C09">
      <w:pPr>
        <w:pStyle w:val="Zkladntext1"/>
        <w:spacing w:after="340"/>
      </w:pPr>
      <w:r>
        <w:t>na straně druhé jak</w:t>
      </w:r>
      <w:r>
        <w:t>o objednatel</w:t>
      </w:r>
    </w:p>
    <w:p w:rsidR="00F233FE" w:rsidRDefault="003B7C09">
      <w:pPr>
        <w:pStyle w:val="Zkladntext1"/>
        <w:spacing w:after="400"/>
        <w:jc w:val="center"/>
      </w:pPr>
      <w:r>
        <w:t>uzavřeli níže uvedeného dne tuto</w:t>
      </w:r>
    </w:p>
    <w:p w:rsidR="00F233FE" w:rsidRDefault="003B7C09">
      <w:pPr>
        <w:pStyle w:val="Zkladntext30"/>
      </w:pPr>
      <w:r>
        <w:t>DOHODU O UKONČENÍ SMLOUVY O DÍLO:</w:t>
      </w:r>
    </w:p>
    <w:p w:rsidR="00F233FE" w:rsidRDefault="003B7C09">
      <w:pPr>
        <w:pStyle w:val="Zkladntext1"/>
        <w:numPr>
          <w:ilvl w:val="0"/>
          <w:numId w:val="1"/>
        </w:numPr>
        <w:tabs>
          <w:tab w:val="left" w:pos="336"/>
        </w:tabs>
        <w:spacing w:line="276" w:lineRule="auto"/>
        <w:ind w:left="460" w:hanging="460"/>
        <w:jc w:val="both"/>
      </w:pPr>
      <w:r>
        <w:t xml:space="preserve">Usnesením Městského soudu v Praze ze dne 8. 11. 2022 č.j.: MSPH 88 INS 13671/2022 — A-15 byl na dlužnici: ACG-Real s.r.o., IČO: 27094359, sídlem Michelská 966/74, 141 00 Praha </w:t>
      </w:r>
      <w:r>
        <w:t>4, byl dne 8. 11. 2022 zjištěn úpadek a insolvenčním správcem dlužníka byla jmenována 1. správcovská a konkurzní v. o. s., IČO: 26126788 se sídlem Sladkovského 67, 530 02 Pardubice.</w:t>
      </w:r>
    </w:p>
    <w:p w:rsidR="00F233FE" w:rsidRDefault="003B7C09">
      <w:pPr>
        <w:pStyle w:val="Zkladntext1"/>
        <w:numPr>
          <w:ilvl w:val="0"/>
          <w:numId w:val="1"/>
        </w:numPr>
        <w:tabs>
          <w:tab w:val="left" w:pos="358"/>
        </w:tabs>
        <w:ind w:left="460" w:hanging="460"/>
        <w:jc w:val="both"/>
      </w:pPr>
      <w:r>
        <w:t>Smluvní strany konstatují, že dne 16. 12. 2020 byla uzavřena smlouva o díl</w:t>
      </w:r>
      <w:r>
        <w:t>o č. 99/2020, jejímž předmětem byla „nástavba jednoho podlaží a rekonstrukce dvou stávajících podlaží zdravotního střediska“. Dne 12. 8. 2021 byl k této smlouvě uzavřen dodatek č. 1, dne 16. 8. 2021 dodatek č. 2, dne 15. 9. 2021 dodatek č. 3, dne 15.10.202</w:t>
      </w:r>
      <w:r>
        <w:t>1 dodatek č. 4, dne 15. 10. 2021 dodatek č. 5 a dne 30. 3. 2022 dodatek č. 6. Zhotovitelem díla byla ACG-Real s.r.o., IČ 27094359, se sídlem Michelská 966/74, 141 00, Praha 4 - Michle.</w:t>
      </w:r>
    </w:p>
    <w:p w:rsidR="00F233FE" w:rsidRDefault="003B7C09">
      <w:pPr>
        <w:pStyle w:val="Zkladntext1"/>
        <w:numPr>
          <w:ilvl w:val="0"/>
          <w:numId w:val="1"/>
        </w:numPr>
        <w:tabs>
          <w:tab w:val="left" w:pos="354"/>
        </w:tabs>
        <w:ind w:left="460" w:hanging="460"/>
        <w:jc w:val="both"/>
      </w:pPr>
      <w:r>
        <w:t xml:space="preserve">Na zhotovitele předmětné stavby byl usnesením Městského soudu v Praze </w:t>
      </w:r>
      <w:r>
        <w:t>ze dne 28.2.2023 č. j. MSPH 88 INS 13671/2022-B-36 prohlášen konkurs.</w:t>
      </w:r>
    </w:p>
    <w:p w:rsidR="00F233FE" w:rsidRDefault="003B7C09">
      <w:pPr>
        <w:pStyle w:val="Zkladntext1"/>
        <w:numPr>
          <w:ilvl w:val="0"/>
          <w:numId w:val="1"/>
        </w:numPr>
        <w:tabs>
          <w:tab w:val="left" w:pos="358"/>
        </w:tabs>
        <w:ind w:left="460" w:hanging="460"/>
        <w:jc w:val="both"/>
      </w:pPr>
      <w:r>
        <w:t>Ve smyslu § 253 insolvenčního zákona se smluvní strany dohodly na ukončení výše uvedené smlouvy o dílo ve znění výše uvedených dodatků, a to ke dni 13.3. 2023.</w:t>
      </w:r>
    </w:p>
    <w:p w:rsidR="00F233FE" w:rsidRDefault="003B7C09">
      <w:pPr>
        <w:pStyle w:val="Zkladntext1"/>
        <w:numPr>
          <w:ilvl w:val="0"/>
          <w:numId w:val="1"/>
        </w:numPr>
        <w:tabs>
          <w:tab w:val="left" w:pos="354"/>
        </w:tabs>
      </w:pPr>
      <w:r>
        <w:t>Tato dohoda nabývá účinnos</w:t>
      </w:r>
      <w:r>
        <w:t>ti dnem zveřejnění v registru smluv dle zákona č. 340/2015 Sb.</w:t>
      </w:r>
    </w:p>
    <w:p w:rsidR="00F233FE" w:rsidRDefault="003B7C09">
      <w:pPr>
        <w:pStyle w:val="Zkladntext1"/>
        <w:numPr>
          <w:ilvl w:val="0"/>
          <w:numId w:val="1"/>
        </w:numPr>
        <w:tabs>
          <w:tab w:val="left" w:pos="354"/>
        </w:tabs>
      </w:pPr>
      <w:r>
        <w:t>Tato dohoda je sepsána ve dvou vyhotoveních po jednom pro každou ze smluvních stran.</w:t>
      </w:r>
    </w:p>
    <w:p w:rsidR="00F233FE" w:rsidRDefault="003B7C09">
      <w:pPr>
        <w:pStyle w:val="Zkladntext1"/>
        <w:numPr>
          <w:ilvl w:val="0"/>
          <w:numId w:val="1"/>
        </w:numPr>
        <w:tabs>
          <w:tab w:val="left" w:pos="349"/>
        </w:tabs>
        <w:spacing w:after="300"/>
        <w:ind w:left="460" w:hanging="460"/>
      </w:pPr>
      <w:r>
        <w:t>Účastníci si smlouvu přečetli, souhlasí s celým jejím obsahem, což stvrzují svým vlastnoručním podpisem.</w:t>
      </w:r>
      <w:r>
        <w:br w:type="page"/>
      </w:r>
    </w:p>
    <w:p w:rsidR="00D16EB5" w:rsidRDefault="00D16EB5">
      <w:pPr>
        <w:pStyle w:val="Zkladntext1"/>
        <w:spacing w:after="200" w:line="266" w:lineRule="auto"/>
      </w:pPr>
    </w:p>
    <w:p w:rsidR="00D16EB5" w:rsidRDefault="00D16EB5">
      <w:pPr>
        <w:pStyle w:val="Zkladntext1"/>
        <w:spacing w:after="200" w:line="266" w:lineRule="auto"/>
      </w:pPr>
    </w:p>
    <w:p w:rsidR="00D16EB5" w:rsidRDefault="00D16EB5">
      <w:pPr>
        <w:pStyle w:val="Zkladntext1"/>
        <w:spacing w:after="200" w:line="266" w:lineRule="auto"/>
      </w:pPr>
    </w:p>
    <w:p w:rsidR="00F233FE" w:rsidRDefault="003B7C09">
      <w:pPr>
        <w:pStyle w:val="Zkladntext1"/>
        <w:spacing w:after="200" w:line="266" w:lineRule="auto"/>
      </w:pPr>
      <w:r>
        <w:t>V Pardubicích dne 13.3. 2023</w:t>
      </w:r>
      <w:r w:rsidR="00D16EB5">
        <w:tab/>
      </w:r>
      <w:r w:rsidR="00D16EB5">
        <w:tab/>
      </w:r>
      <w:r w:rsidR="00D16EB5">
        <w:tab/>
      </w:r>
      <w:r w:rsidR="00D16EB5">
        <w:tab/>
      </w:r>
      <w:r w:rsidR="00D16EB5">
        <w:tab/>
        <w:t>V Praze dne 17.3.2023</w:t>
      </w:r>
    </w:p>
    <w:p w:rsidR="00D16EB5" w:rsidRDefault="00D16EB5">
      <w:pPr>
        <w:pStyle w:val="Zkladntext1"/>
        <w:spacing w:after="200" w:line="266" w:lineRule="auto"/>
      </w:pPr>
    </w:p>
    <w:p w:rsidR="00D16EB5" w:rsidRDefault="00D16EB5">
      <w:pPr>
        <w:pStyle w:val="Zkladntext1"/>
        <w:spacing w:after="200" w:line="266" w:lineRule="auto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  <w:t>1. správcovská a konkurzní v.o.s.</w:t>
      </w:r>
      <w:r>
        <w:tab/>
      </w:r>
      <w:r>
        <w:tab/>
      </w:r>
      <w:r>
        <w:tab/>
      </w:r>
      <w:r>
        <w:tab/>
      </w:r>
      <w:r>
        <w:tab/>
        <w:t>Městská část Praha 19</w:t>
      </w:r>
      <w:r>
        <w:br/>
        <w:t>insolvenční správce dlužníka ACG- Real s.r.o.</w:t>
      </w:r>
      <w:r>
        <w:tab/>
      </w:r>
      <w:r>
        <w:tab/>
      </w:r>
      <w:r>
        <w:tab/>
        <w:t>Pavel Žďárský</w:t>
      </w:r>
      <w:r>
        <w:br/>
        <w:t>Mgr. Pavel Novák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  <w:r>
        <w:br/>
        <w:t>ohlášený společník</w:t>
      </w:r>
    </w:p>
    <w:p w:rsidR="00D16EB5" w:rsidRDefault="00D16EB5" w:rsidP="00D16EB5">
      <w:pPr>
        <w:pStyle w:val="Zkladntext1"/>
        <w:spacing w:after="200" w:line="266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D16EB5">
      <w:footerReference w:type="even" r:id="rId7"/>
      <w:footerReference w:type="default" r:id="rId8"/>
      <w:pgSz w:w="11900" w:h="16840"/>
      <w:pgMar w:top="290" w:right="978" w:bottom="908" w:left="97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09" w:rsidRDefault="003B7C09">
      <w:r>
        <w:separator/>
      </w:r>
    </w:p>
  </w:endnote>
  <w:endnote w:type="continuationSeparator" w:id="0">
    <w:p w:rsidR="003B7C09" w:rsidRDefault="003B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FE" w:rsidRDefault="003B7C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10180320</wp:posOffset>
              </wp:positionV>
              <wp:extent cx="19177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33FE" w:rsidRDefault="003B7C09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5.5pt;margin-top:801.60000000000002pt;width:15.1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FE" w:rsidRDefault="003B7C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10169525</wp:posOffset>
              </wp:positionV>
              <wp:extent cx="189230" cy="1308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33FE" w:rsidRDefault="00D16EB5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287.4pt;margin-top:800.75pt;width:14.9pt;height:10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" filled="f" stroked="f">
              <v:textbox style="mso-fit-shape-to-text:t" inset="0,0,0,0">
                <w:txbxContent>
                  <w:p w:rsidR="00F233FE" w:rsidRDefault="00D16EB5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09" w:rsidRDefault="003B7C09"/>
  </w:footnote>
  <w:footnote w:type="continuationSeparator" w:id="0">
    <w:p w:rsidR="003B7C09" w:rsidRDefault="003B7C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6CE"/>
    <w:multiLevelType w:val="multilevel"/>
    <w:tmpl w:val="2500C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FE"/>
    <w:rsid w:val="003960EF"/>
    <w:rsid w:val="003B7C09"/>
    <w:rsid w:val="00D16EB5"/>
    <w:rsid w:val="00F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7789C3-2A17-4846-A80D-23B49EF4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pacing w:line="276" w:lineRule="auto"/>
    </w:pPr>
    <w:rPr>
      <w:rFonts w:ascii="Arial" w:eastAsia="Arial" w:hAnsi="Arial" w:cs="Arial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pacing w:line="209" w:lineRule="auto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pacing w:after="34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D16E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EB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16E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6E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Krejčí Veronika (ÚMČ Kbely)</cp:lastModifiedBy>
  <cp:revision>3</cp:revision>
  <dcterms:created xsi:type="dcterms:W3CDTF">2023-03-22T07:11:00Z</dcterms:created>
  <dcterms:modified xsi:type="dcterms:W3CDTF">2023-03-22T07:23:00Z</dcterms:modified>
</cp:coreProperties>
</file>