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5"/>
        <w:gridCol w:w="2351"/>
        <w:gridCol w:w="1181"/>
        <w:gridCol w:w="1235"/>
      </w:tblGrid>
      <w:tr w:rsidR="006165EA" w:rsidRPr="006165EA" w:rsidTr="006165EA">
        <w:trPr>
          <w:trHeight w:val="40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6165E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technické specifikace </w:t>
            </w:r>
            <w:r w:rsidRPr="006165EA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" technické požadavky na plně digitální ultrazvukový přístroj pro interní oddělení a urgentní příjem"</w:t>
            </w:r>
          </w:p>
        </w:tc>
      </w:tr>
      <w:tr w:rsidR="006165EA" w:rsidRPr="006165EA" w:rsidTr="006165EA">
        <w:trPr>
          <w:trHeight w:val="40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165EA" w:rsidRPr="006165EA" w:rsidTr="006165EA">
        <w:trPr>
          <w:trHeight w:val="40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165EA" w:rsidRPr="006165EA" w:rsidTr="006165EA">
        <w:trPr>
          <w:trHeight w:val="315"/>
        </w:trPr>
        <w:tc>
          <w:tcPr>
            <w:tcW w:w="2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6165EA" w:rsidRPr="006165EA" w:rsidTr="006165EA">
        <w:trPr>
          <w:trHeight w:val="499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16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Plně digitální ultrazvukový přístroj pro interní oddělení a urgentní příjem  - 2 ks</w:t>
            </w:r>
          </w:p>
        </w:tc>
      </w:tr>
      <w:tr w:rsidR="006165EA" w:rsidRPr="006165EA" w:rsidTr="006165EA">
        <w:trPr>
          <w:trHeight w:val="330"/>
        </w:trPr>
        <w:tc>
          <w:tcPr>
            <w:tcW w:w="5000" w:type="pct"/>
            <w:gridSpan w:val="4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6165E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Plně digitální ultrazvukový přístroj pro potřeby interního oddělení a urgentního příjmu</w:t>
            </w:r>
          </w:p>
        </w:tc>
      </w:tr>
      <w:tr w:rsidR="006165EA" w:rsidRPr="006165EA" w:rsidTr="006165EA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65E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65E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65E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65E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165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165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165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165E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6165EA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výrobce: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6165EA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6165EA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6165EA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Canon Medical Systems, Japonsko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6165EA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typ: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6165EA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6165EA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6165EA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Canon Aplio a</w:t>
            </w:r>
          </w:p>
        </w:tc>
      </w:tr>
      <w:tr w:rsidR="006165EA" w:rsidRPr="006165EA" w:rsidTr="006165EA">
        <w:trPr>
          <w:trHeight w:val="48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UZV diagnostický přístroj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nový, s výlučně digitálním formátováním UZ svazku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mobilita přístroje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na podvozku, s možností blokování či fixace kol ve směru, šířka maximálně 55 cm, váha maximálně 100 kg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54 cm, 91 kg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rychlý start přístroje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z vypnutého stavu do 60 sec, ze stand-by maximálně 15 sec.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start 50 sec / Stand-by 15 sec</w:t>
            </w:r>
          </w:p>
        </w:tc>
      </w:tr>
      <w:tr w:rsidR="006165EA" w:rsidRPr="006165EA" w:rsidTr="006165EA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 xml:space="preserve">monitor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LCD/LED o velikosti minimálně 23“, Full HD rozlišení, na rameni, výškově i stranově stavitelný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LED 23", 1920 x 1080 pix</w:t>
            </w:r>
          </w:p>
        </w:tc>
      </w:tr>
      <w:tr w:rsidR="006165EA" w:rsidRPr="006165EA" w:rsidTr="006165EA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ovládací panel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výškově a stranově stavitelný, programovatelnost všech ovládacích prvků uživatelem, výškově stavitelný v rozmezí 70 - 100 cm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65 - 100 cm</w:t>
            </w:r>
          </w:p>
        </w:tc>
      </w:tr>
      <w:tr w:rsidR="006165EA" w:rsidRPr="006165EA" w:rsidTr="006165EA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pomocný dotykový LCD displej integrovaný do ovládacího panelu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minimálně 12", plně programovatelný (možnost úpravy a tvorby nabídek uživatelem)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12"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ovládání pomocí trackballu (nikoliv touchpad)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textová klávesnice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 xml:space="preserve">mechanická, </w:t>
            </w:r>
            <w:r w:rsidRPr="006165EA">
              <w:rPr>
                <w:rFonts w:ascii="Arial" w:eastAsia="Times New Roman" w:hAnsi="Arial" w:cs="Arial"/>
                <w:lang w:eastAsia="cs-CZ"/>
              </w:rPr>
              <w:lastRenderedPageBreak/>
              <w:t>zasouvatelná do hlavního panelu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lastRenderedPageBreak/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lastRenderedPageBreak/>
              <w:t>nastavení STC křivky na pomocném LCD displeji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možnost nastavení a změny 2D gainu v laterálním směru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počet aktivních konektorů pro připojení uzv sond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minimálně 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3 x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 xml:space="preserve">frekvenční rozsah přístroje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minimálně 1 - 18 MHz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1 - 18 MHz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podpora uz sond typu matrix (více-elementové sondy s uspořádáním vysílacích krystalů v několika řadách)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podpora uz sond typu single crystal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165EA">
              <w:rPr>
                <w:rFonts w:ascii="Arial" w:eastAsia="Times New Roman" w:hAnsi="Arial" w:cs="Arial"/>
                <w:b/>
                <w:bCs/>
                <w:lang w:eastAsia="cs-CZ"/>
              </w:rPr>
              <w:t>Zobrazovací režimy: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2D zobrazení ( B-mode ) na základních i harmonických frekvencích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Maximální hloubka 2D zobrazení minimálně 40 cm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50 cm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automaticé zamražení sond při nečinnosti dle nastaveného času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3D Freehand - modul rekonstrukce 3D objemu pomocí konvenčních 2D sond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úhlové ( compoudní ) zobrazení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pulzní doppler včetně HPRF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kontinuální doppler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tkáňový doppler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barevné dopplerovské zobrazení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zobrazení energie krevního toku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simultánní duální zobrazení 2D a 2D + CFM v reálném čase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triplexní režim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modul vizualizace mikrokalcifikací - speciální SW umožňující v reálném čase detekci a vyhodnocování tkáňových mikrokalcifikací (o velikosti &lt; 100 μm) v zájmové oblasti - pomocí lineární sondy při vyšetření malých částí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automatická optimalizace 2D obrazu i dopplerovského spektra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 xml:space="preserve">uspořádání 2D obrazu a dopplerovského spektra na monitoru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vedle sebe i nad sebou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zvětšování a zmenšování zobrazovacího pole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 xml:space="preserve"> v aktivním, zmraženém i cine režimu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možnost měření v živém i zmrazeném obraze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 xml:space="preserve">programové vybavení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pro základní měření a výpočty (délka, plocha, objem, …)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komplexní kardiologické měření a výpočty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automatické trasování dopplerovských křivek s výpočty hodnot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 xml:space="preserve">Vascularity index - výpočet procentuálního </w:t>
            </w:r>
            <w:r w:rsidRPr="006165EA">
              <w:rPr>
                <w:rFonts w:ascii="Arial" w:eastAsia="Times New Roman" w:hAnsi="Arial" w:cs="Arial"/>
                <w:lang w:eastAsia="cs-CZ"/>
              </w:rPr>
              <w:lastRenderedPageBreak/>
              <w:t>prokrvení z definované oblasti na cévní sondě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lastRenderedPageBreak/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lastRenderedPageBreak/>
              <w:t xml:space="preserve">paměťová smyčka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s možností manuálního či dynamického prohlížení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 xml:space="preserve">interní HDD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pro archivaci statických snímků a obrazových sekvencí, velikost minimálně    1 TB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ano, 1 TB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tvorba databáze pacientských a obrazových dat na interním HDD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možnost konverze obrazových nálezů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 xml:space="preserve"> do běžných nelicencovaných formátů (jpg, bmp, avi, mpeg4, …)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USB porty pro export obrazových nálezů na externí média typu Flash Disk, alespoň 1 dostupný na monitoru či ovládacím panelu přístroje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 xml:space="preserve">USB port pro přímý tisk závěrečných reportů (text + obrazová dokumentace) na běžné Windows tiskárně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interní zapisovací jednotka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CD/DVD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komunikační modul Dicom 3.0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 xml:space="preserve"> pro všechny kategorie (vč. Worklist)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konektor pro připojení do datové sítě LAN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ano, pro možnost archivace na externím datovém úložišti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možnost bezdrátové komunkace WiFi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165EA">
              <w:rPr>
                <w:rFonts w:ascii="Arial" w:eastAsia="Times New Roman" w:hAnsi="Arial" w:cs="Arial"/>
                <w:b/>
                <w:bCs/>
                <w:lang w:eastAsia="cs-CZ"/>
              </w:rPr>
              <w:t>Elektronické sondy 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165EA" w:rsidRPr="006165EA" w:rsidTr="006165EA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konvexní abdominální sonda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frekvenční rozsah minimálně 2 – 8 MHz, šířka sektoru minimálně 110°, hloubka zobrazení 2D minimálně 40 cm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1-8 MHz, sektor 120°, hl. 40 cm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lineární sonda pro blízké pole a cévní vyšetřování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frekvenční rozsah minimálně 3 – 11 MHz, šířka záběru 40 mm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3 - 11 MHz, šířka 44 mm</w:t>
            </w:r>
          </w:p>
        </w:tc>
      </w:tr>
      <w:tr w:rsidR="006165EA" w:rsidRPr="006165EA" w:rsidTr="006165EA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sektorová sonda pro kardiologické vyšetřování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frekvenční rozsah minimálně 2 - 5 MHz, zobrazovaný sektor minimálně 90</w:t>
            </w:r>
            <w:r w:rsidRPr="006165EA">
              <w:rPr>
                <w:rFonts w:ascii="Calibri" w:eastAsia="Times New Roman" w:hAnsi="Calibri" w:cs="Calibri"/>
                <w:lang w:eastAsia="cs-CZ"/>
              </w:rPr>
              <w:t>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1,5 - 6 MHz, sektor 110</w:t>
            </w:r>
            <w:r w:rsidRPr="006165EA">
              <w:rPr>
                <w:rFonts w:ascii="Calibri" w:eastAsia="Times New Roman" w:hAnsi="Calibri" w:cs="Calibri"/>
                <w:lang w:eastAsia="cs-CZ"/>
              </w:rPr>
              <w:t>°</w:t>
            </w:r>
          </w:p>
        </w:tc>
      </w:tr>
      <w:tr w:rsidR="006165EA" w:rsidRPr="006165EA" w:rsidTr="006165EA">
        <w:trPr>
          <w:trHeight w:val="315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EA" w:rsidRPr="006165EA" w:rsidRDefault="006165EA" w:rsidP="006165E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165E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</w:tbl>
    <w:p w:rsidR="00B27B17" w:rsidRDefault="00B27B17"/>
    <w:sectPr w:rsidR="00B27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EA"/>
    <w:rsid w:val="006165EA"/>
    <w:rsid w:val="00B2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2023-03-21T10:38:00Z</dcterms:created>
  <dcterms:modified xsi:type="dcterms:W3CDTF">2023-03-21T10:40:00Z</dcterms:modified>
</cp:coreProperties>
</file>