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2A3E3EA7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023648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0889124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706B9A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706B9A" w:rsidRPr="002C4709">
        <w:rPr>
          <w:rFonts w:ascii="Arial" w:hAnsi="Arial" w:cs="Arial"/>
          <w:sz w:val="20"/>
          <w:szCs w:val="20"/>
        </w:rPr>
        <w:t xml:space="preserve">Ing. </w:t>
      </w:r>
      <w:r w:rsidR="00706B9A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706B9A">
        <w:rPr>
          <w:rFonts w:ascii="Arial" w:hAnsi="Arial" w:cs="Arial"/>
          <w:sz w:val="20"/>
          <w:szCs w:val="20"/>
        </w:rPr>
        <w:t>Dundrem</w:t>
      </w:r>
      <w:proofErr w:type="spellEnd"/>
      <w:r w:rsidR="00706B9A" w:rsidRPr="002C4709">
        <w:rPr>
          <w:rFonts w:ascii="Arial" w:hAnsi="Arial" w:cs="Arial"/>
          <w:sz w:val="20"/>
          <w:szCs w:val="20"/>
        </w:rPr>
        <w:t xml:space="preserve">, </w:t>
      </w:r>
      <w:r w:rsidR="00706B9A">
        <w:rPr>
          <w:rFonts w:ascii="Arial" w:hAnsi="Arial" w:cs="Arial"/>
          <w:sz w:val="20"/>
          <w:szCs w:val="20"/>
        </w:rPr>
        <w:t>místop</w:t>
      </w:r>
      <w:r w:rsidR="00706B9A" w:rsidRPr="002C4709">
        <w:rPr>
          <w:rFonts w:ascii="Arial" w:hAnsi="Arial" w:cs="Arial"/>
          <w:sz w:val="20"/>
          <w:szCs w:val="20"/>
        </w:rPr>
        <w:t>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3A01D5" w14:textId="1FFBA34E" w:rsidR="00B71F70" w:rsidRPr="00813EF3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HOSPIC TEMPUS, </w:t>
      </w:r>
      <w:proofErr w:type="spellStart"/>
      <w:r>
        <w:rPr>
          <w:rFonts w:ascii="Arial" w:hAnsi="Arial" w:cs="Arial"/>
          <w:b/>
          <w:sz w:val="20"/>
          <w:szCs w:val="20"/>
        </w:rPr>
        <w:t>z.s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7965096A" w14:textId="3EC51A8B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352AE0">
        <w:rPr>
          <w:rFonts w:ascii="Arial" w:hAnsi="Arial" w:cs="Arial"/>
          <w:sz w:val="20"/>
          <w:szCs w:val="20"/>
        </w:rPr>
        <w:t>Bezručova 108</w:t>
      </w:r>
      <w:r w:rsidR="0076570D" w:rsidRPr="0076570D">
        <w:rPr>
          <w:rFonts w:ascii="Arial" w:hAnsi="Arial" w:cs="Arial"/>
          <w:sz w:val="20"/>
          <w:szCs w:val="20"/>
        </w:rPr>
        <w:t>, 276 01 Mělník</w:t>
      </w:r>
    </w:p>
    <w:p w14:paraId="34271AD3" w14:textId="5711D7A7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05894271</w:t>
      </w:r>
    </w:p>
    <w:p w14:paraId="5B3CD91B" w14:textId="628B186D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CZ05894271</w:t>
      </w:r>
    </w:p>
    <w:p w14:paraId="4861D373" w14:textId="0D3509FB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banka, a.s.</w:t>
      </w:r>
    </w:p>
    <w:p w14:paraId="6BF9B92B" w14:textId="5CA2B56E" w:rsidR="00B71F70" w:rsidRPr="003E4A0E" w:rsidRDefault="00B71F70" w:rsidP="00B71F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023648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66419104" w14:textId="2A5BD4B3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ve spolkovém rejstříku, vedeném Městským soudem v </w:t>
      </w:r>
      <w:r w:rsidRPr="000C2EF2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 oddíl L, vložka 68010</w:t>
      </w:r>
    </w:p>
    <w:p w14:paraId="7C6543F4" w14:textId="49111ACA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Mgr. Ditou </w:t>
      </w:r>
      <w:proofErr w:type="spellStart"/>
      <w:r>
        <w:rPr>
          <w:rFonts w:ascii="Arial" w:hAnsi="Arial" w:cs="Arial"/>
          <w:sz w:val="20"/>
          <w:szCs w:val="20"/>
        </w:rPr>
        <w:t>Brezovákovou</w:t>
      </w:r>
      <w:proofErr w:type="spellEnd"/>
      <w:r>
        <w:rPr>
          <w:rFonts w:ascii="Arial" w:hAnsi="Arial" w:cs="Arial"/>
          <w:sz w:val="20"/>
          <w:szCs w:val="20"/>
        </w:rPr>
        <w:t>, předsedkyní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  <w:bookmarkStart w:id="0" w:name="_GoBack"/>
      <w:bookmarkEnd w:id="0"/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F7D17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1D35552F" w:rsidR="00A603AD" w:rsidRDefault="002250BB" w:rsidP="00BF7D17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683D4C">
        <w:rPr>
          <w:rFonts w:ascii="Arial" w:hAnsi="Arial" w:cs="Arial"/>
          <w:b/>
          <w:sz w:val="20"/>
          <w:szCs w:val="20"/>
        </w:rPr>
        <w:t>2</w:t>
      </w:r>
      <w:r w:rsidR="00706B9A">
        <w:rPr>
          <w:rFonts w:ascii="Arial" w:hAnsi="Arial" w:cs="Arial"/>
          <w:b/>
          <w:sz w:val="20"/>
          <w:szCs w:val="20"/>
        </w:rPr>
        <w:t>1</w:t>
      </w:r>
      <w:r w:rsidR="00683D4C">
        <w:rPr>
          <w:rFonts w:ascii="Arial" w:hAnsi="Arial" w:cs="Arial"/>
          <w:b/>
          <w:sz w:val="20"/>
          <w:szCs w:val="20"/>
        </w:rPr>
        <w:t>0</w:t>
      </w:r>
      <w:r w:rsidR="00AC4704">
        <w:rPr>
          <w:rFonts w:ascii="Arial" w:hAnsi="Arial" w:cs="Arial"/>
          <w:b/>
          <w:sz w:val="20"/>
          <w:szCs w:val="20"/>
        </w:rPr>
        <w:t>.</w:t>
      </w:r>
      <w:r w:rsidR="00683D4C">
        <w:rPr>
          <w:rFonts w:ascii="Arial" w:hAnsi="Arial" w:cs="Arial"/>
          <w:b/>
          <w:sz w:val="20"/>
          <w:szCs w:val="20"/>
        </w:rPr>
        <w:t>0</w:t>
      </w:r>
      <w:r w:rsidR="00AC4704">
        <w:rPr>
          <w:rFonts w:ascii="Arial" w:hAnsi="Arial" w:cs="Arial"/>
          <w:b/>
          <w:sz w:val="20"/>
          <w:szCs w:val="20"/>
        </w:rPr>
        <w:t>00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F7D17">
        <w:rPr>
          <w:rFonts w:ascii="Arial" w:hAnsi="Arial" w:cs="Arial"/>
          <w:sz w:val="20"/>
          <w:szCs w:val="20"/>
        </w:rPr>
        <w:t> </w:t>
      </w:r>
      <w:proofErr w:type="spellStart"/>
      <w:r w:rsidR="00683D4C">
        <w:rPr>
          <w:rFonts w:ascii="Arial" w:hAnsi="Arial" w:cs="Arial"/>
          <w:sz w:val="20"/>
          <w:szCs w:val="20"/>
        </w:rPr>
        <w:t>dvěstě</w:t>
      </w:r>
      <w:r w:rsidR="00706B9A">
        <w:rPr>
          <w:rFonts w:ascii="Arial" w:hAnsi="Arial" w:cs="Arial"/>
          <w:sz w:val="20"/>
          <w:szCs w:val="20"/>
        </w:rPr>
        <w:t>deset</w:t>
      </w:r>
      <w:r w:rsidR="00AC4704">
        <w:rPr>
          <w:rFonts w:ascii="Arial" w:hAnsi="Arial" w:cs="Arial"/>
          <w:sz w:val="20"/>
          <w:szCs w:val="20"/>
        </w:rPr>
        <w:t>tisíc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BE586A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BF7D17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AC680A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6A3C21D2" w:rsidR="00574512" w:rsidRPr="008002A1" w:rsidRDefault="004F4255" w:rsidP="00AC680A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F7D17">
        <w:rPr>
          <w:rFonts w:ascii="Arial" w:hAnsi="Arial" w:cs="Arial"/>
          <w:b/>
          <w:sz w:val="20"/>
          <w:szCs w:val="20"/>
        </w:rPr>
        <w:t xml:space="preserve">mzdové </w:t>
      </w:r>
      <w:r w:rsidR="00883EC2" w:rsidRPr="00BF7D17">
        <w:rPr>
          <w:rFonts w:ascii="Arial" w:hAnsi="Arial" w:cs="Arial"/>
          <w:b/>
          <w:sz w:val="20"/>
          <w:szCs w:val="20"/>
        </w:rPr>
        <w:t xml:space="preserve">náklady </w:t>
      </w:r>
      <w:r w:rsidR="00683D4C" w:rsidRPr="00BF7D17">
        <w:rPr>
          <w:rFonts w:ascii="Arial" w:hAnsi="Arial" w:cs="Arial"/>
          <w:b/>
          <w:sz w:val="20"/>
          <w:szCs w:val="20"/>
        </w:rPr>
        <w:t>lékař</w:t>
      </w:r>
      <w:r w:rsidR="00DA1436">
        <w:rPr>
          <w:rFonts w:ascii="Arial" w:hAnsi="Arial" w:cs="Arial"/>
          <w:b/>
          <w:sz w:val="20"/>
          <w:szCs w:val="20"/>
        </w:rPr>
        <w:t>ů</w:t>
      </w:r>
      <w:r w:rsidR="00683D4C" w:rsidRPr="00BF7D17">
        <w:rPr>
          <w:rFonts w:ascii="Arial" w:hAnsi="Arial" w:cs="Arial"/>
          <w:b/>
          <w:sz w:val="20"/>
          <w:szCs w:val="20"/>
        </w:rPr>
        <w:t xml:space="preserve"> </w:t>
      </w:r>
      <w:r w:rsidR="00C110AD" w:rsidRPr="00BF7D17">
        <w:rPr>
          <w:rFonts w:ascii="Arial" w:hAnsi="Arial" w:cs="Arial"/>
          <w:b/>
          <w:sz w:val="20"/>
          <w:szCs w:val="20"/>
        </w:rPr>
        <w:t>Obdarovaného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AC680A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32764085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D95EB14" w14:textId="77777777" w:rsidR="002D7CB3" w:rsidRDefault="002D7CB3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8DF3861" w14:textId="77777777" w:rsidR="00526E8B" w:rsidRDefault="00526E8B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65CED881" w:rsidR="00D56632" w:rsidRDefault="00D56632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706B9A">
        <w:rPr>
          <w:rFonts w:ascii="Arial" w:hAnsi="Arial" w:cs="Arial"/>
          <w:sz w:val="20"/>
          <w:szCs w:val="20"/>
        </w:rPr>
        <w:t>3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20A30668" w:rsidR="00D612DA" w:rsidRDefault="00D612DA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939875E" w14:textId="0334705B" w:rsidR="00163782" w:rsidRPr="00163782" w:rsidRDefault="00163782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141F63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hyperlink r:id="rId8" w:history="1">
        <w:proofErr w:type="spellStart"/>
        <w:r w:rsidR="00023648">
          <w:rPr>
            <w:rStyle w:val="Hypertextovodkaz"/>
            <w:rFonts w:ascii="Arial" w:hAnsi="Arial" w:cs="Arial"/>
            <w:sz w:val="20"/>
            <w:szCs w:val="20"/>
          </w:rPr>
          <w:t>xxx</w:t>
        </w:r>
        <w:proofErr w:type="spellEnd"/>
      </w:hyperlink>
      <w:r>
        <w:rPr>
          <w:rFonts w:ascii="Arial" w:hAnsi="Arial" w:cs="Arial"/>
          <w:sz w:val="20"/>
          <w:szCs w:val="20"/>
        </w:rPr>
        <w:t>.</w:t>
      </w:r>
    </w:p>
    <w:p w14:paraId="5356E9AC" w14:textId="77777777" w:rsidR="00241284" w:rsidRDefault="0095625B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AC680A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680A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1ABE3DCD" w:rsidR="0053207F" w:rsidRPr="0053207F" w:rsidRDefault="001D72E0" w:rsidP="00AC680A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hyperlink r:id="rId9" w:history="1">
        <w:r w:rsidR="00BF7D17" w:rsidRPr="00E50F50">
          <w:rPr>
            <w:rStyle w:val="Hypertextovodkaz"/>
            <w:rFonts w:ascii="Arial" w:hAnsi="Arial" w:cs="Arial"/>
            <w:sz w:val="20"/>
            <w:szCs w:val="20"/>
          </w:rPr>
          <w:t>http://www.mero.cz/o-spolecnosti/eticky-kodex/</w:t>
        </w:r>
      </w:hyperlink>
      <w:r w:rsidR="0053207F" w:rsidRPr="0053207F">
        <w:rPr>
          <w:rFonts w:ascii="Arial" w:hAnsi="Arial" w:cs="Arial"/>
          <w:sz w:val="20"/>
          <w:szCs w:val="20"/>
        </w:rPr>
        <w:t>.</w:t>
      </w:r>
    </w:p>
    <w:p w14:paraId="2ED56252" w14:textId="77777777" w:rsidR="001D72E0" w:rsidRPr="001D72E0" w:rsidRDefault="001D72E0" w:rsidP="00AC680A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AC680A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AC680A">
      <w:pPr>
        <w:pStyle w:val="Textdokumentu"/>
        <w:spacing w:before="120" w:line="240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686A61" w:rsidR="001D72E0" w:rsidRPr="002C4709" w:rsidRDefault="001D72E0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2D7CB3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2CF7090E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0418C2">
              <w:rPr>
                <w:rFonts w:ascii="Arial" w:hAnsi="Arial" w:cs="Arial"/>
                <w:sz w:val="20"/>
                <w:szCs w:val="20"/>
              </w:rPr>
              <w:t>Mělníku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025673F9" w14:textId="77777777" w:rsidR="00331007" w:rsidRDefault="00331007" w:rsidP="00331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Jaroslav Pantůček,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20799298" w:rsidR="003E4A0E" w:rsidRDefault="00706B9A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Dundr, místopředseda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0B9F330D" w14:textId="05BEF2A0" w:rsidR="008E4434" w:rsidRDefault="007170DA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7170DA">
              <w:rPr>
                <w:rFonts w:ascii="Arial" w:hAnsi="Arial" w:cs="Arial"/>
                <w:sz w:val="20"/>
                <w:szCs w:val="20"/>
              </w:rPr>
              <w:t>Mgr. Dit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170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70DA">
              <w:rPr>
                <w:rFonts w:ascii="Arial" w:hAnsi="Arial" w:cs="Arial"/>
                <w:sz w:val="20"/>
                <w:szCs w:val="20"/>
              </w:rPr>
              <w:t>Brezovákov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Pr="007170DA">
              <w:rPr>
                <w:rFonts w:ascii="Arial" w:hAnsi="Arial" w:cs="Arial"/>
                <w:sz w:val="20"/>
                <w:szCs w:val="20"/>
              </w:rPr>
              <w:t>, předsedkyn</w:t>
            </w:r>
            <w:r w:rsidR="000418C2">
              <w:rPr>
                <w:rFonts w:ascii="Arial" w:hAnsi="Arial" w:cs="Arial"/>
                <w:sz w:val="20"/>
                <w:szCs w:val="20"/>
              </w:rPr>
              <w:t>ě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BF7D17">
      <w:headerReference w:type="default" r:id="rId10"/>
      <w:footerReference w:type="default" r:id="rId11"/>
      <w:pgSz w:w="11906" w:h="16838"/>
      <w:pgMar w:top="1134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A383B" w14:textId="77777777" w:rsidR="00BE4E82" w:rsidRDefault="00BE4E82" w:rsidP="00903FEF">
      <w:pPr>
        <w:spacing w:after="0" w:line="240" w:lineRule="auto"/>
      </w:pPr>
      <w:r>
        <w:separator/>
      </w:r>
    </w:p>
  </w:endnote>
  <w:endnote w:type="continuationSeparator" w:id="0">
    <w:p w14:paraId="396F73F9" w14:textId="77777777" w:rsidR="00BE4E82" w:rsidRDefault="00BE4E82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BEF88" w14:textId="77777777" w:rsidR="00BE4E82" w:rsidRDefault="00BE4E82" w:rsidP="00903FEF">
      <w:pPr>
        <w:spacing w:after="0" w:line="240" w:lineRule="auto"/>
      </w:pPr>
      <w:r>
        <w:separator/>
      </w:r>
    </w:p>
  </w:footnote>
  <w:footnote w:type="continuationSeparator" w:id="0">
    <w:p w14:paraId="290E1610" w14:textId="77777777" w:rsidR="00BE4E82" w:rsidRDefault="00BE4E82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0D9D6A34" w:rsidR="002B3F71" w:rsidRPr="009B55CF" w:rsidRDefault="009B55CF" w:rsidP="009B55CF">
    <w:pPr>
      <w:pStyle w:val="Zhlav"/>
      <w:jc w:val="right"/>
    </w:pPr>
    <w:r w:rsidRPr="009B55CF">
      <w:rPr>
        <w:b/>
        <w:sz w:val="24"/>
        <w:szCs w:val="24"/>
      </w:rPr>
      <w:t>01360/DAR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23648"/>
    <w:rsid w:val="000418C2"/>
    <w:rsid w:val="0006771C"/>
    <w:rsid w:val="000D3E3B"/>
    <w:rsid w:val="00140985"/>
    <w:rsid w:val="00141F63"/>
    <w:rsid w:val="00163782"/>
    <w:rsid w:val="001955A5"/>
    <w:rsid w:val="001968E8"/>
    <w:rsid w:val="001D56E7"/>
    <w:rsid w:val="001D72E0"/>
    <w:rsid w:val="001F481B"/>
    <w:rsid w:val="002100EA"/>
    <w:rsid w:val="002250BB"/>
    <w:rsid w:val="00241284"/>
    <w:rsid w:val="00247480"/>
    <w:rsid w:val="00273A4F"/>
    <w:rsid w:val="00297DB2"/>
    <w:rsid w:val="002B3F71"/>
    <w:rsid w:val="002C4709"/>
    <w:rsid w:val="002D144D"/>
    <w:rsid w:val="002D7CB3"/>
    <w:rsid w:val="0032646B"/>
    <w:rsid w:val="00326737"/>
    <w:rsid w:val="00331007"/>
    <w:rsid w:val="00347DBE"/>
    <w:rsid w:val="00352AE0"/>
    <w:rsid w:val="00392072"/>
    <w:rsid w:val="003B5C57"/>
    <w:rsid w:val="003E4A0E"/>
    <w:rsid w:val="00411164"/>
    <w:rsid w:val="00481944"/>
    <w:rsid w:val="004860FA"/>
    <w:rsid w:val="004862D0"/>
    <w:rsid w:val="004D3F55"/>
    <w:rsid w:val="004F4255"/>
    <w:rsid w:val="00510055"/>
    <w:rsid w:val="00526E8B"/>
    <w:rsid w:val="0053207F"/>
    <w:rsid w:val="00574512"/>
    <w:rsid w:val="00582CF9"/>
    <w:rsid w:val="005D0A6B"/>
    <w:rsid w:val="0061462C"/>
    <w:rsid w:val="00636A06"/>
    <w:rsid w:val="00657B9E"/>
    <w:rsid w:val="00683D4C"/>
    <w:rsid w:val="006D11EB"/>
    <w:rsid w:val="006D30A0"/>
    <w:rsid w:val="006D6329"/>
    <w:rsid w:val="006E69B4"/>
    <w:rsid w:val="00703576"/>
    <w:rsid w:val="00704051"/>
    <w:rsid w:val="00706B9A"/>
    <w:rsid w:val="007170DA"/>
    <w:rsid w:val="007333C3"/>
    <w:rsid w:val="0076570D"/>
    <w:rsid w:val="00791C8F"/>
    <w:rsid w:val="00795710"/>
    <w:rsid w:val="007F3A0F"/>
    <w:rsid w:val="008002A1"/>
    <w:rsid w:val="00812FAD"/>
    <w:rsid w:val="00817757"/>
    <w:rsid w:val="00842D17"/>
    <w:rsid w:val="008447BB"/>
    <w:rsid w:val="008553D8"/>
    <w:rsid w:val="00871EDC"/>
    <w:rsid w:val="00883EC2"/>
    <w:rsid w:val="00887B24"/>
    <w:rsid w:val="008A64F0"/>
    <w:rsid w:val="008B145F"/>
    <w:rsid w:val="008B4579"/>
    <w:rsid w:val="008B4BF1"/>
    <w:rsid w:val="008E4434"/>
    <w:rsid w:val="009030A1"/>
    <w:rsid w:val="00903FEF"/>
    <w:rsid w:val="00953F1A"/>
    <w:rsid w:val="0095625B"/>
    <w:rsid w:val="009B30F8"/>
    <w:rsid w:val="009B55CF"/>
    <w:rsid w:val="00A15D9C"/>
    <w:rsid w:val="00A559DD"/>
    <w:rsid w:val="00A603AD"/>
    <w:rsid w:val="00A71DD1"/>
    <w:rsid w:val="00AA7755"/>
    <w:rsid w:val="00AC0A68"/>
    <w:rsid w:val="00AC1563"/>
    <w:rsid w:val="00AC4704"/>
    <w:rsid w:val="00AC680A"/>
    <w:rsid w:val="00AE3CD9"/>
    <w:rsid w:val="00AE7ACE"/>
    <w:rsid w:val="00B07147"/>
    <w:rsid w:val="00B1015C"/>
    <w:rsid w:val="00B201EF"/>
    <w:rsid w:val="00B345E9"/>
    <w:rsid w:val="00B4114B"/>
    <w:rsid w:val="00B71F70"/>
    <w:rsid w:val="00B7203B"/>
    <w:rsid w:val="00BA4D82"/>
    <w:rsid w:val="00BC48B1"/>
    <w:rsid w:val="00BC6F1B"/>
    <w:rsid w:val="00BD1083"/>
    <w:rsid w:val="00BE4E82"/>
    <w:rsid w:val="00BE586A"/>
    <w:rsid w:val="00BF372B"/>
    <w:rsid w:val="00BF7D17"/>
    <w:rsid w:val="00C110AD"/>
    <w:rsid w:val="00C30D89"/>
    <w:rsid w:val="00C51279"/>
    <w:rsid w:val="00C74577"/>
    <w:rsid w:val="00C954B8"/>
    <w:rsid w:val="00CB5C1B"/>
    <w:rsid w:val="00D26E96"/>
    <w:rsid w:val="00D422FE"/>
    <w:rsid w:val="00D46104"/>
    <w:rsid w:val="00D56632"/>
    <w:rsid w:val="00D612DA"/>
    <w:rsid w:val="00DA1436"/>
    <w:rsid w:val="00DC331C"/>
    <w:rsid w:val="00E37B6E"/>
    <w:rsid w:val="00ED610A"/>
    <w:rsid w:val="00EE358D"/>
    <w:rsid w:val="00EF3FF8"/>
    <w:rsid w:val="00EF760F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F7D1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7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y@mer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ro.cz/o-spolecnosti/eticky-kodex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635D4-99B7-458C-BFB1-FFF96241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Jitka Koukalová</cp:lastModifiedBy>
  <cp:revision>2</cp:revision>
  <cp:lastPrinted>2019-11-14T09:22:00Z</cp:lastPrinted>
  <dcterms:created xsi:type="dcterms:W3CDTF">2023-03-21T09:00:00Z</dcterms:created>
  <dcterms:modified xsi:type="dcterms:W3CDTF">2023-03-21T09:00:00Z</dcterms:modified>
</cp:coreProperties>
</file>