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77777777" w:rsidR="00031AA6" w:rsidRPr="00EB4971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4173D0E0" w:rsidR="00135BB1" w:rsidRPr="00EB4971" w:rsidRDefault="00604295" w:rsidP="00CB1B2A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CompuNet s. r. o.</w:t>
      </w:r>
    </w:p>
    <w:p w14:paraId="03EBA5F8" w14:textId="00C54148" w:rsidR="00135BB1" w:rsidRPr="007E5BDA" w:rsidRDefault="00135BB1" w:rsidP="00EB4971">
      <w:pPr>
        <w:jc w:val="both"/>
        <w:rPr>
          <w:rFonts w:ascii="Arial" w:hAnsi="Arial" w:cs="Arial"/>
          <w:b/>
          <w:bCs/>
        </w:rPr>
      </w:pPr>
      <w:r w:rsidRPr="00EB4971">
        <w:rPr>
          <w:rFonts w:ascii="Arial" w:hAnsi="Arial" w:cs="Arial"/>
        </w:rPr>
        <w:t xml:space="preserve">se sídlem </w:t>
      </w:r>
      <w:r w:rsidR="00604295">
        <w:rPr>
          <w:rFonts w:ascii="Arial" w:hAnsi="Arial" w:cs="Arial"/>
        </w:rPr>
        <w:t>Zubatého 295/5, 150 00 Praha 5</w:t>
      </w:r>
    </w:p>
    <w:p w14:paraId="03EBA5F9" w14:textId="03F99410" w:rsidR="00135BB1" w:rsidRPr="00EB4971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IČ: </w:t>
      </w:r>
      <w:r w:rsidR="00604295">
        <w:rPr>
          <w:rFonts w:ascii="Arial" w:hAnsi="Arial" w:cs="Arial"/>
          <w:color w:val="1A1A18"/>
          <w:sz w:val="20"/>
        </w:rPr>
        <w:t>27608514</w:t>
      </w:r>
      <w:r w:rsidR="007825B1" w:rsidRPr="00EB4971">
        <w:rPr>
          <w:rFonts w:ascii="Arial" w:hAnsi="Arial" w:cs="Arial"/>
          <w:sz w:val="20"/>
        </w:rPr>
        <w:t>, DIČ:</w:t>
      </w:r>
      <w:r w:rsidR="00604295">
        <w:rPr>
          <w:rFonts w:ascii="Arial" w:hAnsi="Arial" w:cs="Arial"/>
          <w:sz w:val="20"/>
        </w:rPr>
        <w:t>CZ27608514</w:t>
      </w:r>
    </w:p>
    <w:p w14:paraId="1579206B" w14:textId="6AD35B98" w:rsidR="000C5A20" w:rsidRPr="00EB4971" w:rsidRDefault="000C5A20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Bankovní účet: </w:t>
      </w:r>
      <w:r w:rsidR="00DB7D36">
        <w:rPr>
          <w:rFonts w:ascii="Arial" w:hAnsi="Arial" w:cs="Arial"/>
        </w:rPr>
        <w:t>xxxxxxxxxxxxxxxxxxxxxxxxxxxx</w:t>
      </w:r>
    </w:p>
    <w:p w14:paraId="03EBA5FA" w14:textId="7AF9B7C8" w:rsidR="00135BB1" w:rsidRPr="00EB4971" w:rsidRDefault="002E350C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135BB1" w:rsidRPr="00EB4971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.: </w:t>
      </w:r>
      <w:r w:rsidR="00604295">
        <w:rPr>
          <w:rFonts w:ascii="Arial" w:hAnsi="Arial" w:cs="Arial"/>
        </w:rPr>
        <w:t>Ing. Pavlem Pikhartem, jednatelem</w:t>
      </w:r>
      <w:r>
        <w:rPr>
          <w:rFonts w:ascii="Arial" w:hAnsi="Arial" w:cs="Arial"/>
        </w:rPr>
        <w:t xml:space="preserve"> </w:t>
      </w:r>
    </w:p>
    <w:p w14:paraId="03EBA5FB" w14:textId="36F703CF" w:rsidR="00135BB1" w:rsidRPr="00EB4971" w:rsidRDefault="00135BB1" w:rsidP="00EB4971">
      <w:pPr>
        <w:jc w:val="both"/>
        <w:rPr>
          <w:rFonts w:ascii="Arial" w:hAnsi="Arial" w:cs="Arial"/>
        </w:rPr>
      </w:pPr>
      <w:r w:rsidRPr="00604295">
        <w:rPr>
          <w:rFonts w:ascii="Arial" w:hAnsi="Arial" w:cs="Arial"/>
        </w:rPr>
        <w:t xml:space="preserve">zapsaná v obchodním rejstříku vedeném </w:t>
      </w:r>
      <w:r w:rsidR="00604295">
        <w:rPr>
          <w:rFonts w:ascii="Arial" w:hAnsi="Arial" w:cs="Arial"/>
        </w:rPr>
        <w:t>Městským</w:t>
      </w:r>
      <w:r w:rsidRPr="00604295">
        <w:rPr>
          <w:rFonts w:ascii="Arial" w:hAnsi="Arial" w:cs="Arial"/>
        </w:rPr>
        <w:t xml:space="preserve"> soudem v</w:t>
      </w:r>
      <w:r w:rsidR="00604295">
        <w:rPr>
          <w:rFonts w:ascii="Arial" w:hAnsi="Arial" w:cs="Arial"/>
        </w:rPr>
        <w:t> Praze,</w:t>
      </w:r>
      <w:r w:rsidRPr="00604295">
        <w:rPr>
          <w:rFonts w:ascii="Arial" w:hAnsi="Arial" w:cs="Arial"/>
        </w:rPr>
        <w:t xml:space="preserve"> oddíl </w:t>
      </w:r>
      <w:r w:rsidR="00604295">
        <w:rPr>
          <w:rFonts w:ascii="Arial" w:hAnsi="Arial" w:cs="Arial"/>
        </w:rPr>
        <w:t>C,</w:t>
      </w:r>
      <w:r w:rsidRPr="00604295">
        <w:rPr>
          <w:rFonts w:ascii="Arial" w:hAnsi="Arial" w:cs="Arial"/>
        </w:rPr>
        <w:t xml:space="preserve"> vložka </w:t>
      </w:r>
      <w:r w:rsidR="00604295">
        <w:rPr>
          <w:rFonts w:ascii="Arial" w:hAnsi="Arial" w:cs="Arial"/>
        </w:rPr>
        <w:t>118594</w:t>
      </w:r>
    </w:p>
    <w:p w14:paraId="03EBA5FC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2ED1E4E1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00023272, DIČ: CZ 00023272</w:t>
      </w:r>
    </w:p>
    <w:p w14:paraId="03EBA604" w14:textId="56C0312E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  <w:r w:rsidR="00C658B2">
        <w:rPr>
          <w:rFonts w:ascii="Arial" w:hAnsi="Arial" w:cs="Arial"/>
        </w:rPr>
        <w:t xml:space="preserve">, </w:t>
      </w:r>
      <w:r w:rsidR="000E451C">
        <w:rPr>
          <w:rFonts w:ascii="Arial" w:hAnsi="Arial" w:cs="Arial"/>
        </w:rPr>
        <w:t xml:space="preserve">ředitelem Odboru </w:t>
      </w:r>
      <w:r w:rsidR="000D3986">
        <w:rPr>
          <w:rFonts w:ascii="Arial" w:hAnsi="Arial" w:cs="Arial"/>
        </w:rPr>
        <w:t>digitalizace a informačních systémů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5FA37696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  <w:r w:rsidR="00CC6DDA">
        <w:rPr>
          <w:rFonts w:ascii="Arial" w:hAnsi="Arial" w:cs="Arial"/>
        </w:rPr>
        <w:t>, ve znění pozdějších př</w:t>
      </w:r>
      <w:r w:rsidR="00E639DF">
        <w:rPr>
          <w:rFonts w:ascii="Arial" w:hAnsi="Arial" w:cs="Arial"/>
        </w:rPr>
        <w:t>e</w:t>
      </w:r>
      <w:r w:rsidR="00CC6DDA">
        <w:rPr>
          <w:rFonts w:ascii="Arial" w:hAnsi="Arial" w:cs="Arial"/>
        </w:rPr>
        <w:t>dpisů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0DDE4D99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AB3951" w:rsidRPr="00EB4971">
        <w:rPr>
          <w:rFonts w:ascii="Arial" w:hAnsi="Arial" w:cs="Arial"/>
        </w:rPr>
        <w:t xml:space="preserve">zboží </w:t>
      </w:r>
      <w:r w:rsidR="00AB3951">
        <w:rPr>
          <w:rFonts w:ascii="Arial" w:hAnsi="Arial" w:cs="Arial"/>
        </w:rPr>
        <w:t>dle</w:t>
      </w:r>
      <w:r w:rsidR="00B83F93">
        <w:rPr>
          <w:rFonts w:ascii="Arial" w:hAnsi="Arial" w:cs="Arial"/>
        </w:rPr>
        <w:t xml:space="preserve"> </w:t>
      </w:r>
      <w:r w:rsidR="00FD12F9">
        <w:rPr>
          <w:rFonts w:ascii="Arial" w:hAnsi="Arial" w:cs="Arial"/>
        </w:rPr>
        <w:t xml:space="preserve">VZ </w:t>
      </w:r>
      <w:r w:rsidR="00604295" w:rsidRPr="0066284D">
        <w:rPr>
          <w:rFonts w:ascii="Arial" w:hAnsi="Arial" w:cs="Arial"/>
          <w:b/>
          <w:bCs/>
        </w:rPr>
        <w:t>N006/23/V00005366 – Firewallové řešení pro NM</w:t>
      </w:r>
      <w:r w:rsidR="00604295">
        <w:rPr>
          <w:rFonts w:ascii="Arial" w:hAnsi="Arial" w:cs="Arial"/>
        </w:rPr>
        <w:t>,</w:t>
      </w:r>
      <w:r w:rsidR="00B83F93">
        <w:rPr>
          <w:rFonts w:ascii="Arial" w:hAnsi="Arial" w:cs="Arial"/>
        </w:rPr>
        <w:t xml:space="preserve">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4CC97096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d</w:t>
      </w:r>
      <w:r w:rsidR="00012661">
        <w:rPr>
          <w:rFonts w:cs="Arial"/>
          <w:sz w:val="20"/>
        </w:rPr>
        <w:t>o</w:t>
      </w:r>
      <w:r w:rsidRPr="00EB4971">
        <w:rPr>
          <w:rFonts w:cs="Arial"/>
          <w:sz w:val="20"/>
        </w:rPr>
        <w:t xml:space="preserve"> </w:t>
      </w:r>
      <w:r w:rsidR="00604295" w:rsidRPr="0066284D">
        <w:rPr>
          <w:rFonts w:cs="Arial"/>
          <w:b/>
          <w:bCs/>
          <w:sz w:val="20"/>
        </w:rPr>
        <w:t>30.4.2023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51D37394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1248B3">
        <w:rPr>
          <w:rFonts w:cs="Arial"/>
          <w:b/>
          <w:bCs/>
          <w:sz w:val="20"/>
        </w:rPr>
        <w:t>779 072</w:t>
      </w:r>
      <w:r w:rsidR="00676E12" w:rsidRPr="00676E12">
        <w:rPr>
          <w:rFonts w:cs="Arial"/>
          <w:b/>
          <w:bCs/>
          <w:sz w:val="20"/>
        </w:rPr>
        <w:t>,-</w:t>
      </w:r>
      <w:r w:rsidRPr="00676E12">
        <w:rPr>
          <w:rFonts w:cs="Arial"/>
          <w:b/>
          <w:bCs/>
          <w:sz w:val="20"/>
        </w:rPr>
        <w:t xml:space="preserve"> Kč</w:t>
      </w:r>
      <w:r w:rsidRPr="00EB4971">
        <w:rPr>
          <w:rFonts w:cs="Arial"/>
          <w:sz w:val="20"/>
        </w:rPr>
        <w:t xml:space="preserve"> </w:t>
      </w:r>
      <w:r w:rsidR="0087702E" w:rsidRPr="00EB4971">
        <w:rPr>
          <w:rFonts w:cs="Arial"/>
          <w:sz w:val="20"/>
        </w:rPr>
        <w:t xml:space="preserve">+ DPH ve výši </w:t>
      </w:r>
      <w:r w:rsidR="001248B3">
        <w:rPr>
          <w:rFonts w:cs="Arial"/>
          <w:sz w:val="20"/>
        </w:rPr>
        <w:t>163 605</w:t>
      </w:r>
      <w:r w:rsidR="00676E12">
        <w:rPr>
          <w:rFonts w:cs="Arial"/>
          <w:sz w:val="20"/>
        </w:rPr>
        <w:t>,-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 xml:space="preserve">vč. DPH </w:t>
      </w:r>
      <w:r w:rsidR="001248B3">
        <w:rPr>
          <w:rFonts w:cs="Arial"/>
          <w:sz w:val="20"/>
        </w:rPr>
        <w:t>942 677</w:t>
      </w:r>
      <w:r w:rsidR="00676E12">
        <w:rPr>
          <w:rFonts w:cs="Arial"/>
          <w:sz w:val="20"/>
        </w:rPr>
        <w:t>,-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620CEBC2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 xml:space="preserve">. Záruční doba činí </w:t>
      </w:r>
      <w:r w:rsidR="00B725AC">
        <w:rPr>
          <w:rFonts w:ascii="Arial" w:hAnsi="Arial" w:cs="Arial"/>
          <w:sz w:val="20"/>
          <w:szCs w:val="20"/>
        </w:rPr>
        <w:t>12</w:t>
      </w:r>
      <w:r w:rsidRPr="00EB4971">
        <w:rPr>
          <w:rFonts w:ascii="Arial" w:hAnsi="Arial" w:cs="Arial"/>
          <w:sz w:val="20"/>
          <w:szCs w:val="20"/>
        </w:rPr>
        <w:t xml:space="preserve">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232EE7F8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  <w:r w:rsidR="00E7166C">
        <w:rPr>
          <w:rFonts w:ascii="Arial" w:hAnsi="Arial" w:cs="Arial"/>
        </w:rPr>
        <w:t xml:space="preserve"> 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3325A85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  <w:r w:rsidR="0066284D">
              <w:rPr>
                <w:rFonts w:ascii="Arial" w:hAnsi="Arial" w:cs="Arial"/>
              </w:rPr>
              <w:t xml:space="preserve"> 7.3.2023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525832AD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B990619" w:rsidR="006B0546" w:rsidRDefault="006B0546" w:rsidP="001F11DE">
            <w:pPr>
              <w:rPr>
                <w:rFonts w:ascii="Arial" w:hAnsi="Arial" w:cs="Arial"/>
              </w:rPr>
            </w:pPr>
          </w:p>
          <w:p w14:paraId="00166A3C" w14:textId="72C30185" w:rsidR="00676E12" w:rsidRDefault="00676E12" w:rsidP="001F11DE">
            <w:pPr>
              <w:rPr>
                <w:rFonts w:ascii="Arial" w:hAnsi="Arial" w:cs="Arial"/>
              </w:rPr>
            </w:pPr>
          </w:p>
          <w:p w14:paraId="5D33E073" w14:textId="5C70D6DF" w:rsidR="00676E12" w:rsidRPr="00EB4971" w:rsidRDefault="00676E12" w:rsidP="001F11DE">
            <w:pPr>
              <w:rPr>
                <w:rFonts w:ascii="Arial" w:hAnsi="Arial" w:cs="Arial"/>
              </w:rPr>
            </w:pPr>
          </w:p>
          <w:p w14:paraId="03EBA64C" w14:textId="04720AC6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F" w14:textId="77777777" w:rsidR="00EB6B79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00450CFA" w:rsidR="006B0546" w:rsidRDefault="0066284D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Ing. Pavel Pikhart</w:t>
            </w:r>
          </w:p>
          <w:p w14:paraId="740F82D9" w14:textId="4D9FFC83" w:rsidR="0066284D" w:rsidRPr="00EB4971" w:rsidRDefault="0066284D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Jednatel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01A38905" w:rsidR="00EB6B79" w:rsidRDefault="00012661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Ing. Martin Souček, Ph.D. </w:t>
            </w:r>
          </w:p>
          <w:p w14:paraId="79CC410E" w14:textId="0D8EE3E9" w:rsidR="00012661" w:rsidRPr="00EB4971" w:rsidRDefault="00012661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Ředitel Odboru digitalizace a informačních systémů 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737113C9" w:rsidR="001B3B18" w:rsidRDefault="001B3B18" w:rsidP="006B0546">
      <w:pPr>
        <w:spacing w:line="276" w:lineRule="auto"/>
        <w:jc w:val="both"/>
        <w:rPr>
          <w:rFonts w:ascii="Arial" w:hAnsi="Arial" w:cs="Arial"/>
        </w:rPr>
      </w:pPr>
    </w:p>
    <w:p w14:paraId="66E493E9" w14:textId="3DCA0D67" w:rsidR="001B3B18" w:rsidRPr="001B3B18" w:rsidRDefault="001B3B18" w:rsidP="00012661">
      <w:pPr>
        <w:rPr>
          <w:rFonts w:ascii="Arial" w:eastAsia="Calibri" w:hAnsi="Arial" w:cs="Arial"/>
          <w:b/>
          <w:bCs/>
          <w:lang w:eastAsia="en-US"/>
        </w:rPr>
      </w:pPr>
      <w:r>
        <w:rPr>
          <w:rFonts w:ascii="Arial" w:hAnsi="Arial" w:cs="Arial"/>
        </w:rPr>
        <w:br w:type="page"/>
      </w:r>
      <w:r w:rsidRPr="001B3B18">
        <w:rPr>
          <w:rFonts w:ascii="Arial" w:eastAsia="Calibri" w:hAnsi="Arial" w:cs="Arial"/>
          <w:b/>
          <w:bCs/>
          <w:lang w:eastAsia="en-US"/>
        </w:rPr>
        <w:lastRenderedPageBreak/>
        <w:t>Příloha č. 1</w:t>
      </w:r>
      <w:r w:rsidR="00211D7F">
        <w:rPr>
          <w:rFonts w:ascii="Arial" w:eastAsia="Calibri" w:hAnsi="Arial" w:cs="Arial"/>
          <w:b/>
          <w:bCs/>
          <w:lang w:eastAsia="en-US"/>
        </w:rPr>
        <w:t xml:space="preserve"> - Specifikace</w:t>
      </w:r>
    </w:p>
    <w:p w14:paraId="6A0B3213" w14:textId="77777777" w:rsidR="001B3B18" w:rsidRPr="001B3B18" w:rsidRDefault="001B3B18" w:rsidP="001B3B18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A8CFA56" w14:textId="0B4540A3" w:rsidR="001B3B18" w:rsidRPr="001B3B18" w:rsidRDefault="001B3B18" w:rsidP="001B3B18">
      <w:pPr>
        <w:spacing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211D7F">
        <w:rPr>
          <w:rFonts w:ascii="Calibri" w:eastAsia="Calibri" w:hAnsi="Calibri"/>
          <w:b/>
          <w:bCs/>
          <w:sz w:val="22"/>
          <w:szCs w:val="22"/>
          <w:lang w:eastAsia="en-US"/>
        </w:rPr>
        <w:t>2 x</w:t>
      </w:r>
      <w:r w:rsidRPr="001B3B18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1B3B18">
        <w:rPr>
          <w:rFonts w:ascii="Calibri" w:eastAsia="Calibri" w:hAnsi="Calibri"/>
          <w:b/>
          <w:bCs/>
          <w:sz w:val="22"/>
          <w:szCs w:val="22"/>
          <w:lang w:eastAsia="en-US"/>
        </w:rPr>
        <w:t>FG-400F</w:t>
      </w:r>
      <w:r w:rsidRPr="001B3B18">
        <w:rPr>
          <w:rFonts w:ascii="Calibri" w:eastAsia="Calibri" w:hAnsi="Calibri"/>
          <w:sz w:val="22"/>
          <w:szCs w:val="22"/>
          <w:lang w:eastAsia="en-US"/>
        </w:rPr>
        <w:t xml:space="preserve">            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1B3B18">
        <w:rPr>
          <w:rFonts w:ascii="Calibri" w:eastAsia="Calibri" w:hAnsi="Calibri"/>
          <w:sz w:val="22"/>
          <w:szCs w:val="22"/>
          <w:lang w:eastAsia="en-US"/>
        </w:rPr>
        <w:t xml:space="preserve">FortiGate 400F, HW only: 18 x GE RJ45 ports (including 1 x MGMT port, 1 X </w:t>
      </w:r>
    </w:p>
    <w:p w14:paraId="1D6CA39D" w14:textId="77777777" w:rsidR="001B3B18" w:rsidRPr="001B3B18" w:rsidRDefault="001B3B18" w:rsidP="001B3B18">
      <w:pPr>
        <w:spacing w:line="256" w:lineRule="auto"/>
        <w:ind w:left="1416" w:firstLine="708"/>
        <w:rPr>
          <w:rFonts w:ascii="Calibri" w:eastAsia="Calibri" w:hAnsi="Calibri"/>
          <w:sz w:val="22"/>
          <w:szCs w:val="22"/>
          <w:lang w:eastAsia="en-US"/>
        </w:rPr>
      </w:pPr>
      <w:r w:rsidRPr="001B3B18">
        <w:rPr>
          <w:rFonts w:ascii="Calibri" w:eastAsia="Calibri" w:hAnsi="Calibri"/>
          <w:sz w:val="22"/>
          <w:szCs w:val="22"/>
          <w:lang w:eastAsia="en-US"/>
        </w:rPr>
        <w:t xml:space="preserve">HA port, 16 x switch ports), 8 x GE SFP slots, 8 x 10GE SFP+ slots, SPU NP7 </w:t>
      </w:r>
    </w:p>
    <w:p w14:paraId="6BCD86DD" w14:textId="77777777" w:rsidR="001B3B18" w:rsidRPr="001B3B18" w:rsidRDefault="001B3B18" w:rsidP="001B3B18">
      <w:pPr>
        <w:spacing w:line="256" w:lineRule="auto"/>
        <w:ind w:left="1416" w:firstLine="708"/>
        <w:rPr>
          <w:rFonts w:ascii="Calibri" w:eastAsia="Calibri" w:hAnsi="Calibri"/>
          <w:sz w:val="22"/>
          <w:szCs w:val="22"/>
          <w:lang w:eastAsia="en-US"/>
        </w:rPr>
      </w:pPr>
      <w:r w:rsidRPr="001B3B18">
        <w:rPr>
          <w:rFonts w:ascii="Calibri" w:eastAsia="Calibri" w:hAnsi="Calibri"/>
          <w:sz w:val="22"/>
          <w:szCs w:val="22"/>
          <w:lang w:eastAsia="en-US"/>
        </w:rPr>
        <w:t xml:space="preserve">and CP9 hardware accelerated, dual AC power supplies                                                                              </w:t>
      </w:r>
    </w:p>
    <w:p w14:paraId="46BBBB67" w14:textId="77777777" w:rsidR="001B3B18" w:rsidRPr="001B3B18" w:rsidRDefault="001B3B18" w:rsidP="001B3B18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55C2874" w14:textId="77777777" w:rsidR="001B3B18" w:rsidRDefault="001B3B18" w:rsidP="001B3B18">
      <w:pPr>
        <w:spacing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211D7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2 </w:t>
      </w:r>
      <w:r w:rsidRPr="001B3B18">
        <w:rPr>
          <w:rFonts w:ascii="Calibri" w:eastAsia="Calibri" w:hAnsi="Calibri"/>
          <w:sz w:val="22"/>
          <w:szCs w:val="22"/>
          <w:lang w:eastAsia="en-US"/>
        </w:rPr>
        <w:t xml:space="preserve">x </w:t>
      </w:r>
      <w:r w:rsidRPr="001B3B18">
        <w:rPr>
          <w:rFonts w:ascii="Calibri" w:eastAsia="Calibri" w:hAnsi="Calibri"/>
          <w:b/>
          <w:bCs/>
          <w:sz w:val="22"/>
          <w:szCs w:val="22"/>
          <w:lang w:eastAsia="en-US"/>
        </w:rPr>
        <w:t>FC-10-0400F-950-02-12</w:t>
      </w:r>
      <w:r w:rsidRPr="001B3B18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14:paraId="2B1146A5" w14:textId="7ACD69AE" w:rsidR="001B3B18" w:rsidRPr="001B3B18" w:rsidRDefault="001B3B18" w:rsidP="001B3B18">
      <w:pPr>
        <w:spacing w:line="256" w:lineRule="auto"/>
        <w:ind w:left="1416" w:firstLine="708"/>
        <w:rPr>
          <w:rFonts w:ascii="Calibri" w:eastAsia="Calibri" w:hAnsi="Calibri"/>
          <w:sz w:val="22"/>
          <w:szCs w:val="22"/>
          <w:lang w:eastAsia="en-US"/>
        </w:rPr>
      </w:pPr>
      <w:r w:rsidRPr="001B3B18">
        <w:rPr>
          <w:rFonts w:ascii="Calibri" w:eastAsia="Calibri" w:hAnsi="Calibri"/>
          <w:sz w:val="22"/>
          <w:szCs w:val="22"/>
          <w:lang w:eastAsia="en-US"/>
        </w:rPr>
        <w:t xml:space="preserve">Unified Threat Protection (UTP) (IPS, Advanced Malware </w:t>
      </w:r>
    </w:p>
    <w:p w14:paraId="50CFF4D1" w14:textId="77777777" w:rsidR="001B3B18" w:rsidRPr="001B3B18" w:rsidRDefault="001B3B18" w:rsidP="001B3B18">
      <w:pPr>
        <w:spacing w:line="256" w:lineRule="auto"/>
        <w:ind w:left="2124"/>
        <w:rPr>
          <w:rFonts w:ascii="Calibri" w:eastAsia="Calibri" w:hAnsi="Calibri"/>
          <w:sz w:val="22"/>
          <w:szCs w:val="22"/>
          <w:lang w:eastAsia="en-US"/>
        </w:rPr>
      </w:pPr>
      <w:r w:rsidRPr="001B3B18">
        <w:rPr>
          <w:rFonts w:ascii="Calibri" w:eastAsia="Calibri" w:hAnsi="Calibri"/>
          <w:sz w:val="22"/>
          <w:szCs w:val="22"/>
          <w:lang w:eastAsia="en-US"/>
        </w:rPr>
        <w:t>Protection, Application Control, URL, DNS &amp; Video Filtering,  Antispam   Service, and FortiCare Premium) 1YR</w:t>
      </w:r>
    </w:p>
    <w:p w14:paraId="0E051130" w14:textId="4531E421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26098D3F" w14:textId="577C79C2" w:rsidR="000B1742" w:rsidRDefault="000B1742" w:rsidP="006B0546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836"/>
        <w:gridCol w:w="3258"/>
      </w:tblGrid>
      <w:tr w:rsidR="000B1742" w:rsidRPr="000B1742" w14:paraId="620E3870" w14:textId="77777777" w:rsidTr="000B1742">
        <w:trPr>
          <w:trHeight w:val="693"/>
        </w:trPr>
        <w:tc>
          <w:tcPr>
            <w:tcW w:w="164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3E3"/>
            <w:noWrap/>
            <w:vAlign w:val="center"/>
            <w:hideMark/>
          </w:tcPr>
          <w:p w14:paraId="67907904" w14:textId="77777777" w:rsidR="000B1742" w:rsidRDefault="000B1742" w:rsidP="000B1742">
            <w:pPr>
              <w:jc w:val="center"/>
              <w:rPr>
                <w:rFonts w:ascii="Arial tučné" w:hAnsi="Arial tučné" w:cs="Arial"/>
                <w:color w:val="00498D"/>
                <w:sz w:val="16"/>
                <w:szCs w:val="16"/>
              </w:rPr>
            </w:pPr>
            <w:r>
              <w:rPr>
                <w:rFonts w:ascii="Arial tučné" w:hAnsi="Arial tučné" w:cs="Arial"/>
                <w:color w:val="00498D"/>
                <w:sz w:val="16"/>
                <w:szCs w:val="16"/>
              </w:rPr>
              <w:t xml:space="preserve">NABÍDKOVÁ CENA </w:t>
            </w:r>
          </w:p>
          <w:p w14:paraId="1AE034A8" w14:textId="00556857" w:rsidR="000B1742" w:rsidRPr="000B1742" w:rsidRDefault="000B1742" w:rsidP="000B1742">
            <w:pPr>
              <w:jc w:val="center"/>
              <w:rPr>
                <w:rFonts w:ascii="Arial tučné" w:hAnsi="Arial tučné" w:cs="Arial"/>
                <w:color w:val="00498D"/>
                <w:sz w:val="16"/>
                <w:szCs w:val="16"/>
              </w:rPr>
            </w:pPr>
            <w:r>
              <w:rPr>
                <w:rFonts w:ascii="Arial tučné" w:hAnsi="Arial tučné" w:cs="Arial"/>
                <w:color w:val="00498D"/>
                <w:sz w:val="16"/>
                <w:szCs w:val="16"/>
              </w:rPr>
              <w:t>BEZ DPH</w:t>
            </w:r>
          </w:p>
        </w:tc>
        <w:tc>
          <w:tcPr>
            <w:tcW w:w="156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E3E3"/>
            <w:vAlign w:val="center"/>
            <w:hideMark/>
          </w:tcPr>
          <w:p w14:paraId="2650D96A" w14:textId="3F6D1265" w:rsidR="000B1742" w:rsidRPr="000B1742" w:rsidRDefault="000B1742" w:rsidP="000B1742">
            <w:pPr>
              <w:jc w:val="center"/>
              <w:rPr>
                <w:rFonts w:ascii="Arial tučné" w:hAnsi="Arial tučné" w:cs="Arial"/>
                <w:color w:val="00498D"/>
                <w:sz w:val="16"/>
                <w:szCs w:val="16"/>
              </w:rPr>
            </w:pPr>
            <w:r>
              <w:rPr>
                <w:rFonts w:ascii="Arial tučné" w:hAnsi="Arial tučné" w:cs="Arial"/>
                <w:color w:val="00498D"/>
                <w:sz w:val="16"/>
                <w:szCs w:val="16"/>
              </w:rPr>
              <w:t>21 % DPH</w:t>
            </w:r>
          </w:p>
        </w:tc>
        <w:tc>
          <w:tcPr>
            <w:tcW w:w="17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3E3E3"/>
            <w:noWrap/>
            <w:vAlign w:val="center"/>
            <w:hideMark/>
          </w:tcPr>
          <w:p w14:paraId="3BCBACC1" w14:textId="77777777" w:rsidR="000B1742" w:rsidRDefault="000B1742" w:rsidP="000B1742">
            <w:pPr>
              <w:ind w:firstLineChars="100" w:firstLine="160"/>
              <w:jc w:val="center"/>
              <w:rPr>
                <w:rFonts w:ascii="Arial tučné" w:hAnsi="Arial tučné" w:cs="Arial"/>
                <w:color w:val="00498D"/>
                <w:sz w:val="16"/>
                <w:szCs w:val="16"/>
              </w:rPr>
            </w:pPr>
            <w:r>
              <w:rPr>
                <w:rFonts w:ascii="Arial tučné" w:hAnsi="Arial tučné" w:cs="Arial"/>
                <w:color w:val="00498D"/>
                <w:sz w:val="16"/>
                <w:szCs w:val="16"/>
              </w:rPr>
              <w:t xml:space="preserve">NABÍDKOVÁ CENA </w:t>
            </w:r>
          </w:p>
          <w:p w14:paraId="06B17CD2" w14:textId="578E1200" w:rsidR="000B1742" w:rsidRPr="000B1742" w:rsidRDefault="000B1742" w:rsidP="000B1742">
            <w:pPr>
              <w:ind w:firstLineChars="100" w:firstLine="160"/>
              <w:jc w:val="center"/>
              <w:rPr>
                <w:rFonts w:ascii="Arial tučné" w:hAnsi="Arial tučné" w:cs="Arial"/>
                <w:color w:val="00498D"/>
                <w:sz w:val="16"/>
                <w:szCs w:val="16"/>
              </w:rPr>
            </w:pPr>
            <w:r>
              <w:rPr>
                <w:rFonts w:ascii="Arial tučné" w:hAnsi="Arial tučné" w:cs="Arial"/>
                <w:color w:val="00498D"/>
                <w:sz w:val="16"/>
                <w:szCs w:val="16"/>
              </w:rPr>
              <w:t>S DPH</w:t>
            </w:r>
          </w:p>
        </w:tc>
      </w:tr>
      <w:tr w:rsidR="000B1742" w:rsidRPr="000B1742" w14:paraId="5C874408" w14:textId="77777777" w:rsidTr="000B1742">
        <w:trPr>
          <w:trHeight w:val="1125"/>
        </w:trPr>
        <w:tc>
          <w:tcPr>
            <w:tcW w:w="1641" w:type="pct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6980AB6" w14:textId="1E53B035" w:rsidR="000B1742" w:rsidRPr="000B1742" w:rsidRDefault="001248B3" w:rsidP="000B1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779 072</w:t>
            </w:r>
            <w:r w:rsidR="000B1742" w:rsidRPr="000B1742">
              <w:rPr>
                <w:rFonts w:ascii="Arial" w:hAnsi="Arial" w:cs="Arial"/>
                <w:b/>
                <w:bCs/>
                <w:sz w:val="16"/>
                <w:szCs w:val="16"/>
              </w:rPr>
              <w:t>,- Kč</w:t>
            </w:r>
          </w:p>
        </w:tc>
        <w:tc>
          <w:tcPr>
            <w:tcW w:w="156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1DFC2C8" w14:textId="004024C9" w:rsidR="000B1742" w:rsidRPr="000B1742" w:rsidRDefault="001248B3" w:rsidP="000B1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163 605</w:t>
            </w:r>
            <w:r w:rsidR="000B1742" w:rsidRPr="000B1742">
              <w:rPr>
                <w:rFonts w:ascii="Arial" w:hAnsi="Arial" w:cs="Arial"/>
                <w:b/>
                <w:bCs/>
                <w:sz w:val="16"/>
                <w:szCs w:val="16"/>
              </w:rPr>
              <w:t>,- Kč</w:t>
            </w:r>
          </w:p>
        </w:tc>
        <w:tc>
          <w:tcPr>
            <w:tcW w:w="17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0404441" w14:textId="4DC4C57B" w:rsidR="000B1742" w:rsidRPr="000B1742" w:rsidRDefault="001248B3" w:rsidP="000B1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942 677</w:t>
            </w:r>
            <w:r w:rsidR="000B1742" w:rsidRPr="000B1742">
              <w:rPr>
                <w:rFonts w:ascii="Arial" w:hAnsi="Arial" w:cs="Arial"/>
                <w:b/>
                <w:bCs/>
                <w:sz w:val="16"/>
                <w:szCs w:val="16"/>
              </w:rPr>
              <w:t>,- Kč</w:t>
            </w:r>
          </w:p>
        </w:tc>
      </w:tr>
    </w:tbl>
    <w:p w14:paraId="5D57F971" w14:textId="77777777" w:rsidR="000B1742" w:rsidRDefault="000B1742" w:rsidP="006B0546">
      <w:pPr>
        <w:spacing w:line="276" w:lineRule="auto"/>
        <w:jc w:val="both"/>
        <w:rPr>
          <w:rFonts w:ascii="Arial" w:hAnsi="Arial" w:cs="Arial"/>
        </w:rPr>
      </w:pPr>
    </w:p>
    <w:p w14:paraId="25781616" w14:textId="0AF40530" w:rsidR="00211D7F" w:rsidRDefault="00211D7F" w:rsidP="006B0546">
      <w:pPr>
        <w:spacing w:line="276" w:lineRule="auto"/>
        <w:jc w:val="both"/>
        <w:rPr>
          <w:rFonts w:ascii="Arial" w:hAnsi="Arial" w:cs="Arial"/>
        </w:rPr>
      </w:pPr>
    </w:p>
    <w:p w14:paraId="089333D5" w14:textId="4D062267" w:rsidR="00211D7F" w:rsidRPr="000B1742" w:rsidRDefault="00211D7F" w:rsidP="000B1742"/>
    <w:sectPr w:rsidR="00211D7F" w:rsidRPr="000B1742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8EBA" w14:textId="77777777" w:rsidR="00337FF2" w:rsidRDefault="00337FF2">
      <w:r>
        <w:separator/>
      </w:r>
    </w:p>
  </w:endnote>
  <w:endnote w:type="continuationSeparator" w:id="0">
    <w:p w14:paraId="2B9EA01D" w14:textId="77777777" w:rsidR="00337FF2" w:rsidRDefault="0033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7EE0" w14:textId="77777777" w:rsidR="00337FF2" w:rsidRDefault="00337FF2">
      <w:r>
        <w:separator/>
      </w:r>
    </w:p>
  </w:footnote>
  <w:footnote w:type="continuationSeparator" w:id="0">
    <w:p w14:paraId="1013C4DC" w14:textId="77777777" w:rsidR="00337FF2" w:rsidRDefault="0033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2661"/>
    <w:rsid w:val="00021754"/>
    <w:rsid w:val="00031AA6"/>
    <w:rsid w:val="0003684B"/>
    <w:rsid w:val="00086964"/>
    <w:rsid w:val="00094D44"/>
    <w:rsid w:val="000A00EB"/>
    <w:rsid w:val="000B1742"/>
    <w:rsid w:val="000C5A20"/>
    <w:rsid w:val="000C61F6"/>
    <w:rsid w:val="000D3986"/>
    <w:rsid w:val="000E451C"/>
    <w:rsid w:val="001248B3"/>
    <w:rsid w:val="00134E01"/>
    <w:rsid w:val="00135BB1"/>
    <w:rsid w:val="00171B43"/>
    <w:rsid w:val="001805FB"/>
    <w:rsid w:val="00195BDA"/>
    <w:rsid w:val="001A2B7A"/>
    <w:rsid w:val="001B3B18"/>
    <w:rsid w:val="001D0730"/>
    <w:rsid w:val="001D40F1"/>
    <w:rsid w:val="002116E8"/>
    <w:rsid w:val="00211D7F"/>
    <w:rsid w:val="0025451D"/>
    <w:rsid w:val="00254CB7"/>
    <w:rsid w:val="00266C0C"/>
    <w:rsid w:val="00266CDE"/>
    <w:rsid w:val="002759C2"/>
    <w:rsid w:val="00291328"/>
    <w:rsid w:val="00297CB7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410EB7"/>
    <w:rsid w:val="00436EBE"/>
    <w:rsid w:val="00446BF8"/>
    <w:rsid w:val="00483A50"/>
    <w:rsid w:val="0049193A"/>
    <w:rsid w:val="004B33AB"/>
    <w:rsid w:val="004C2C7D"/>
    <w:rsid w:val="004D04A4"/>
    <w:rsid w:val="004D1D92"/>
    <w:rsid w:val="004E1DA6"/>
    <w:rsid w:val="00553625"/>
    <w:rsid w:val="005B1086"/>
    <w:rsid w:val="005E3F58"/>
    <w:rsid w:val="00604295"/>
    <w:rsid w:val="0065096B"/>
    <w:rsid w:val="00653D99"/>
    <w:rsid w:val="0066284D"/>
    <w:rsid w:val="00676E12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2994"/>
    <w:rsid w:val="007C4A67"/>
    <w:rsid w:val="007E5BDA"/>
    <w:rsid w:val="0082484E"/>
    <w:rsid w:val="008274ED"/>
    <w:rsid w:val="00844630"/>
    <w:rsid w:val="00866BCE"/>
    <w:rsid w:val="0087702E"/>
    <w:rsid w:val="008872C1"/>
    <w:rsid w:val="008A289C"/>
    <w:rsid w:val="008B65C0"/>
    <w:rsid w:val="008D28E2"/>
    <w:rsid w:val="008E0B43"/>
    <w:rsid w:val="0093262F"/>
    <w:rsid w:val="00957820"/>
    <w:rsid w:val="00996521"/>
    <w:rsid w:val="009A6026"/>
    <w:rsid w:val="009F2B03"/>
    <w:rsid w:val="00A07AE9"/>
    <w:rsid w:val="00A14CEB"/>
    <w:rsid w:val="00A23393"/>
    <w:rsid w:val="00A34FC3"/>
    <w:rsid w:val="00A55667"/>
    <w:rsid w:val="00AA51BA"/>
    <w:rsid w:val="00AB3951"/>
    <w:rsid w:val="00AB7062"/>
    <w:rsid w:val="00B07093"/>
    <w:rsid w:val="00B2055B"/>
    <w:rsid w:val="00B634FA"/>
    <w:rsid w:val="00B725AC"/>
    <w:rsid w:val="00B83F93"/>
    <w:rsid w:val="00B860CE"/>
    <w:rsid w:val="00BA07EA"/>
    <w:rsid w:val="00BD7B58"/>
    <w:rsid w:val="00C34B54"/>
    <w:rsid w:val="00C658B2"/>
    <w:rsid w:val="00C73BB9"/>
    <w:rsid w:val="00C80D98"/>
    <w:rsid w:val="00CB1B2A"/>
    <w:rsid w:val="00CC0185"/>
    <w:rsid w:val="00CC6DDA"/>
    <w:rsid w:val="00CE0D2D"/>
    <w:rsid w:val="00DB7D36"/>
    <w:rsid w:val="00DC724C"/>
    <w:rsid w:val="00E03E97"/>
    <w:rsid w:val="00E2792C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534f648b-b294-475d-9f2d-4bbf7100df4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e5ff5ef8-f81d-46f1-95e3-d6b7f00103cc"/>
  </ds:schemaRefs>
</ds:datastoreItem>
</file>

<file path=customXml/itemProps2.xml><?xml version="1.0" encoding="utf-8"?>
<ds:datastoreItem xmlns:ds="http://schemas.openxmlformats.org/officeDocument/2006/customXml" ds:itemID="{BC0011D9-3CC6-45B5-A92D-948BBD56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2023-03-07T08:28:00Z</cp:lastPrinted>
  <dcterms:created xsi:type="dcterms:W3CDTF">2023-03-20T14:05:00Z</dcterms:created>
  <dcterms:modified xsi:type="dcterms:W3CDTF">2023-03-20T14:06:00Z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