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F49D0B4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VESUVIUS ČESKÁ REPUBLIKA, a.s. </w:t>
      </w:r>
    </w:p>
    <w:p w14:paraId="2DD861E2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726, </w:t>
      </w:r>
      <w:proofErr w:type="spellStart"/>
      <w:r>
        <w:rPr>
          <w:rFonts w:asciiTheme="minorHAnsi" w:hAnsiTheme="minorHAnsi" w:cstheme="minorHAnsi"/>
          <w:sz w:val="22"/>
          <w:szCs w:val="22"/>
        </w:rPr>
        <w:t>Konská</w:t>
      </w:r>
      <w:proofErr w:type="spellEnd"/>
      <w:r>
        <w:rPr>
          <w:rFonts w:asciiTheme="minorHAnsi" w:hAnsiTheme="minorHAnsi" w:cstheme="minorHAnsi"/>
          <w:sz w:val="22"/>
          <w:szCs w:val="22"/>
        </w:rPr>
        <w:t>, 739 61  Třinec</w:t>
      </w:r>
    </w:p>
    <w:p w14:paraId="612FE26E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45192847</w:t>
      </w:r>
    </w:p>
    <w:p w14:paraId="050E932C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CZ45192847</w:t>
      </w:r>
    </w:p>
    <w:p w14:paraId="1B30A01B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445</w:t>
      </w:r>
    </w:p>
    <w:p w14:paraId="337AEA3A" w14:textId="77777777" w:rsidR="007703D8" w:rsidRPr="00B50E10" w:rsidRDefault="007703D8" w:rsidP="007703D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Petr Diviš, prokurista </w:t>
      </w:r>
    </w:p>
    <w:p w14:paraId="0D787250" w14:textId="77777777" w:rsidR="007703D8" w:rsidRPr="00B50E10" w:rsidRDefault="007703D8" w:rsidP="007703D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9A62099" w14:textId="77777777" w:rsidR="001021C1" w:rsidRPr="00B50E10" w:rsidRDefault="001021C1" w:rsidP="001021C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153D3D3D" w14:textId="77777777" w:rsidR="001021C1" w:rsidRPr="00B50E10" w:rsidRDefault="001021C1" w:rsidP="001021C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696314B7" w14:textId="77777777" w:rsidR="001021C1" w:rsidRPr="00B50E10" w:rsidRDefault="001021C1" w:rsidP="001021C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191E9C3B" w14:textId="77777777" w:rsidR="001021C1" w:rsidRPr="00B50E10" w:rsidRDefault="001021C1" w:rsidP="001021C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465C3E8D" w14:textId="77777777" w:rsidR="001021C1" w:rsidRDefault="001021C1" w:rsidP="001021C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5BD88D20" w14:textId="77777777" w:rsidR="001021C1" w:rsidRDefault="001021C1" w:rsidP="001021C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1DAADFAA" w14:textId="77777777" w:rsidR="001021C1" w:rsidRPr="00B50E10" w:rsidRDefault="001021C1" w:rsidP="001021C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551B12D4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D56E0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0AAE36A5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D56E0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5873136F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4D56E0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2E21D52F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D56E0">
        <w:rPr>
          <w:rFonts w:asciiTheme="minorHAnsi" w:hAnsiTheme="minorHAnsi" w:cstheme="minorHAnsi"/>
          <w:sz w:val="22"/>
          <w:szCs w:val="22"/>
        </w:rPr>
        <w:tab/>
      </w:r>
      <w:r w:rsidR="00AA53F1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F15F4EF" w14:textId="77777777" w:rsidR="001021C1" w:rsidRPr="00B50E10" w:rsidRDefault="001021C1" w:rsidP="001021C1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3DCF8291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B777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B777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B777A0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B777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B777A0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7E308BEF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B777A0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AA53F1">
        <w:rPr>
          <w:rStyle w:val="Tun-Znak"/>
          <w:rFonts w:asciiTheme="minorHAnsi" w:hAnsiTheme="minorHAnsi" w:cstheme="minorHAnsi"/>
          <w:sz w:val="22"/>
          <w:szCs w:val="22"/>
        </w:rPr>
        <w:t>4</w:t>
      </w:r>
      <w:r w:rsidR="00AA53F1" w:rsidRPr="00B777A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B777A0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  <w:r w:rsidR="00971A6D" w:rsidRPr="00B777A0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2775452A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A53F1">
        <w:rPr>
          <w:rStyle w:val="Tun-Znak"/>
          <w:rFonts w:asciiTheme="minorHAnsi" w:hAnsiTheme="minorHAnsi" w:cstheme="minorHAnsi"/>
          <w:sz w:val="22"/>
          <w:szCs w:val="22"/>
        </w:rPr>
        <w:t xml:space="preserve">41 000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07870D0" w14:textId="77777777" w:rsidR="001021C1" w:rsidRDefault="00EA2CA7" w:rsidP="001021C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021C1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021C1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778C8F43" w14:textId="77777777" w:rsidR="001021C1" w:rsidRDefault="001021C1" w:rsidP="001021C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6660E3EA" w14:textId="77777777" w:rsidR="001021C1" w:rsidRDefault="001021C1" w:rsidP="001021C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2E147B79" w14:textId="77777777" w:rsidR="001021C1" w:rsidRPr="00125DDE" w:rsidRDefault="001021C1" w:rsidP="001021C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62D1A746" w14:textId="77777777" w:rsidR="001021C1" w:rsidRPr="00125DDE" w:rsidRDefault="001021C1" w:rsidP="001021C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200B0BDD" w14:textId="77777777" w:rsidR="001021C1" w:rsidRDefault="001021C1" w:rsidP="001021C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62D2D22F" w14:textId="77777777" w:rsidR="001021C1" w:rsidRDefault="001021C1" w:rsidP="001021C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4CD6380E" w14:textId="77777777" w:rsidR="001021C1" w:rsidRPr="00125DDE" w:rsidRDefault="001021C1" w:rsidP="001021C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513148E7" w14:textId="77777777" w:rsidR="001021C1" w:rsidRDefault="001021C1" w:rsidP="001021C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6AC69B42" w14:textId="77777777" w:rsidR="001021C1" w:rsidRDefault="001021C1" w:rsidP="001021C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58EB211E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AA53F1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5B35C82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F90F6A" w:rsidRPr="00F90F6A">
        <w:rPr>
          <w:rFonts w:asciiTheme="minorHAnsi" w:hAnsiTheme="minorHAnsi" w:cstheme="minorHAnsi"/>
          <w:sz w:val="20"/>
          <w:szCs w:val="20"/>
        </w:rPr>
        <w:t xml:space="preserve"> </w:t>
      </w:r>
      <w:r w:rsidR="00F90F6A">
        <w:rPr>
          <w:rFonts w:asciiTheme="minorHAnsi" w:hAnsiTheme="minorHAnsi" w:cstheme="minorHAnsi"/>
          <w:sz w:val="20"/>
          <w:szCs w:val="20"/>
        </w:rPr>
        <w:t>Příslušný poplatek z pobytu se zavazuje uhradit lázním organizace.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F6252F7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A53F1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0A15AA1F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AA53F1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1437B7F0" w14:textId="5F0D554F" w:rsidR="003B544E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</w:t>
      </w:r>
      <w:r w:rsidR="00AA53F1">
        <w:rPr>
          <w:rFonts w:asciiTheme="minorHAnsi" w:hAnsiTheme="minorHAnsi" w:cstheme="minorHAnsi"/>
        </w:rPr>
        <w:t>2023</w:t>
      </w: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6E169203" w14:textId="77777777" w:rsidR="007703D8" w:rsidRPr="00B50E10" w:rsidRDefault="007703D8" w:rsidP="007703D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72EC6370" w14:textId="77777777" w:rsidR="007703D8" w:rsidRPr="00B50E10" w:rsidRDefault="007703D8" w:rsidP="007703D8">
      <w:pPr>
        <w:pStyle w:val="Odstavec"/>
        <w:rPr>
          <w:rFonts w:asciiTheme="minorHAnsi" w:hAnsiTheme="minorHAnsi" w:cstheme="minorHAnsi"/>
        </w:rPr>
      </w:pPr>
    </w:p>
    <w:p w14:paraId="7F19574B" w14:textId="7616C87E" w:rsidR="007703D8" w:rsidRPr="00B50E10" w:rsidRDefault="006F4B54" w:rsidP="007703D8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Třinci, dne 10. 3. 2023</w:t>
      </w:r>
    </w:p>
    <w:p w14:paraId="0A36E3D7" w14:textId="77777777" w:rsidR="007703D8" w:rsidRDefault="007703D8" w:rsidP="00770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6CF71DD" w14:textId="77777777" w:rsidR="007703D8" w:rsidRDefault="007703D8" w:rsidP="00770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F50256C" w14:textId="77777777" w:rsidR="007703D8" w:rsidRDefault="007703D8" w:rsidP="00770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B856B6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AE3399F" w14:textId="77777777" w:rsidR="007703D8" w:rsidRPr="00B50E10" w:rsidRDefault="007703D8" w:rsidP="00770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A263066" w14:textId="77777777" w:rsidR="007703D8" w:rsidRPr="00B50E10" w:rsidRDefault="007703D8" w:rsidP="007703D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61B9644" w14:textId="77777777" w:rsidR="007703D8" w:rsidRDefault="007703D8" w:rsidP="007703D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Petr Diviš</w:t>
      </w:r>
    </w:p>
    <w:p w14:paraId="5B60870B" w14:textId="77777777" w:rsidR="007703D8" w:rsidRDefault="007703D8" w:rsidP="007703D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prokurista</w:t>
      </w:r>
    </w:p>
    <w:p w14:paraId="212990C2" w14:textId="77777777" w:rsidR="007703D8" w:rsidRPr="00B50E10" w:rsidRDefault="007703D8" w:rsidP="007703D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VESUVIUS ČESKÁ REPUBLIKA, a.s. </w:t>
      </w:r>
    </w:p>
    <w:p w14:paraId="52A31B32" w14:textId="77777777" w:rsidR="007703D8" w:rsidRPr="00B50E10" w:rsidRDefault="007703D8" w:rsidP="007703D8">
      <w:pPr>
        <w:pStyle w:val="Odstavec"/>
        <w:rPr>
          <w:rFonts w:asciiTheme="minorHAnsi" w:hAnsiTheme="minorHAnsi" w:cstheme="minorHAnsi"/>
        </w:rPr>
      </w:pPr>
    </w:p>
    <w:p w14:paraId="2362A84F" w14:textId="682EFFC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11B48C07" w14:textId="77777777" w:rsidR="004D56E0" w:rsidRPr="00B50E10" w:rsidRDefault="004D56E0" w:rsidP="004D56E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566C920D" w14:textId="77777777" w:rsidR="004D56E0" w:rsidRPr="00B50E10" w:rsidRDefault="004D56E0" w:rsidP="004D56E0">
      <w:pPr>
        <w:pStyle w:val="Odstavec"/>
        <w:rPr>
          <w:rFonts w:asciiTheme="minorHAnsi" w:hAnsiTheme="minorHAnsi" w:cstheme="minorHAnsi"/>
        </w:rPr>
      </w:pPr>
    </w:p>
    <w:p w14:paraId="1E2BEEB1" w14:textId="63167E0F" w:rsidR="004D56E0" w:rsidRPr="00B50E10" w:rsidRDefault="006F4B54" w:rsidP="004D56E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Luhačovicích, dne 15. 3. 2023</w:t>
      </w:r>
    </w:p>
    <w:p w14:paraId="1670BA58" w14:textId="77777777" w:rsidR="004D56E0" w:rsidRPr="00B50E10" w:rsidRDefault="004D56E0" w:rsidP="004D56E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DA984BA" w14:textId="77777777" w:rsidR="004D56E0" w:rsidRPr="00B50E10" w:rsidRDefault="004D56E0" w:rsidP="004D56E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55CDB3" w14:textId="77777777" w:rsidR="004D56E0" w:rsidRPr="00B50E10" w:rsidRDefault="004D56E0" w:rsidP="004D56E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5C14F3A" w14:textId="77777777" w:rsidR="004D56E0" w:rsidRPr="00B50E10" w:rsidRDefault="004D56E0" w:rsidP="004D56E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4094001" w14:textId="77777777" w:rsidR="004D56E0" w:rsidRPr="004C411D" w:rsidRDefault="004D56E0" w:rsidP="004D56E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21E961B3" w14:textId="77777777" w:rsidR="004D56E0" w:rsidRPr="00B50E10" w:rsidRDefault="004D56E0" w:rsidP="004D56E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1155C2E8" w14:textId="77777777" w:rsidR="004D56E0" w:rsidRPr="00B50E10" w:rsidRDefault="004D56E0" w:rsidP="004D56E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4D5A6B8F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20DD33E7" w14:textId="611CEE6C" w:rsidR="00B777A0" w:rsidRDefault="00B777A0" w:rsidP="00B50E10">
      <w:pPr>
        <w:pStyle w:val="Odstavec"/>
        <w:rPr>
          <w:rFonts w:asciiTheme="minorHAnsi" w:hAnsiTheme="minorHAnsi" w:cstheme="minorHAnsi"/>
        </w:rPr>
      </w:pPr>
    </w:p>
    <w:p w14:paraId="2DF38658" w14:textId="77777777" w:rsidR="00B777A0" w:rsidRPr="00B50E10" w:rsidRDefault="00B777A0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24B8E982" w:rsidR="00DB66B9" w:rsidRPr="00B50E10" w:rsidRDefault="006F4B5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Ostravě, dne 7. 3. 2023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1D995AD3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F3E1690" w14:textId="77777777" w:rsidR="00C30467" w:rsidRPr="00B50E10" w:rsidRDefault="00C30467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38DCF07" w:rsidR="0005550D" w:rsidRPr="00B50E10" w:rsidRDefault="00AA53F1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bookmarkStart w:id="0" w:name="_GoBack"/>
      <w:bookmarkEnd w:id="0"/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4D56E0" w:rsidRPr="00CD69B7" w14:paraId="35CBAA51" w14:textId="78963D95" w:rsidTr="00B777A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4D56E0" w:rsidRPr="00CD69B7" w:rsidRDefault="004D56E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4D56E0" w:rsidRPr="00CD69B7" w:rsidRDefault="004D56E0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777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4D56E0" w:rsidRPr="00CD69B7" w14:paraId="73E02F9E" w14:textId="4EC835D5" w:rsidTr="00B777A0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24BFB68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829</w:t>
            </w:r>
          </w:p>
        </w:tc>
      </w:tr>
      <w:tr w:rsidR="004D56E0" w:rsidRPr="00CD69B7" w14:paraId="4D974E7A" w14:textId="5719EACC" w:rsidTr="00B777A0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67F8CA00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</w:tr>
      <w:tr w:rsidR="004D56E0" w:rsidRPr="00CD69B7" w14:paraId="0DAB9080" w14:textId="0733121C" w:rsidTr="00B777A0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4E6A60B4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357</w:t>
            </w:r>
          </w:p>
        </w:tc>
      </w:tr>
      <w:tr w:rsidR="004D56E0" w:rsidRPr="00CD69B7" w14:paraId="2B8ECF50" w14:textId="39821DCF" w:rsidTr="00B777A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620CB926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1 658</w:t>
            </w:r>
          </w:p>
        </w:tc>
      </w:tr>
      <w:tr w:rsidR="004D56E0" w:rsidRPr="00CD69B7" w14:paraId="1BFD70E6" w14:textId="5470F2E9" w:rsidTr="00B777A0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1D27C5E4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11 606</w:t>
            </w:r>
          </w:p>
        </w:tc>
      </w:tr>
      <w:tr w:rsidR="004D56E0" w:rsidRPr="00CD69B7" w14:paraId="57C9BE65" w14:textId="51650BA6" w:rsidTr="00B777A0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19DF8290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10 155</w:t>
            </w:r>
          </w:p>
        </w:tc>
      </w:tr>
      <w:tr w:rsidR="004D56E0" w:rsidRPr="00CD69B7" w14:paraId="114E9DF2" w14:textId="46BDDEC9" w:rsidTr="00B777A0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4D56E0" w:rsidRPr="00CD69B7" w:rsidRDefault="004D56E0" w:rsidP="004D56E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2EA093C6" w:rsidR="004D56E0" w:rsidRPr="00CD69B7" w:rsidRDefault="00AA53F1" w:rsidP="004D56E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6151D504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AA53F1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1CD7095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3D8" w:rsidRPr="00E66D4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08D5F91" wp14:editId="4A97E9CF">
            <wp:extent cx="12763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2DBEC53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0AA0732D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AA53F1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5D94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21C1"/>
    <w:rsid w:val="001047A8"/>
    <w:rsid w:val="0011487B"/>
    <w:rsid w:val="00123345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56E0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1D4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4B54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703D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A53F1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67B7D"/>
    <w:rsid w:val="00B74DF7"/>
    <w:rsid w:val="00B777A0"/>
    <w:rsid w:val="00B86691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30467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90F6A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89E5-99AE-4838-A3D2-0A15A134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2753</Words>
  <Characters>16244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4</cp:revision>
  <cp:lastPrinted>2019-12-18T08:53:00Z</cp:lastPrinted>
  <dcterms:created xsi:type="dcterms:W3CDTF">2023-03-06T09:23:00Z</dcterms:created>
  <dcterms:modified xsi:type="dcterms:W3CDTF">2023-03-20T09:06:00Z</dcterms:modified>
</cp:coreProperties>
</file>