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/>
        <w:keepLines w:val="false"/>
        <w:widowControl/>
        <w:numPr>
          <w:ilvl w:val="0"/>
          <w:numId w:val="7"/>
        </w:numPr>
        <w:spacing w:lineRule="auto" w:line="240" w:before="240" w:after="60"/>
        <w:ind w:left="432" w:right="0" w:hanging="432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SMLOUVA O DÍLO č. 1/201</w:t>
      </w:r>
      <w:r>
        <w:rPr>
          <w:rFonts w:eastAsia="Arial" w:cs="Arial" w:ascii="Arial" w:hAnsi="Arial"/>
          <w:b/>
          <w:sz w:val="28"/>
          <w:szCs w:val="28"/>
        </w:rPr>
        <w:t>7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podle ustanovení § 2586 a násl. zákona č. 89/2012 Sb., občanského zákoníku</w:t>
        <w:br/>
        <w:t xml:space="preserve"> mezi těmito smluvními stranami:</w:t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left" w:pos="-360" w:leader="none"/>
        </w:tabs>
        <w:spacing w:before="0" w:after="0"/>
        <w:ind w:left="360" w:right="0" w:hanging="0"/>
        <w:contextualSpacing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Objednatel:</w:t>
        <w:tab/>
        <w:t>Knihovna Kroměřížska – p.o.</w:t>
      </w:r>
      <w:r>
        <w:rPr>
          <w:rFonts w:eastAsia="Arial" w:cs="Arial" w:ascii="Arial" w:hAnsi="Arial"/>
          <w:sz w:val="22"/>
          <w:szCs w:val="22"/>
        </w:rPr>
        <w:tab/>
        <w:tab/>
        <w:tab/>
        <w:tab/>
      </w:r>
    </w:p>
    <w:p>
      <w:pPr>
        <w:pStyle w:val="Normal"/>
        <w:spacing w:before="0" w:after="0"/>
        <w:ind w:left="36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 sídlem: 767 01  Kroměříž, Slovanské nám. 3920</w:t>
        <w:tab/>
      </w:r>
    </w:p>
    <w:p>
      <w:pPr>
        <w:pStyle w:val="Normal"/>
        <w:spacing w:before="0" w:after="0"/>
        <w:ind w:left="36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IČ: </w:t>
        <w:tab/>
        <w:t>00091120</w:t>
        <w:tab/>
      </w:r>
    </w:p>
    <w:p>
      <w:pPr>
        <w:pStyle w:val="Normal"/>
        <w:spacing w:before="0" w:after="0"/>
        <w:ind w:left="360" w:right="0" w:hanging="0"/>
        <w:rPr/>
      </w:pPr>
      <w:r>
        <w:rPr>
          <w:rFonts w:eastAsia="Arial" w:cs="Arial" w:ascii="Arial" w:hAnsi="Arial"/>
          <w:sz w:val="22"/>
          <w:szCs w:val="22"/>
        </w:rPr>
        <w:t xml:space="preserve">Zastoupený: </w:t>
      </w:r>
      <w:r>
        <w:rPr>
          <w:rFonts w:eastAsia="Arial" w:cs="Arial" w:ascii="Arial" w:hAnsi="Arial"/>
          <w:sz w:val="22"/>
          <w:szCs w:val="22"/>
        </w:rPr>
        <w:t>xxx</w:t>
      </w:r>
      <w:r>
        <w:rPr>
          <w:rFonts w:eastAsia="Arial" w:cs="Arial" w:ascii="Arial" w:hAnsi="Arial"/>
          <w:sz w:val="22"/>
          <w:szCs w:val="22"/>
        </w:rPr>
        <w:tab/>
      </w:r>
    </w:p>
    <w:p>
      <w:pPr>
        <w:pStyle w:val="Normal"/>
        <w:spacing w:before="0" w:after="0"/>
        <w:ind w:left="36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>(dále jen objednatel)</w:t>
      </w:r>
    </w:p>
    <w:p>
      <w:pPr>
        <w:pStyle w:val="Normal"/>
        <w:spacing w:before="0" w:after="0"/>
        <w:ind w:left="36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</w:t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left" w:pos="-360" w:leader="none"/>
        </w:tabs>
        <w:spacing w:before="0" w:after="0"/>
        <w:ind w:left="360" w:right="0" w:hanging="0"/>
        <w:contextualSpacing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Zhotovitel:</w:t>
        <w:tab/>
        <w:t>Tritius Solutions a.s.</w:t>
      </w:r>
    </w:p>
    <w:p>
      <w:pPr>
        <w:pStyle w:val="Normal"/>
        <w:spacing w:before="0" w:after="0"/>
        <w:ind w:left="36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Se sídlem: </w:t>
        <w:tab/>
        <w:t>Vodní 258/13, Staré Brno, 602 00 Brno</w:t>
      </w:r>
    </w:p>
    <w:p>
      <w:pPr>
        <w:pStyle w:val="Normal"/>
        <w:spacing w:before="0" w:after="0"/>
        <w:ind w:left="36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IČ:</w:t>
        <w:tab/>
        <w:tab/>
        <w:tab/>
        <w:t>05700582,</w:t>
        <w:tab/>
        <w:t>DIČ:   CZ05700582</w:t>
      </w:r>
    </w:p>
    <w:p>
      <w:pPr>
        <w:pStyle w:val="Normal"/>
        <w:spacing w:before="0" w:after="0"/>
        <w:ind w:left="0" w:right="0" w:firstLine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Obchodní rejstřík: Krajský soud Brno, oddíl B, vložka 7644</w:t>
      </w:r>
    </w:p>
    <w:p>
      <w:pPr>
        <w:pStyle w:val="Normal"/>
        <w:spacing w:before="0" w:after="0"/>
        <w:ind w:left="360" w:right="0" w:hanging="0"/>
        <w:rPr/>
      </w:pPr>
      <w:r>
        <w:rPr>
          <w:rFonts w:eastAsia="Arial" w:cs="Arial" w:ascii="Arial" w:hAnsi="Arial"/>
          <w:sz w:val="22"/>
          <w:szCs w:val="22"/>
        </w:rPr>
        <w:t>Zastoupený:</w:t>
        <w:tab/>
      </w:r>
      <w:r>
        <w:rPr>
          <w:rFonts w:eastAsia="Arial" w:cs="Arial" w:ascii="Arial" w:hAnsi="Arial"/>
          <w:sz w:val="22"/>
          <w:szCs w:val="22"/>
        </w:rPr>
        <w:t>xxx</w:t>
      </w:r>
    </w:p>
    <w:p>
      <w:pPr>
        <w:pStyle w:val="Normal"/>
        <w:spacing w:before="0" w:after="0"/>
        <w:ind w:left="36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>(dále jen zhotovitel)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II.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Předmět smlouvy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Zhotovitel provede převod dat ze stávajícího systému, dodávku a instalaci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knihovního systému Tritius  (dále jen systém) do sítě objednatele formou dodávky virtuál</w:t>
      </w:r>
      <w:r>
        <w:rPr>
          <w:rFonts w:eastAsia="Arial" w:cs="Arial" w:ascii="Arial" w:hAnsi="Arial"/>
          <w:sz w:val="22"/>
          <w:szCs w:val="22"/>
        </w:rPr>
        <w:t>izačního balíčku (dále jen VM)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Vlastní poskytnutí licence knihovnického software Tritius řeší samostatná licenční smlouva - předávací protokol, který je přílohou č. 2.  této smlouvy.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III.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Konkrétní rozpis prací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Zhotovitel provede u objednatele následující úkony spojené s dodávkou předmětného systému:</w:t>
      </w:r>
    </w:p>
    <w:p>
      <w:pPr>
        <w:pStyle w:val="Normal"/>
        <w:keepNext/>
        <w:keepLines w:val="false"/>
        <w:widowControl/>
        <w:numPr>
          <w:ilvl w:val="0"/>
          <w:numId w:val="4"/>
        </w:numPr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>předání VM správci virtualizačního prostředí (základní pomoc s instalací VM)</w:t>
      </w:r>
    </w:p>
    <w:p>
      <w:pPr>
        <w:pStyle w:val="Normal"/>
        <w:keepNext/>
        <w:keepLines w:val="false"/>
        <w:widowControl/>
        <w:numPr>
          <w:ilvl w:val="0"/>
          <w:numId w:val="4"/>
        </w:numPr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instalace a konfigurace VM na serveru</w:t>
      </w:r>
      <w:r>
        <w:rPr>
          <w:rFonts w:eastAsia="Arial" w:cs="Arial" w:ascii="Arial" w:hAnsi="Arial"/>
          <w:sz w:val="22"/>
          <w:szCs w:val="22"/>
        </w:rPr>
        <w:t xml:space="preserve"> (pouze pro platformu Windows - Hyper V)</w:t>
      </w:r>
    </w:p>
    <w:p>
      <w:pPr>
        <w:pStyle w:val="Normal"/>
        <w:keepNext/>
        <w:keepLines w:val="false"/>
        <w:widowControl/>
        <w:numPr>
          <w:ilvl w:val="0"/>
          <w:numId w:val="4"/>
        </w:numPr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převod dat ze stávajícího systému CLAVIUS</w:t>
      </w:r>
    </w:p>
    <w:p>
      <w:pPr>
        <w:pStyle w:val="Normal"/>
        <w:keepNext/>
        <w:keepLines w:val="false"/>
        <w:widowControl/>
        <w:numPr>
          <w:ilvl w:val="0"/>
          <w:numId w:val="4"/>
        </w:numPr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školení pracovníků objednatele v používání systému</w:t>
      </w:r>
    </w:p>
    <w:p>
      <w:pPr>
        <w:pStyle w:val="Normal"/>
        <w:keepNext/>
        <w:keepLines w:val="false"/>
        <w:widowControl/>
        <w:numPr>
          <w:ilvl w:val="0"/>
          <w:numId w:val="4"/>
        </w:numPr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nastavení systému dle požadavků objednatele</w:t>
      </w:r>
    </w:p>
    <w:p>
      <w:pPr>
        <w:pStyle w:val="Normal"/>
        <w:keepNext/>
        <w:keepLines w:val="false"/>
        <w:widowControl/>
        <w:numPr>
          <w:ilvl w:val="0"/>
          <w:numId w:val="4"/>
        </w:numPr>
        <w:spacing w:lineRule="auto" w:line="240" w:before="0" w:after="0"/>
        <w:ind w:left="720" w:right="0" w:hanging="360"/>
        <w:contextualSpacing/>
        <w:jc w:val="both"/>
        <w:rPr/>
      </w:pPr>
      <w:r>
        <w:rPr>
          <w:rFonts w:eastAsia="Arial" w:cs="Arial" w:ascii="Arial" w:hAnsi="Arial"/>
          <w:sz w:val="22"/>
          <w:szCs w:val="22"/>
        </w:rPr>
        <w:t>asistence při ostrém startu systému</w:t>
      </w:r>
    </w:p>
    <w:p>
      <w:pPr>
        <w:pStyle w:val="Normal"/>
        <w:widowControl/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  <w:u w:val="none"/>
        </w:rPr>
      </w:r>
    </w:p>
    <w:p>
      <w:pPr>
        <w:pStyle w:val="Normal"/>
        <w:widowControl/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  <w:u w:val="none"/>
        </w:rPr>
      </w:r>
    </w:p>
    <w:p>
      <w:pPr>
        <w:pStyle w:val="Normal"/>
        <w:widowControl/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  <w:u w:val="none"/>
        </w:rPr>
      </w:r>
    </w:p>
    <w:p>
      <w:pPr>
        <w:pStyle w:val="Normal"/>
        <w:widowControl/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  <w:u w:val="no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IV. 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Garance zhotovitele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keepNext/>
        <w:keepLines w:val="false"/>
        <w:widowControl/>
        <w:numPr>
          <w:ilvl w:val="0"/>
          <w:numId w:val="8"/>
        </w:numPr>
        <w:spacing w:lineRule="auto" w:line="240" w:before="0" w:after="0"/>
        <w:ind w:left="720" w:right="0" w:hanging="360"/>
        <w:contextualSpacing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Záruka 3 roky fungování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všech předaných částí (modulů) knihovního systému dle rozsahu uvedeného v </w:t>
      </w:r>
      <w:r>
        <w:rPr>
          <w:rFonts w:eastAsia="Arial" w:cs="Arial" w:ascii="Arial" w:hAnsi="Arial"/>
          <w:sz w:val="22"/>
          <w:szCs w:val="22"/>
        </w:rPr>
        <w:t>dokumentu</w:t>
      </w:r>
      <w:hyperlink r:id="rId2">
        <w:r>
          <w:rPr>
            <w:rStyle w:val="Internetovodkaz"/>
            <w:rFonts w:eastAsia="Arial" w:cs="Arial" w:ascii="Arial" w:hAnsi="Arial"/>
            <w:color w:val="1155CC"/>
            <w:sz w:val="22"/>
            <w:szCs w:val="22"/>
            <w:u w:val="single"/>
          </w:rPr>
          <w:t xml:space="preserve"> Základní funkčnosti systému Tritius</w:t>
        </w:r>
      </w:hyperlink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"/>
        <w:keepNext/>
        <w:keepLines w:val="false"/>
        <w:widowControl/>
        <w:numPr>
          <w:ilvl w:val="0"/>
          <w:numId w:val="8"/>
        </w:numPr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>Bezplatné poskytování záručního servisu po dobu trvání záruky.</w:t>
      </w:r>
    </w:p>
    <w:p>
      <w:pPr>
        <w:pStyle w:val="Normal"/>
        <w:keepNext/>
        <w:keepLines w:val="false"/>
        <w:widowControl/>
        <w:numPr>
          <w:ilvl w:val="0"/>
          <w:numId w:val="8"/>
        </w:numPr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>Poskytování nových verzí systému (u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pdate</w:t>
      </w:r>
      <w:r>
        <w:rPr>
          <w:rFonts w:eastAsia="Arial" w:cs="Arial" w:ascii="Arial" w:hAnsi="Arial"/>
          <w:sz w:val="22"/>
          <w:szCs w:val="22"/>
        </w:rPr>
        <w:t>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po dobu 1 roku zdarma, nepočítá se rok instalace systému. Objednatel hradí </w:t>
      </w:r>
      <w:r>
        <w:rPr>
          <w:rFonts w:eastAsia="Arial" w:cs="Arial" w:ascii="Arial" w:hAnsi="Arial"/>
          <w:sz w:val="22"/>
          <w:szCs w:val="22"/>
        </w:rPr>
        <w:t xml:space="preserve">veškeré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náklady na instalaci update a na případné školení.</w:t>
      </w:r>
    </w:p>
    <w:p>
      <w:pPr>
        <w:pStyle w:val="Normal"/>
        <w:keepNext/>
        <w:keepLines w:val="false"/>
        <w:widowControl/>
        <w:numPr>
          <w:ilvl w:val="0"/>
          <w:numId w:val="8"/>
        </w:numPr>
        <w:spacing w:lineRule="auto" w:line="240" w:before="0" w:after="0"/>
        <w:ind w:left="720" w:right="0" w:hanging="360"/>
        <w:contextualSpacing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Dodržování knihovnických a technických standardů (AACR2, ISBD, MARC21, MARC21/Autority, RDA)</w:t>
      </w:r>
    </w:p>
    <w:p>
      <w:pPr>
        <w:pStyle w:val="Normal"/>
        <w:keepNext/>
        <w:keepLines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V.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Součinnost objednavatele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keepNext/>
        <w:keepLines w:val="false"/>
        <w:widowControl/>
        <w:numPr>
          <w:ilvl w:val="0"/>
          <w:numId w:val="2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Zajištění školení personálu v oblasti knihovnických standardů (AACR2,ISBD,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MARC21,MARC21/Autority, RDA).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spacing w:lineRule="auto" w:line="240" w:before="0" w:after="0"/>
        <w:ind w:left="360" w:right="0" w:hanging="36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Předávání </w:t>
      </w:r>
      <w:r>
        <w:rPr>
          <w:rFonts w:eastAsia="Arial" w:cs="Arial" w:ascii="Arial" w:hAnsi="Arial"/>
          <w:sz w:val="22"/>
          <w:szCs w:val="22"/>
        </w:rPr>
        <w:t>požadovaných ú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prav systému </w:t>
      </w:r>
      <w:r>
        <w:rPr>
          <w:rFonts w:eastAsia="Arial" w:cs="Arial" w:ascii="Arial" w:hAnsi="Arial"/>
          <w:sz w:val="22"/>
          <w:szCs w:val="22"/>
        </w:rPr>
        <w:t xml:space="preserve">výhradně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do </w:t>
      </w:r>
      <w:hyperlink r:id="rId3">
        <w:r>
          <w:rPr>
            <w:rStyle w:val="Internetovodkaz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2"/>
            <w:sz w:val="22"/>
            <w:szCs w:val="22"/>
            <w:u w:val="single"/>
            <w:vertAlign w:val="baseline"/>
          </w:rPr>
          <w:t>helpdesku systému Tritius.</w:t>
        </w:r>
      </w:hyperlink>
    </w:p>
    <w:p>
      <w:pPr>
        <w:pStyle w:val="Normal"/>
        <w:keepNext/>
        <w:keepLines w:val="false"/>
        <w:widowControl/>
        <w:numPr>
          <w:ilvl w:val="0"/>
          <w:numId w:val="2"/>
        </w:numPr>
        <w:spacing w:lineRule="auto" w:line="240" w:before="0" w:after="0"/>
        <w:ind w:left="360" w:right="0" w:hanging="36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Akceptace minimální konfigurace pro server a pro pracovní stanici viz :</w:t>
        <w:br/>
      </w:r>
      <w:hyperlink r:id="rId4">
        <w:r>
          <w:rPr>
            <w:rStyle w:val="Internetovodkaz"/>
            <w:rFonts w:eastAsia="Arial" w:cs="Arial" w:ascii="Arial" w:hAnsi="Arial"/>
            <w:color w:val="0000FF"/>
            <w:sz w:val="22"/>
            <w:szCs w:val="22"/>
            <w:u w:val="single"/>
          </w:rPr>
          <w:t>Technické požadavky na provoz systému Tritius na vlastním serveru</w:t>
        </w:r>
      </w:hyperlink>
    </w:p>
    <w:p>
      <w:pPr>
        <w:pStyle w:val="Normal"/>
        <w:keepNext/>
        <w:keepLines w:val="false"/>
        <w:widowControl/>
        <w:numPr>
          <w:ilvl w:val="0"/>
          <w:numId w:val="2"/>
        </w:numPr>
        <w:spacing w:lineRule="auto" w:line="240" w:before="0" w:after="0"/>
        <w:ind w:left="360" w:right="0" w:hanging="360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Vyplnění Instalačního protokolu popřípadě formuláře údaje pro implementaci.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VI.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Cena a způsob platby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Výše ceny za provedené dílo byla dohodnuta takto: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"/>
        <w:tblW w:w="9021" w:type="dxa"/>
        <w:jc w:val="left"/>
        <w:tblInd w:w="-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6813"/>
        <w:gridCol w:w="2207"/>
      </w:tblGrid>
      <w:tr>
        <w:trPr>
          <w:trHeight w:val="560" w:hRule="atLeast"/>
        </w:trPr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EAF1DD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AF1DD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Cena</w:t>
            </w:r>
          </w:p>
        </w:tc>
      </w:tr>
      <w:tr>
        <w:trPr>
          <w:trHeight w:val="560" w:hRule="atLeast"/>
        </w:trPr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EAF1DD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 xml:space="preserve">Upgrade licence Tritius do </w:t>
            </w:r>
            <w:r>
              <w:rPr>
                <w:rFonts w:eastAsia="Arial" w:cs="Arial" w:ascii="Arial" w:hAnsi="Arial"/>
                <w:sz w:val="22"/>
                <w:szCs w:val="22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 xml:space="preserve">00 000 sv. 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AF1DD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EAF1DD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AF1DD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EAF1DD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Celkem bez DPH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AF1DD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509 040,00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Kč</w:t>
            </w:r>
          </w:p>
        </w:tc>
      </w:tr>
      <w:tr>
        <w:trPr>
          <w:trHeight w:val="560" w:hRule="atLeast"/>
        </w:trPr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EAF1DD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Celkem s DPH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AF1DD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615 938,00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Kč</w:t>
            </w:r>
          </w:p>
        </w:tc>
      </w:tr>
    </w:tbl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9"/>
        </w:numPr>
        <w:spacing w:lineRule="auto" w:line="240" w:before="0" w:after="0"/>
        <w:ind w:left="360" w:right="0" w:hanging="360"/>
        <w:jc w:val="left"/>
        <w:rPr>
          <w:caps w:val="false"/>
          <w:smallCaps w:val="false"/>
          <w:strike w:val="false"/>
          <w:dstrike w:val="false"/>
          <w:color w:val="00000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V kalkulaci jsou zahrnuty cestovní náklady spojené s instalací a konfigurací systému  </w:t>
      </w:r>
    </w:p>
    <w:p>
      <w:pPr>
        <w:pStyle w:val="Normal"/>
        <w:keepNext/>
        <w:keepLines w:val="false"/>
        <w:widowControl/>
        <w:numPr>
          <w:ilvl w:val="0"/>
          <w:numId w:val="9"/>
        </w:numPr>
        <w:spacing w:lineRule="auto" w:line="240" w:before="0" w:after="0"/>
        <w:ind w:left="360" w:right="0" w:hanging="360"/>
        <w:jc w:val="left"/>
        <w:rPr>
          <w:caps w:val="false"/>
          <w:smallCaps w:val="false"/>
          <w:strike w:val="false"/>
          <w:dstrike w:val="false"/>
          <w:color w:val="00000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Způsob úhrady ceny díla byl dohodnut takto:</w:t>
      </w:r>
    </w:p>
    <w:p>
      <w:pPr>
        <w:pStyle w:val="Normal"/>
        <w:keepNext/>
        <w:keepLines w:val="false"/>
        <w:widowControl/>
        <w:numPr>
          <w:ilvl w:val="0"/>
          <w:numId w:val="9"/>
        </w:numPr>
        <w:spacing w:lineRule="auto" w:line="240" w:before="0" w:after="0"/>
        <w:ind w:left="360" w:right="0" w:hanging="360"/>
        <w:jc w:val="left"/>
        <w:rPr>
          <w:caps w:val="false"/>
          <w:smallCaps w:val="false"/>
          <w:strike w:val="false"/>
          <w:dstrike w:val="false"/>
          <w:color w:val="00000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Zhotovitel vystaví fakturu se splatností minimálně 21 dnů na základě předání díla po jeho otestování.</w:t>
      </w:r>
    </w:p>
    <w:p>
      <w:pPr>
        <w:pStyle w:val="Normal"/>
        <w:keepNext/>
        <w:keepLines w:val="false"/>
        <w:widowControl/>
        <w:numPr>
          <w:ilvl w:val="0"/>
          <w:numId w:val="9"/>
        </w:numPr>
        <w:spacing w:lineRule="auto" w:line="240" w:before="0" w:after="0"/>
        <w:ind w:left="360" w:right="0" w:hanging="360"/>
        <w:jc w:val="left"/>
        <w:rPr>
          <w:caps w:val="false"/>
          <w:smallCaps w:val="false"/>
          <w:strike w:val="false"/>
          <w:dstrike w:val="false"/>
          <w:color w:val="00000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Faktury budou hrazeny objednatelem na účet zhotovitele systému.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br/>
      </w:r>
    </w:p>
    <w:p>
      <w:pPr>
        <w:pStyle w:val="Normal"/>
        <w:numPr>
          <w:ilvl w:val="0"/>
          <w:numId w:val="9"/>
        </w:numPr>
        <w:spacing w:before="0" w:after="0"/>
        <w:ind w:left="502" w:right="0" w:hanging="360"/>
        <w:contextualSpacing/>
        <w:jc w:val="both"/>
        <w:rPr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Poslední daňový doklad v kalendářním roce musí být objednateli doručen nejpozději 15. prosince příslušného roku.</w:t>
      </w:r>
    </w:p>
    <w:p>
      <w:pPr>
        <w:pStyle w:val="Normal"/>
        <w:numPr>
          <w:ilvl w:val="0"/>
          <w:numId w:val="9"/>
        </w:numPr>
        <w:spacing w:before="0" w:after="0"/>
        <w:ind w:left="502" w:right="0" w:hanging="360"/>
        <w:contextualSpacing/>
        <w:jc w:val="both"/>
        <w:rPr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Faktura musí obsahovat obecné náležitosti daňového dokladu dle § 29 zákona č. 235/2004 Sb., o dani z přidané hodnoty, ve znění pozdějších předpisů. Dnem zaplacení ceny za předmět smlouvy se rozumí den připsání platby na účet zhotovitele.</w:t>
      </w:r>
    </w:p>
    <w:p>
      <w:pPr>
        <w:pStyle w:val="Normal"/>
        <w:numPr>
          <w:ilvl w:val="0"/>
          <w:numId w:val="9"/>
        </w:numPr>
        <w:spacing w:before="0" w:after="0"/>
        <w:ind w:left="502" w:right="0" w:hanging="360"/>
        <w:contextualSpacing/>
        <w:jc w:val="both"/>
        <w:rPr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úhradou.</w:t>
      </w:r>
    </w:p>
    <w:p>
      <w:pPr>
        <w:pStyle w:val="Normal"/>
        <w:numPr>
          <w:ilvl w:val="0"/>
          <w:numId w:val="9"/>
        </w:numPr>
        <w:spacing w:before="0" w:after="0"/>
        <w:ind w:left="502" w:right="0" w:hanging="360"/>
        <w:contextualSpacing/>
        <w:jc w:val="both"/>
        <w:rPr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Zhotovitel prohlašuje, že ke dni podpisu smlouvy není nespolehlivým plátcem DPH dle § 106a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>
      <w:pPr>
        <w:pStyle w:val="Normal"/>
        <w:numPr>
          <w:ilvl w:val="0"/>
          <w:numId w:val="9"/>
        </w:numPr>
        <w:spacing w:before="0" w:after="0"/>
        <w:ind w:left="502" w:right="0" w:hanging="360"/>
        <w:contextualSpacing/>
        <w:jc w:val="both"/>
        <w:rPr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Zhotovitel dále souhlasí s tím, aby objednatel provedl zajišťovací úhradu DPH přímo na účet jeho správce daně, jestliže zhotovitel bude ke dni uskutečnění zdanitelného plnění veden v registru nespolehlivých plátců DPH.</w:t>
      </w:r>
    </w:p>
    <w:p>
      <w:pPr>
        <w:pStyle w:val="Normal"/>
        <w:keepNext/>
        <w:keepLines w:val="false"/>
        <w:widowControl/>
        <w:spacing w:lineRule="auto" w:line="240" w:before="0" w:after="0"/>
        <w:ind w:left="-36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-36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VII.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FFFF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Termíny realizace díla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FFFF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FFFF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2"/>
        <w:tblW w:w="9345" w:type="dxa"/>
        <w:jc w:val="left"/>
        <w:tblInd w:w="-74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3329"/>
        <w:gridCol w:w="2268"/>
        <w:gridCol w:w="3748"/>
      </w:tblGrid>
      <w:tr>
        <w:trPr/>
        <w:tc>
          <w:tcPr>
            <w:tcW w:w="3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666666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666666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  <w:t>Termín realizace</w:t>
            </w:r>
          </w:p>
        </w:tc>
        <w:tc>
          <w:tcPr>
            <w:tcW w:w="3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666666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  <w:t>Poznámka</w:t>
            </w:r>
          </w:p>
        </w:tc>
      </w:tr>
      <w:tr>
        <w:trPr/>
        <w:tc>
          <w:tcPr>
            <w:tcW w:w="3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tabs>
                <w:tab w:val="center" w:pos="4536" w:leader="none"/>
                <w:tab w:val="right" w:pos="9072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Příprava implementace systému (instalace a konfigurace Tritius vč. příp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.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 xml:space="preserve"> testovacího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Max. 30 dní od dne D</w:t>
            </w:r>
          </w:p>
        </w:tc>
        <w:tc>
          <w:tcPr>
            <w:tcW w:w="3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Závisí na HW a SW připravenosti</w:t>
            </w:r>
          </w:p>
        </w:tc>
      </w:tr>
      <w:tr>
        <w:trPr>
          <w:trHeight w:val="520" w:hRule="atLeast"/>
        </w:trPr>
        <w:tc>
          <w:tcPr>
            <w:tcW w:w="3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 xml:space="preserve">Školení uživatelů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Max. 40 dní od dne D</w:t>
            </w:r>
          </w:p>
        </w:tc>
        <w:tc>
          <w:tcPr>
            <w:tcW w:w="3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 xml:space="preserve">Max. 3-4 osoby </w:t>
            </w:r>
          </w:p>
        </w:tc>
      </w:tr>
      <w:tr>
        <w:trPr>
          <w:trHeight w:val="540" w:hRule="atLeast"/>
        </w:trPr>
        <w:tc>
          <w:tcPr>
            <w:tcW w:w="3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Max. 60 dní od dne D</w:t>
            </w:r>
          </w:p>
        </w:tc>
        <w:tc>
          <w:tcPr>
            <w:tcW w:w="3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Závisí na HW a SW připravenosti</w:t>
            </w:r>
          </w:p>
        </w:tc>
      </w:tr>
    </w:tbl>
    <w:p>
      <w:pPr>
        <w:pStyle w:val="Normal"/>
        <w:keepNext/>
        <w:keepLines w:val="false"/>
        <w:widowControl/>
        <w:tabs>
          <w:tab w:val="center" w:pos="4536" w:leader="none"/>
          <w:tab w:val="right" w:pos="907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/>
        <w:keepLines w:val="false"/>
        <w:widowControl/>
        <w:tabs>
          <w:tab w:val="center" w:pos="4536" w:leader="none"/>
          <w:tab w:val="right" w:pos="907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- Den D je dnem uzavření této smlouvy o dílo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keepNext/>
        <w:keepLines w:val="false"/>
        <w:widowControl/>
        <w:tabs>
          <w:tab w:val="center" w:pos="4536" w:leader="none"/>
          <w:tab w:val="right" w:pos="907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VIII.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Způsob převzetí díla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Dílo nebo jeho část bude převzato až po úspěšném otestování ve 14 denní lhůtě.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Systém musí být při testovacím provozu zhotovitelem nastaven podle specifických podmínek objednatele (tiskové výstupy, definice provozů, konfigurace výpůjčního systému, nastavení uživatelských práv atd.)</w:t>
      </w:r>
    </w:p>
    <w:p>
      <w:pPr>
        <w:pStyle w:val="Normal"/>
        <w:keepNext/>
        <w:keepLines w:val="false"/>
        <w:widowControl/>
        <w:spacing w:lineRule="auto" w:line="240" w:before="0" w:after="0"/>
        <w:ind w:left="36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IX.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Servis systému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sz w:val="22"/>
          <w:szCs w:val="22"/>
        </w:rPr>
        <w:t>Mimozáruční i záruční 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ervis systému bude zajišťovat </w:t>
      </w:r>
      <w:r>
        <w:rPr>
          <w:rFonts w:eastAsia="Arial" w:cs="Arial" w:ascii="Arial" w:hAnsi="Arial"/>
          <w:sz w:val="22"/>
          <w:szCs w:val="22"/>
        </w:rPr>
        <w:t>zhotovitel dle zvolené úrovně ceníku servisu pro aktuální rok na základě samostatné servisní smlouvy (SLA).Servisní smlouvu se objednavatel a zhotovitel zavazuje uzavřít nejpozději do 30 dnů od převzetí systému do ostrého provozu.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X.</w:t>
      </w:r>
    </w:p>
    <w:p>
      <w:pPr>
        <w:pStyle w:val="Normal"/>
        <w:tabs>
          <w:tab w:val="left" w:pos="360" w:leader="none"/>
          <w:tab w:val="left" w:pos="720" w:leader="none"/>
        </w:tabs>
        <w:spacing w:lineRule="auto" w:line="276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Zabezpečení ochrany osobních údajů</w:t>
      </w:r>
    </w:p>
    <w:p>
      <w:pPr>
        <w:pStyle w:val="Normal"/>
        <w:tabs>
          <w:tab w:val="left" w:pos="360" w:leader="none"/>
          <w:tab w:val="left" w:pos="720" w:leader="none"/>
        </w:tabs>
        <w:spacing w:lineRule="auto" w:line="276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tabs>
          <w:tab w:val="left" w:pos="363" w:leader="none"/>
        </w:tabs>
        <w:spacing w:before="0" w:after="0"/>
        <w:ind w:left="363" w:right="0" w:hanging="360"/>
        <w:contextualSpacing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Zhotovitel je zpracovatelem osobních údajů, Objednatel je správce osobních údajů </w:t>
        <w:br/>
        <w:t>ve smyslu zákona 101/2000 Sb. O Ochraně osobních údajů.</w:t>
      </w:r>
    </w:p>
    <w:p>
      <w:pPr>
        <w:pStyle w:val="Normal"/>
        <w:numPr>
          <w:ilvl w:val="0"/>
          <w:numId w:val="6"/>
        </w:numPr>
        <w:tabs>
          <w:tab w:val="left" w:pos="338" w:leader="none"/>
        </w:tabs>
        <w:spacing w:before="0" w:after="0"/>
        <w:ind w:left="338" w:right="0" w:hanging="360"/>
        <w:contextualSpacing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Správce osobních údajů zpracovává osobní údaje o čtenářích - jméno, příjmení, datum narození, bydliště uvedená na přihlášce čtenáře za účelem vedení knihovnické agendy, aby bylo umožněno poskytování knihovnických a informačních služeb a byla zabezpečena ochrana knihovního fondu. Osobní údaje objednatel používá pouze pro jmenované účely po dobu trvání čtenářského vztahu, chrání je před zneužitím a neposkytuje je třetím osobám. </w:t>
      </w:r>
    </w:p>
    <w:p>
      <w:pPr>
        <w:pStyle w:val="Normal"/>
        <w:numPr>
          <w:ilvl w:val="0"/>
          <w:numId w:val="6"/>
        </w:numPr>
        <w:tabs>
          <w:tab w:val="left" w:pos="375" w:leader="none"/>
        </w:tabs>
        <w:spacing w:before="0" w:after="0"/>
        <w:ind w:left="363" w:right="0" w:hanging="360"/>
        <w:contextualSpacing/>
        <w:jc w:val="both"/>
        <w:rPr/>
      </w:pPr>
      <w:r>
        <w:rPr>
          <w:rFonts w:eastAsia="Arial" w:cs="Arial" w:ascii="Arial" w:hAnsi="Arial"/>
          <w:sz w:val="22"/>
          <w:szCs w:val="22"/>
        </w:rPr>
        <w:t>Zhotovitel se zavazuje jako zpracovatel osobní údaje vymezené v odstavci 2 (dále jen „osobní údaje“) zpracovávat tímto způsobem (spravuje systém, provádí úpravy softwaru, programové změny apod.). Zpracování se nesmí účastnit žádná třetí osoba.</w:t>
      </w:r>
    </w:p>
    <w:p>
      <w:pPr>
        <w:pStyle w:val="Normal"/>
        <w:numPr>
          <w:ilvl w:val="0"/>
          <w:numId w:val="6"/>
        </w:numPr>
        <w:tabs>
          <w:tab w:val="left" w:pos="350" w:leader="none"/>
        </w:tabs>
        <w:spacing w:before="0" w:after="0"/>
        <w:ind w:left="363" w:right="0" w:hanging="360"/>
        <w:contextualSpacing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Zhotovitel tímto deklaruje záruky zpracovatele o technickém a organizačním zabezpečení ochrany osobních údajů. 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XI.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Další ujednání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3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 xml:space="preserve">Objednatel v případě využití upgrade ceny licence systému ztrácá licenci původního systému Clavius a do 3 měsíců po ostrém startu systému ji nesmí nadále používat. </w:t>
      </w:r>
    </w:p>
    <w:p>
      <w:pPr>
        <w:pStyle w:val="Normal"/>
        <w:keepNext/>
        <w:keepLines w:val="false"/>
        <w:widowControl/>
        <w:numPr>
          <w:ilvl w:val="0"/>
          <w:numId w:val="3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Zhotovitel se zavazuje včas upozornit na problémy, které brání dodržení termínu nebo kvality provedení díla.</w:t>
      </w:r>
    </w:p>
    <w:p>
      <w:pPr>
        <w:pStyle w:val="Normal"/>
        <w:keepNext/>
        <w:keepLines w:val="false"/>
        <w:widowControl/>
        <w:numPr>
          <w:ilvl w:val="0"/>
          <w:numId w:val="3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Při zpoždění termínu realizace zaviněné zhotovitelem má právo objednatel uložit zhotoviteli smluvní pokutu ve výši 0.05% z ceny díla za každý den prodlení.</w:t>
      </w:r>
    </w:p>
    <w:p>
      <w:pPr>
        <w:pStyle w:val="Normal"/>
        <w:keepNext/>
        <w:keepLines w:val="false"/>
        <w:widowControl/>
        <w:numPr>
          <w:ilvl w:val="0"/>
          <w:numId w:val="3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Při nedodržení termínu splatnosti faktur má zhotovitel právo uložit smluvní pokutu ve výši 0.05% z ceny díla za každý den prodlení.</w:t>
      </w:r>
    </w:p>
    <w:p>
      <w:pPr>
        <w:pStyle w:val="Normal"/>
        <w:keepNext/>
        <w:keepLines w:val="false"/>
        <w:widowControl/>
        <w:numPr>
          <w:ilvl w:val="0"/>
          <w:numId w:val="3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Tato smlouva je sepsána ve dvou vyhotoveních, z toho jedno vyhotovení obdrží zhotovitel a druhé vyhotovení objednatel.</w:t>
      </w:r>
    </w:p>
    <w:p>
      <w:pPr>
        <w:pStyle w:val="Normal"/>
        <w:keepNext/>
        <w:keepLines w:val="false"/>
        <w:widowControl/>
        <w:numPr>
          <w:ilvl w:val="0"/>
          <w:numId w:val="3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Tato smlouva nabývá platnosti dnem podpisu obou zúčastněných stran.</w:t>
      </w:r>
    </w:p>
    <w:p>
      <w:pPr>
        <w:pStyle w:val="Normal"/>
        <w:keepNext/>
        <w:keepLines w:val="false"/>
        <w:widowControl/>
        <w:numPr>
          <w:ilvl w:val="0"/>
          <w:numId w:val="3"/>
        </w:numPr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Obě strany prohlašují, že smlouvu uzavřely bez nátlaku o své svobodné vůli.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ab/>
        <w:t xml:space="preserve">V Táboře  dne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22.5.2017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ab/>
        <w:tab/>
        <w:tab/>
        <w:t xml:space="preserve">   </w:t>
        <w:tab/>
        <w:t xml:space="preserve">      V </w:t>
      </w:r>
      <w:r>
        <w:rPr>
          <w:rFonts w:eastAsia="Arial" w:cs="Arial" w:ascii="Arial" w:hAnsi="Arial"/>
          <w:sz w:val="22"/>
          <w:szCs w:val="22"/>
        </w:rPr>
        <w:t xml:space="preserve"> Kroměříži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dne 18.5.2017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7"/>
        </w:numPr>
        <w:spacing w:lineRule="auto" w:line="240" w:before="240" w:after="60"/>
        <w:ind w:left="1134" w:right="0" w:hanging="432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Zhotovitel:</w:t>
        <w:tab/>
        <w:t xml:space="preserve">                   </w:t>
        <w:tab/>
        <w:tab/>
        <w:t xml:space="preserve">                 Objednatel:</w:t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.........................……….....…….   </w:t>
      </w:r>
      <w:r>
        <w:rPr>
          <w:rFonts w:eastAsia="Arial" w:cs="Arial" w:ascii="Arial" w:hAnsi="Arial"/>
          <w:sz w:val="22"/>
          <w:szCs w:val="22"/>
        </w:rPr>
        <w:tab/>
        <w:tab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………….......................................</w:t>
      </w:r>
    </w:p>
    <w:p>
      <w:pPr>
        <w:pStyle w:val="Normal"/>
        <w:keepNext/>
        <w:keepLines w:val="false"/>
        <w:widowControl/>
        <w:spacing w:lineRule="auto" w:line="360" w:before="0" w:after="0"/>
        <w:ind w:left="0" w:right="0" w:hanging="0"/>
        <w:jc w:val="center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560" w:right="1417" w:header="0" w:top="1653" w:footer="720" w:bottom="2220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rebuchet MS">
    <w:charset w:val="ee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tabs>
        <w:tab w:val="center" w:pos="4536" w:leader="none"/>
        <w:tab w:val="right" w:pos="9072" w:leader="none"/>
      </w:tabs>
      <w:spacing w:lineRule="auto" w:line="240" w:before="0" w:after="1417"/>
      <w:ind w:left="0" w:right="0" w:hanging="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tabs>
        <w:tab w:val="center" w:pos="4819" w:leader="none"/>
        <w:tab w:val="right" w:pos="9638" w:leader="none"/>
      </w:tabs>
      <w:spacing w:lineRule="auto" w:line="240" w:before="1417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-360"/>
      </w:pPr>
      <w:rPr>
        <w:rFonts w:ascii="Arial" w:hAnsi="Arial" w:cs="Arial" w:hint="default"/>
        <w:vertAlign w:val="baseline"/>
        <w:position w:val="0"/>
        <w:sz w:val="22"/>
        <w:sz w:val="22"/>
        <w:b w:val="false"/>
        <w:rFonts w:cs="Arial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0"/>
      </w:pPr>
      <w:rPr>
        <w:vertAlign w:val="baseline"/>
        <w:position w:val="0"/>
        <w:sz w:val="22"/>
        <w:sz w:val="22"/>
        <w:b w:val="false"/>
        <w:rFonts w:eastAsia="Arial" w:cs="Arial"/>
      </w:r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righ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righ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righ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0"/>
      </w:pPr>
      <w:rPr>
        <w:vertAlign w:val="baseline"/>
        <w:position w:val="0"/>
        <w:sz w:val="22"/>
        <w:sz w:val="22"/>
        <w:b w:val="false"/>
        <w:rFonts w:eastAsia="Arial" w:cs="Arial"/>
      </w:r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righ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righ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right"/>
      <w:pPr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-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0"/>
      </w:pPr>
      <w:rPr>
        <w:vertAlign w:val="baseline"/>
        <w:position w:val="0"/>
        <w:sz w:val="22"/>
        <w:sz w:val="22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-72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ind w:left="1800" w:hanging="-162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ind w:left="2520" w:hanging="-21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ind w:left="3240" w:hanging="-288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ind w:left="3960" w:hanging="-37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ind w:left="4680" w:hanging="-432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ind w:left="5400" w:hanging="-504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ind w:left="6120" w:hanging="-5940"/>
      </w:pPr>
      <w:rPr>
        <w:vertAlign w:val="baseline"/>
        <w:position w:val="0"/>
        <w:sz w:val="20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695" w:hanging="-335"/>
      </w:pPr>
      <w:rPr>
        <w:vertAlign w:val="baseline"/>
        <w:position w:val="0"/>
        <w:sz w:val="22"/>
        <w:sz w:val="22"/>
        <w:b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055" w:hanging="-695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%3."/>
      <w:lvlJc w:val="left"/>
      <w:pPr>
        <w:ind w:left="1415" w:hanging="-1055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ind w:left="1775" w:hanging="-1415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5."/>
      <w:lvlJc w:val="left"/>
      <w:pPr>
        <w:ind w:left="2135" w:hanging="-1775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6."/>
      <w:lvlJc w:val="left"/>
      <w:pPr>
        <w:ind w:left="2495" w:hanging="-2135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ind w:left="2855" w:hanging="-2495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8."/>
      <w:lvlJc w:val="left"/>
      <w:pPr>
        <w:ind w:left="3215" w:hanging="-2855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9."/>
      <w:lvlJc w:val="left"/>
      <w:pPr>
        <w:ind w:left="3575" w:hanging="-3215"/>
      </w:pPr>
      <w:rPr>
        <w:vertAlign w:val="baseline"/>
        <w:position w:val="0"/>
        <w:sz w:val="20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432" w:hanging="0"/>
      </w:pPr>
      <w:rPr>
        <w:vertAlign w:val="baseline"/>
        <w:position w:val="0"/>
        <w:sz w:val="22"/>
        <w:sz w:val="22"/>
        <w:b/>
        <w:rFonts w:ascii="Arial" w:hAnsi="Arial"/>
      </w:rPr>
    </w:lvl>
    <w:lvl w:ilvl="1">
      <w:start w:val="1"/>
      <w:numFmt w:val="none"/>
      <w:suff w:val="nothing"/>
      <w:lvlText w:val=""/>
      <w:lvlJc w:val="left"/>
      <w:pPr>
        <w:ind w:left="576" w:hanging="0"/>
      </w:pPr>
      <w:rPr>
        <w:vertAlign w:val="baseline"/>
        <w:position w:val="0"/>
        <w:sz w:val="20"/>
        <w:sz w:val="20"/>
      </w:rPr>
    </w:lvl>
    <w:lvl w:ilvl="2">
      <w:start w:val="1"/>
      <w:numFmt w:val="none"/>
      <w:suff w:val="nothing"/>
      <w:lvlText w:val=""/>
      <w:lvlJc w:val="left"/>
      <w:pPr>
        <w:ind w:left="720" w:hanging="0"/>
      </w:pPr>
      <w:rPr>
        <w:vertAlign w:val="baseline"/>
        <w:position w:val="0"/>
        <w:sz w:val="20"/>
        <w:sz w:val="20"/>
      </w:rPr>
    </w:lvl>
    <w:lvl w:ilvl="3">
      <w:start w:val="1"/>
      <w:numFmt w:val="none"/>
      <w:suff w:val="nothing"/>
      <w:lvlText w:val=""/>
      <w:lvlJc w:val="left"/>
      <w:pPr>
        <w:ind w:left="864" w:hanging="0"/>
      </w:pPr>
      <w:rPr>
        <w:vertAlign w:val="baseline"/>
        <w:position w:val="0"/>
        <w:sz w:val="20"/>
        <w:sz w:val="20"/>
      </w:rPr>
    </w:lvl>
    <w:lvl w:ilvl="4">
      <w:start w:val="1"/>
      <w:numFmt w:val="none"/>
      <w:suff w:val="nothing"/>
      <w:lvlText w:val=""/>
      <w:lvlJc w:val="left"/>
      <w:pPr>
        <w:ind w:left="1008" w:hanging="0"/>
      </w:pPr>
      <w:rPr>
        <w:vertAlign w:val="baseline"/>
        <w:position w:val="0"/>
        <w:sz w:val="20"/>
        <w:sz w:val="20"/>
      </w:rPr>
    </w:lvl>
    <w:lvl w:ilvl="5">
      <w:start w:val="1"/>
      <w:numFmt w:val="none"/>
      <w:suff w:val="nothing"/>
      <w:lvlText w:val=""/>
      <w:lvlJc w:val="left"/>
      <w:pPr>
        <w:ind w:left="1152" w:hanging="0"/>
      </w:pPr>
      <w:rPr>
        <w:vertAlign w:val="baseline"/>
        <w:position w:val="0"/>
        <w:sz w:val="20"/>
        <w:sz w:val="20"/>
      </w:rPr>
    </w:lvl>
    <w:lvl w:ilvl="6">
      <w:start w:val="1"/>
      <w:numFmt w:val="none"/>
      <w:suff w:val="nothing"/>
      <w:lvlText w:val=""/>
      <w:lvlJc w:val="left"/>
      <w:pPr>
        <w:ind w:left="1296" w:hanging="0"/>
      </w:pPr>
      <w:rPr>
        <w:vertAlign w:val="baseline"/>
        <w:position w:val="0"/>
        <w:sz w:val="20"/>
        <w:sz w:val="20"/>
      </w:rPr>
    </w:lvl>
    <w:lvl w:ilvl="7">
      <w:start w:val="1"/>
      <w:numFmt w:val="none"/>
      <w:suff w:val="nothing"/>
      <w:lvlText w:val=""/>
      <w:lvlJc w:val="left"/>
      <w:pPr>
        <w:ind w:left="1440" w:hanging="0"/>
      </w:pPr>
      <w:rPr>
        <w:vertAlign w:val="baseline"/>
        <w:position w:val="0"/>
        <w:sz w:val="20"/>
        <w:sz w:val="20"/>
      </w:rPr>
    </w:lvl>
    <w:lvl w:ilvl="8">
      <w:start w:val="1"/>
      <w:numFmt w:val="none"/>
      <w:suff w:val="nothing"/>
      <w:lvlText w:val=""/>
      <w:lvlJc w:val="left"/>
      <w:pPr>
        <w:ind w:left="1584" w:hanging="0"/>
      </w:pPr>
      <w:rPr>
        <w:vertAlign w:val="baseline"/>
        <w:position w:val="0"/>
        <w:sz w:val="20"/>
        <w:sz w:val="20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-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502" w:hanging="-142"/>
      </w:pPr>
      <w:rPr>
        <w:vertAlign w:val="baseline"/>
        <w:position w:val="0"/>
        <w:sz w:val="22"/>
        <w:sz w:val="22"/>
        <w:i w:val="false"/>
        <w:u w:val="none"/>
        <w:b/>
        <w:szCs w:val="20"/>
        <w:rFonts w:eastAsia="Arial" w:cs="Arial"/>
      </w:r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righ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righ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right"/>
      <w:pPr>
        <w:ind w:left="0" w:hanging="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  <w:lang w:val="cs-CZ" w:eastAsia="zh-CN" w:bidi="hi-IN"/>
    </w:rPr>
  </w:style>
  <w:style w:type="paragraph" w:styleId="Nadpis1">
    <w:name w:val="Heading 1"/>
    <w:next w:val="Normal"/>
    <w:qFormat/>
    <w:pPr>
      <w:keepNext/>
      <w:keepLines/>
      <w:widowControl w:val="false"/>
      <w:spacing w:lineRule="auto" w:line="240" w:before="480" w:after="120"/>
      <w:contextualSpacing/>
    </w:pPr>
    <w:rPr>
      <w:rFonts w:ascii="Times New Roman" w:hAnsi="Times New Roman" w:eastAsia="Times New Roman" w:cs="Times New Roman"/>
      <w:b/>
      <w:color w:val="000000"/>
      <w:sz w:val="48"/>
      <w:szCs w:val="48"/>
      <w:lang w:val="cs-CZ" w:eastAsia="zh-CN" w:bidi="hi-IN"/>
    </w:rPr>
  </w:style>
  <w:style w:type="paragraph" w:styleId="Nadpis2">
    <w:name w:val="Heading 2"/>
    <w:next w:val="Normal"/>
    <w:qFormat/>
    <w:pPr>
      <w:keepNext/>
      <w:keepLines/>
      <w:widowControl w:val="false"/>
      <w:spacing w:lineRule="auto" w:line="240" w:before="360" w:after="80"/>
      <w:contextualSpacing/>
    </w:pPr>
    <w:rPr>
      <w:rFonts w:ascii="Times New Roman" w:hAnsi="Times New Roman" w:eastAsia="Times New Roman" w:cs="Times New Roman"/>
      <w:b/>
      <w:color w:val="000000"/>
      <w:sz w:val="36"/>
      <w:szCs w:val="36"/>
      <w:lang w:val="cs-CZ" w:eastAsia="zh-CN" w:bidi="hi-IN"/>
    </w:rPr>
  </w:style>
  <w:style w:type="paragraph" w:styleId="Nadpis3">
    <w:name w:val="Heading 3"/>
    <w:next w:val="Normal"/>
    <w:qFormat/>
    <w:pPr>
      <w:keepNext/>
      <w:keepLines/>
      <w:widowControl w:val="false"/>
      <w:spacing w:lineRule="auto" w:line="240" w:before="280" w:after="80"/>
      <w:contextualSpacing/>
    </w:pPr>
    <w:rPr>
      <w:rFonts w:ascii="Times New Roman" w:hAnsi="Times New Roman" w:eastAsia="Times New Roman" w:cs="Times New Roman"/>
      <w:b/>
      <w:color w:val="000000"/>
      <w:sz w:val="28"/>
      <w:szCs w:val="28"/>
      <w:lang w:val="cs-CZ" w:eastAsia="zh-CN" w:bidi="hi-IN"/>
    </w:rPr>
  </w:style>
  <w:style w:type="paragraph" w:styleId="Nadpis4">
    <w:name w:val="Heading 4"/>
    <w:next w:val="Normal"/>
    <w:qFormat/>
    <w:pPr>
      <w:keepNext/>
      <w:keepLines/>
      <w:widowControl w:val="false"/>
      <w:spacing w:lineRule="auto" w:line="240" w:before="240" w:after="40"/>
      <w:contextualSpacing/>
    </w:pPr>
    <w:rPr>
      <w:rFonts w:ascii="Times New Roman" w:hAnsi="Times New Roman" w:eastAsia="Times New Roman" w:cs="Times New Roman"/>
      <w:b/>
      <w:color w:val="000000"/>
      <w:sz w:val="24"/>
      <w:szCs w:val="24"/>
      <w:lang w:val="cs-CZ" w:eastAsia="zh-CN" w:bidi="hi-IN"/>
    </w:rPr>
  </w:style>
  <w:style w:type="paragraph" w:styleId="Nadpis5">
    <w:name w:val="Heading 5"/>
    <w:next w:val="Normal"/>
    <w:qFormat/>
    <w:pPr>
      <w:keepNext/>
      <w:keepLines/>
      <w:widowControl w:val="false"/>
      <w:spacing w:lineRule="auto" w:line="240" w:before="220" w:after="40"/>
      <w:contextualSpacing/>
    </w:pPr>
    <w:rPr>
      <w:rFonts w:ascii="Times New Roman" w:hAnsi="Times New Roman" w:eastAsia="Times New Roman" w:cs="Times New Roman"/>
      <w:b/>
      <w:color w:val="000000"/>
      <w:sz w:val="22"/>
      <w:szCs w:val="22"/>
      <w:lang w:val="cs-CZ" w:eastAsia="zh-CN" w:bidi="hi-IN"/>
    </w:rPr>
  </w:style>
  <w:style w:type="paragraph" w:styleId="Nadpis6">
    <w:name w:val="Heading 6"/>
    <w:next w:val="Normal"/>
    <w:qFormat/>
    <w:pPr>
      <w:keepNext/>
      <w:keepLines/>
      <w:widowControl w:val="false"/>
      <w:spacing w:lineRule="auto" w:line="240" w:before="200" w:after="40"/>
      <w:contextualSpacing/>
    </w:pPr>
    <w:rPr>
      <w:rFonts w:ascii="Times New Roman" w:hAnsi="Times New Roman" w:eastAsia="Times New Roman" w:cs="Times New Roman"/>
      <w:b/>
      <w:color w:val="000000"/>
      <w:sz w:val="20"/>
      <w:szCs w:val="20"/>
      <w:lang w:val="cs-CZ" w:eastAsia="zh-CN" w:bidi="hi-IN"/>
    </w:rPr>
  </w:style>
  <w:style w:type="character" w:styleId="ListLabel1">
    <w:name w:val="ListLabel 1"/>
    <w:qFormat/>
    <w:rPr>
      <w:rFonts w:eastAsia="Arial" w:cs="Arial"/>
      <w:b w:val="false"/>
      <w:position w:val="0"/>
      <w:sz w:val="22"/>
      <w:sz w:val="22"/>
      <w:vertAlign w:val="baseline"/>
    </w:rPr>
  </w:style>
  <w:style w:type="character" w:styleId="ListLabel2">
    <w:name w:val="ListLabel 2"/>
    <w:qFormat/>
    <w:rPr>
      <w:rFonts w:eastAsia="Arial" w:cs="Arial"/>
      <w:b w:val="false"/>
      <w:position w:val="0"/>
      <w:sz w:val="22"/>
      <w:sz w:val="22"/>
      <w:vertAlign w:val="baseline"/>
    </w:rPr>
  </w:style>
  <w:style w:type="character" w:styleId="ListLabel3">
    <w:name w:val="ListLabel 3"/>
    <w:qFormat/>
    <w:rPr>
      <w:rFonts w:eastAsia="Arial" w:cs="Arial"/>
      <w:b w:val="false"/>
      <w:position w:val="0"/>
      <w:sz w:val="22"/>
      <w:sz w:val="22"/>
      <w:vertAlign w:val="baseline"/>
    </w:rPr>
  </w:style>
  <w:style w:type="character" w:styleId="ListLabel4">
    <w:name w:val="ListLabel 4"/>
    <w:qFormat/>
    <w:rPr>
      <w:rFonts w:ascii="Arial" w:hAnsi="Arial"/>
      <w:b w:val="false"/>
      <w:sz w:val="22"/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14">
    <w:name w:val="ListLabel 14"/>
    <w:qFormat/>
    <w:rPr>
      <w:position w:val="0"/>
      <w:sz w:val="20"/>
      <w:sz w:val="20"/>
      <w:vertAlign w:val="baseline"/>
    </w:rPr>
  </w:style>
  <w:style w:type="character" w:styleId="ListLabel15">
    <w:name w:val="ListLabel 15"/>
    <w:qFormat/>
    <w:rPr>
      <w:position w:val="0"/>
      <w:sz w:val="20"/>
      <w:sz w:val="20"/>
      <w:vertAlign w:val="baseline"/>
    </w:rPr>
  </w:style>
  <w:style w:type="character" w:styleId="ListLabel16">
    <w:name w:val="ListLabel 16"/>
    <w:qFormat/>
    <w:rPr>
      <w:position w:val="0"/>
      <w:sz w:val="20"/>
      <w:sz w:val="20"/>
      <w:vertAlign w:val="baseline"/>
    </w:rPr>
  </w:style>
  <w:style w:type="character" w:styleId="ListLabel17">
    <w:name w:val="ListLabel 17"/>
    <w:qFormat/>
    <w:rPr>
      <w:position w:val="0"/>
      <w:sz w:val="20"/>
      <w:sz w:val="20"/>
      <w:vertAlign w:val="baseline"/>
    </w:rPr>
  </w:style>
  <w:style w:type="character" w:styleId="ListLabel18">
    <w:name w:val="ListLabel 18"/>
    <w:qFormat/>
    <w:rPr>
      <w:position w:val="0"/>
      <w:sz w:val="20"/>
      <w:sz w:val="20"/>
      <w:vertAlign w:val="baseline"/>
    </w:rPr>
  </w:style>
  <w:style w:type="character" w:styleId="ListLabel19">
    <w:name w:val="ListLabel 19"/>
    <w:qFormat/>
    <w:rPr>
      <w:position w:val="0"/>
      <w:sz w:val="20"/>
      <w:sz w:val="20"/>
      <w:vertAlign w:val="baseline"/>
    </w:rPr>
  </w:style>
  <w:style w:type="character" w:styleId="ListLabel20">
    <w:name w:val="ListLabel 20"/>
    <w:qFormat/>
    <w:rPr>
      <w:position w:val="0"/>
      <w:sz w:val="20"/>
      <w:sz w:val="20"/>
      <w:vertAlign w:val="baseline"/>
    </w:rPr>
  </w:style>
  <w:style w:type="character" w:styleId="ListLabel21">
    <w:name w:val="ListLabel 21"/>
    <w:qFormat/>
    <w:rPr>
      <w:position w:val="0"/>
      <w:sz w:val="20"/>
      <w:sz w:val="20"/>
      <w:vertAlign w:val="baseline"/>
    </w:rPr>
  </w:style>
  <w:style w:type="character" w:styleId="ListLabel22">
    <w:name w:val="ListLabel 22"/>
    <w:qFormat/>
    <w:rPr>
      <w:rFonts w:eastAsia="Arial" w:cs="Arial"/>
      <w:b/>
      <w:position w:val="0"/>
      <w:sz w:val="22"/>
      <w:sz w:val="22"/>
      <w:szCs w:val="22"/>
      <w:vertAlign w:val="baseline"/>
    </w:rPr>
  </w:style>
  <w:style w:type="character" w:styleId="ListLabel23">
    <w:name w:val="ListLabel 23"/>
    <w:qFormat/>
    <w:rPr>
      <w:position w:val="0"/>
      <w:sz w:val="20"/>
      <w:sz w:val="20"/>
      <w:vertAlign w:val="baseline"/>
    </w:rPr>
  </w:style>
  <w:style w:type="character" w:styleId="ListLabel24">
    <w:name w:val="ListLabel 24"/>
    <w:qFormat/>
    <w:rPr>
      <w:position w:val="0"/>
      <w:sz w:val="20"/>
      <w:sz w:val="20"/>
      <w:vertAlign w:val="baseline"/>
    </w:rPr>
  </w:style>
  <w:style w:type="character" w:styleId="ListLabel25">
    <w:name w:val="ListLabel 25"/>
    <w:qFormat/>
    <w:rPr>
      <w:position w:val="0"/>
      <w:sz w:val="20"/>
      <w:sz w:val="20"/>
      <w:vertAlign w:val="baseline"/>
    </w:rPr>
  </w:style>
  <w:style w:type="character" w:styleId="ListLabel26">
    <w:name w:val="ListLabel 26"/>
    <w:qFormat/>
    <w:rPr>
      <w:position w:val="0"/>
      <w:sz w:val="20"/>
      <w:sz w:val="20"/>
      <w:vertAlign w:val="baseline"/>
    </w:rPr>
  </w:style>
  <w:style w:type="character" w:styleId="ListLabel27">
    <w:name w:val="ListLabel 27"/>
    <w:qFormat/>
    <w:rPr>
      <w:position w:val="0"/>
      <w:sz w:val="20"/>
      <w:sz w:val="20"/>
      <w:vertAlign w:val="baseline"/>
    </w:rPr>
  </w:style>
  <w:style w:type="character" w:styleId="ListLabel28">
    <w:name w:val="ListLabel 28"/>
    <w:qFormat/>
    <w:rPr>
      <w:position w:val="0"/>
      <w:sz w:val="20"/>
      <w:sz w:val="20"/>
      <w:vertAlign w:val="baseline"/>
    </w:rPr>
  </w:style>
  <w:style w:type="character" w:styleId="ListLabel29">
    <w:name w:val="ListLabel 29"/>
    <w:qFormat/>
    <w:rPr>
      <w:position w:val="0"/>
      <w:sz w:val="20"/>
      <w:sz w:val="20"/>
      <w:vertAlign w:val="baseline"/>
    </w:rPr>
  </w:style>
  <w:style w:type="character" w:styleId="ListLabel30">
    <w:name w:val="ListLabel 30"/>
    <w:qFormat/>
    <w:rPr>
      <w:position w:val="0"/>
      <w:sz w:val="20"/>
      <w:sz w:val="20"/>
      <w:vertAlign w:val="baseline"/>
    </w:rPr>
  </w:style>
  <w:style w:type="character" w:styleId="ListLabel31">
    <w:name w:val="ListLabel 31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32">
    <w:name w:val="ListLabel 32"/>
    <w:qFormat/>
    <w:rPr>
      <w:position w:val="0"/>
      <w:sz w:val="20"/>
      <w:sz w:val="20"/>
      <w:vertAlign w:val="baseline"/>
    </w:rPr>
  </w:style>
  <w:style w:type="character" w:styleId="ListLabel33">
    <w:name w:val="ListLabel 33"/>
    <w:qFormat/>
    <w:rPr>
      <w:position w:val="0"/>
      <w:sz w:val="20"/>
      <w:sz w:val="20"/>
      <w:vertAlign w:val="baseline"/>
    </w:rPr>
  </w:style>
  <w:style w:type="character" w:styleId="ListLabel34">
    <w:name w:val="ListLabel 34"/>
    <w:qFormat/>
    <w:rPr>
      <w:position w:val="0"/>
      <w:sz w:val="20"/>
      <w:sz w:val="20"/>
      <w:vertAlign w:val="baseline"/>
    </w:rPr>
  </w:style>
  <w:style w:type="character" w:styleId="ListLabel35">
    <w:name w:val="ListLabel 35"/>
    <w:qFormat/>
    <w:rPr>
      <w:position w:val="0"/>
      <w:sz w:val="20"/>
      <w:sz w:val="20"/>
      <w:vertAlign w:val="baseline"/>
    </w:rPr>
  </w:style>
  <w:style w:type="character" w:styleId="ListLabel36">
    <w:name w:val="ListLabel 36"/>
    <w:qFormat/>
    <w:rPr>
      <w:position w:val="0"/>
      <w:sz w:val="20"/>
      <w:sz w:val="20"/>
      <w:vertAlign w:val="baseline"/>
    </w:rPr>
  </w:style>
  <w:style w:type="character" w:styleId="ListLabel37">
    <w:name w:val="ListLabel 37"/>
    <w:qFormat/>
    <w:rPr>
      <w:position w:val="0"/>
      <w:sz w:val="20"/>
      <w:sz w:val="20"/>
      <w:vertAlign w:val="baseline"/>
    </w:rPr>
  </w:style>
  <w:style w:type="character" w:styleId="ListLabel38">
    <w:name w:val="ListLabel 38"/>
    <w:qFormat/>
    <w:rPr>
      <w:position w:val="0"/>
      <w:sz w:val="20"/>
      <w:sz w:val="20"/>
      <w:vertAlign w:val="baseline"/>
    </w:rPr>
  </w:style>
  <w:style w:type="character" w:styleId="ListLabel39">
    <w:name w:val="ListLabel 39"/>
    <w:qFormat/>
    <w:rPr>
      <w:position w:val="0"/>
      <w:sz w:val="20"/>
      <w:sz w:val="20"/>
      <w:vertAlign w:val="baseline"/>
    </w:rPr>
  </w:style>
  <w:style w:type="character" w:styleId="ListLabel40">
    <w:name w:val="ListLabel 40"/>
    <w:qFormat/>
    <w:rPr>
      <w:rFonts w:ascii="Arial" w:hAnsi="Arial"/>
      <w:b w:val="false"/>
      <w:sz w:val="22"/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rFonts w:eastAsia="Arial" w:cs="Arial"/>
      <w:b/>
      <w:i w:val="false"/>
      <w:position w:val="0"/>
      <w:sz w:val="22"/>
      <w:sz w:val="22"/>
      <w:szCs w:val="20"/>
      <w:u w:val="none"/>
      <w:vertAlign w:val="baselin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50">
    <w:name w:val="ListLabel 50"/>
    <w:qFormat/>
    <w:rPr>
      <w:rFonts w:cs="Arial"/>
      <w:b w:val="false"/>
      <w:position w:val="0"/>
      <w:sz w:val="22"/>
      <w:sz w:val="22"/>
      <w:vertAlign w:val="baseline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eastAsia="Arial" w:cs="Arial"/>
      <w:b w:val="false"/>
      <w:position w:val="0"/>
      <w:sz w:val="22"/>
      <w:sz w:val="22"/>
      <w:vertAlign w:val="baseline"/>
    </w:rPr>
  </w:style>
  <w:style w:type="character" w:styleId="ListLabel60">
    <w:name w:val="ListLabel 60"/>
    <w:qFormat/>
    <w:rPr>
      <w:rFonts w:eastAsia="Arial" w:cs="Arial"/>
      <w:b w:val="false"/>
      <w:position w:val="0"/>
      <w:sz w:val="22"/>
      <w:sz w:val="22"/>
      <w:vertAlign w:val="baseline"/>
    </w:rPr>
  </w:style>
  <w:style w:type="character" w:styleId="ListLabel61">
    <w:name w:val="ListLabel 61"/>
    <w:qFormat/>
    <w:rPr>
      <w:rFonts w:ascii="Arial" w:hAnsi="Arial"/>
      <w:b w:val="false"/>
      <w:sz w:val="22"/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71">
    <w:name w:val="ListLabel 71"/>
    <w:qFormat/>
    <w:rPr>
      <w:position w:val="0"/>
      <w:sz w:val="20"/>
      <w:sz w:val="20"/>
      <w:vertAlign w:val="baseline"/>
    </w:rPr>
  </w:style>
  <w:style w:type="character" w:styleId="ListLabel72">
    <w:name w:val="ListLabel 72"/>
    <w:qFormat/>
    <w:rPr>
      <w:position w:val="0"/>
      <w:sz w:val="20"/>
      <w:sz w:val="20"/>
      <w:vertAlign w:val="baseline"/>
    </w:rPr>
  </w:style>
  <w:style w:type="character" w:styleId="ListLabel73">
    <w:name w:val="ListLabel 73"/>
    <w:qFormat/>
    <w:rPr>
      <w:position w:val="0"/>
      <w:sz w:val="20"/>
      <w:sz w:val="20"/>
      <w:vertAlign w:val="baseline"/>
    </w:rPr>
  </w:style>
  <w:style w:type="character" w:styleId="ListLabel74">
    <w:name w:val="ListLabel 74"/>
    <w:qFormat/>
    <w:rPr>
      <w:position w:val="0"/>
      <w:sz w:val="20"/>
      <w:sz w:val="20"/>
      <w:vertAlign w:val="baseline"/>
    </w:rPr>
  </w:style>
  <w:style w:type="character" w:styleId="ListLabel75">
    <w:name w:val="ListLabel 75"/>
    <w:qFormat/>
    <w:rPr>
      <w:position w:val="0"/>
      <w:sz w:val="20"/>
      <w:sz w:val="20"/>
      <w:vertAlign w:val="baseline"/>
    </w:rPr>
  </w:style>
  <w:style w:type="character" w:styleId="ListLabel76">
    <w:name w:val="ListLabel 76"/>
    <w:qFormat/>
    <w:rPr>
      <w:position w:val="0"/>
      <w:sz w:val="20"/>
      <w:sz w:val="20"/>
      <w:vertAlign w:val="baseline"/>
    </w:rPr>
  </w:style>
  <w:style w:type="character" w:styleId="ListLabel77">
    <w:name w:val="ListLabel 77"/>
    <w:qFormat/>
    <w:rPr>
      <w:position w:val="0"/>
      <w:sz w:val="20"/>
      <w:sz w:val="20"/>
      <w:vertAlign w:val="baseline"/>
    </w:rPr>
  </w:style>
  <w:style w:type="character" w:styleId="ListLabel78">
    <w:name w:val="ListLabel 78"/>
    <w:qFormat/>
    <w:rPr>
      <w:position w:val="0"/>
      <w:sz w:val="20"/>
      <w:sz w:val="20"/>
      <w:vertAlign w:val="baseline"/>
    </w:rPr>
  </w:style>
  <w:style w:type="character" w:styleId="ListLabel79">
    <w:name w:val="ListLabel 79"/>
    <w:qFormat/>
    <w:rPr>
      <w:rFonts w:eastAsia="Arial" w:cs="Arial"/>
      <w:b/>
      <w:position w:val="0"/>
      <w:sz w:val="22"/>
      <w:sz w:val="22"/>
      <w:szCs w:val="22"/>
      <w:vertAlign w:val="baseline"/>
    </w:rPr>
  </w:style>
  <w:style w:type="character" w:styleId="ListLabel80">
    <w:name w:val="ListLabel 80"/>
    <w:qFormat/>
    <w:rPr>
      <w:position w:val="0"/>
      <w:sz w:val="20"/>
      <w:sz w:val="20"/>
      <w:vertAlign w:val="baseline"/>
    </w:rPr>
  </w:style>
  <w:style w:type="character" w:styleId="ListLabel81">
    <w:name w:val="ListLabel 81"/>
    <w:qFormat/>
    <w:rPr>
      <w:position w:val="0"/>
      <w:sz w:val="20"/>
      <w:sz w:val="20"/>
      <w:vertAlign w:val="baseline"/>
    </w:rPr>
  </w:style>
  <w:style w:type="character" w:styleId="ListLabel82">
    <w:name w:val="ListLabel 82"/>
    <w:qFormat/>
    <w:rPr>
      <w:position w:val="0"/>
      <w:sz w:val="20"/>
      <w:sz w:val="20"/>
      <w:vertAlign w:val="baseline"/>
    </w:rPr>
  </w:style>
  <w:style w:type="character" w:styleId="ListLabel83">
    <w:name w:val="ListLabel 83"/>
    <w:qFormat/>
    <w:rPr>
      <w:position w:val="0"/>
      <w:sz w:val="20"/>
      <w:sz w:val="20"/>
      <w:vertAlign w:val="baseline"/>
    </w:rPr>
  </w:style>
  <w:style w:type="character" w:styleId="ListLabel84">
    <w:name w:val="ListLabel 84"/>
    <w:qFormat/>
    <w:rPr>
      <w:position w:val="0"/>
      <w:sz w:val="20"/>
      <w:sz w:val="20"/>
      <w:vertAlign w:val="baseline"/>
    </w:rPr>
  </w:style>
  <w:style w:type="character" w:styleId="ListLabel85">
    <w:name w:val="ListLabel 85"/>
    <w:qFormat/>
    <w:rPr>
      <w:position w:val="0"/>
      <w:sz w:val="20"/>
      <w:sz w:val="20"/>
      <w:vertAlign w:val="baseline"/>
    </w:rPr>
  </w:style>
  <w:style w:type="character" w:styleId="ListLabel86">
    <w:name w:val="ListLabel 86"/>
    <w:qFormat/>
    <w:rPr>
      <w:position w:val="0"/>
      <w:sz w:val="20"/>
      <w:sz w:val="20"/>
      <w:vertAlign w:val="baseline"/>
    </w:rPr>
  </w:style>
  <w:style w:type="character" w:styleId="ListLabel87">
    <w:name w:val="ListLabel 87"/>
    <w:qFormat/>
    <w:rPr>
      <w:position w:val="0"/>
      <w:sz w:val="20"/>
      <w:sz w:val="20"/>
      <w:vertAlign w:val="baseline"/>
    </w:rPr>
  </w:style>
  <w:style w:type="character" w:styleId="ListLabel88">
    <w:name w:val="ListLabel 88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89">
    <w:name w:val="ListLabel 89"/>
    <w:qFormat/>
    <w:rPr>
      <w:position w:val="0"/>
      <w:sz w:val="20"/>
      <w:sz w:val="20"/>
      <w:vertAlign w:val="baseline"/>
    </w:rPr>
  </w:style>
  <w:style w:type="character" w:styleId="ListLabel90">
    <w:name w:val="ListLabel 90"/>
    <w:qFormat/>
    <w:rPr>
      <w:position w:val="0"/>
      <w:sz w:val="20"/>
      <w:sz w:val="20"/>
      <w:vertAlign w:val="baseline"/>
    </w:rPr>
  </w:style>
  <w:style w:type="character" w:styleId="ListLabel91">
    <w:name w:val="ListLabel 91"/>
    <w:qFormat/>
    <w:rPr>
      <w:position w:val="0"/>
      <w:sz w:val="20"/>
      <w:sz w:val="20"/>
      <w:vertAlign w:val="baseline"/>
    </w:rPr>
  </w:style>
  <w:style w:type="character" w:styleId="ListLabel92">
    <w:name w:val="ListLabel 92"/>
    <w:qFormat/>
    <w:rPr>
      <w:position w:val="0"/>
      <w:sz w:val="20"/>
      <w:sz w:val="20"/>
      <w:vertAlign w:val="baseline"/>
    </w:rPr>
  </w:style>
  <w:style w:type="character" w:styleId="ListLabel93">
    <w:name w:val="ListLabel 93"/>
    <w:qFormat/>
    <w:rPr>
      <w:position w:val="0"/>
      <w:sz w:val="20"/>
      <w:sz w:val="20"/>
      <w:vertAlign w:val="baseline"/>
    </w:rPr>
  </w:style>
  <w:style w:type="character" w:styleId="ListLabel94">
    <w:name w:val="ListLabel 94"/>
    <w:qFormat/>
    <w:rPr>
      <w:position w:val="0"/>
      <w:sz w:val="20"/>
      <w:sz w:val="20"/>
      <w:vertAlign w:val="baseline"/>
    </w:rPr>
  </w:style>
  <w:style w:type="character" w:styleId="ListLabel95">
    <w:name w:val="ListLabel 95"/>
    <w:qFormat/>
    <w:rPr>
      <w:position w:val="0"/>
      <w:sz w:val="20"/>
      <w:sz w:val="20"/>
      <w:vertAlign w:val="baseline"/>
    </w:rPr>
  </w:style>
  <w:style w:type="character" w:styleId="ListLabel96">
    <w:name w:val="ListLabel 96"/>
    <w:qFormat/>
    <w:rPr>
      <w:position w:val="0"/>
      <w:sz w:val="20"/>
      <w:sz w:val="20"/>
      <w:vertAlign w:val="baseline"/>
    </w:rPr>
  </w:style>
  <w:style w:type="character" w:styleId="ListLabel97">
    <w:name w:val="ListLabel 97"/>
    <w:qFormat/>
    <w:rPr>
      <w:rFonts w:ascii="Arial" w:hAnsi="Arial"/>
      <w:b w:val="false"/>
      <w:sz w:val="22"/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rFonts w:eastAsia="Arial" w:cs="Arial"/>
      <w:b/>
      <w:i w:val="false"/>
      <w:position w:val="0"/>
      <w:sz w:val="22"/>
      <w:sz w:val="22"/>
      <w:szCs w:val="20"/>
      <w:u w:val="none"/>
      <w:vertAlign w:val="baseli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  <w:lang w:val="cs-CZ" w:eastAsia="zh-CN" w:bidi="hi-IN"/>
    </w:rPr>
  </w:style>
  <w:style w:type="paragraph" w:styleId="Nzev">
    <w:name w:val="Title"/>
    <w:basedOn w:val="LOnormal"/>
    <w:next w:val="Normal"/>
    <w:qFormat/>
    <w:pPr>
      <w:keepNext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LOnormal"/>
    <w:next w:val="Normal"/>
    <w:qFormat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spreadsheets/d/1pKGf0_GXpmgUKohpTABFLQMlk8w7wp7rSst2yOQ6qA0/edit?usp=sharing" TargetMode="External"/><Relationship Id="rId3" Type="http://schemas.openxmlformats.org/officeDocument/2006/relationships/hyperlink" Target="https://confluence.tritius.cz/pages/viewpage.action?pageId=72353371" TargetMode="External"/><Relationship Id="rId4" Type="http://schemas.openxmlformats.org/officeDocument/2006/relationships/hyperlink" Target="https://confluence.tritius.cz/pages/viewpage.action?pageId=76481367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LibreOffice/5.2.3.3$Windows_X86_64 LibreOffice_project/d54a8868f08a7b39642414cf2c8ef2f228f780cf</Application>
  <Pages>7</Pages>
  <Words>1106</Words>
  <Characters>6553</Characters>
  <CharactersWithSpaces>7608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2017-05-18T09:52:13Z</cp:lastPrinted>
  <dcterms:modified xsi:type="dcterms:W3CDTF">2017-06-01T09:16:00Z</dcterms:modified>
  <cp:revision>2</cp:revision>
  <dc:subject/>
  <dc:title/>
</cp:coreProperties>
</file>