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690B" w14:textId="77777777" w:rsidR="004B22F4" w:rsidRDefault="004F488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35D260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4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3F48BA5" w14:textId="77777777" w:rsidR="004B22F4" w:rsidRDefault="004B22F4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62D5B894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 id="Picture 2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C16ED04" wp14:editId="568F97D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84E93CB" w14:textId="77777777" w:rsidR="004B22F4" w:rsidRDefault="004F488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MZE-7185/2023-12121</w:t>
                            </w:r>
                          </w:p>
                          <w:p w14:paraId="3988B44E" w14:textId="77777777" w:rsidR="004B22F4" w:rsidRDefault="004F48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2064D" wp14:editId="56C86B5F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79DAD8" w14:textId="77777777" w:rsidR="004B22F4" w:rsidRDefault="004F488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mzedms025459226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MZE-7185/2023-12121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mzedms025459226</w:t>
                      </w:r>
                    </w:p>
                  </w:txbxContent>
                </v:textbox>
              </v:shape>
            </w:pict>
          </mc:Fallback>
        </mc:AlternateContent>
      </w:r>
    </w:p>
    <w:p w14:paraId="3067CCC6" w14:textId="77777777" w:rsidR="004B22F4" w:rsidRDefault="004F488B">
      <w:pPr>
        <w:rPr>
          <w:szCs w:val="22"/>
        </w:rPr>
      </w:pPr>
      <w:r>
        <w:rPr>
          <w:szCs w:val="22"/>
        </w:rPr>
        <w:t xml:space="preserve"> </w:t>
      </w:r>
    </w:p>
    <w:p w14:paraId="1927927C" w14:textId="77777777" w:rsidR="004B22F4" w:rsidRDefault="004F488B">
      <w:pPr>
        <w:rPr>
          <w:szCs w:val="22"/>
        </w:rPr>
      </w:pPr>
      <w:r>
        <w:rPr>
          <w:szCs w:val="22"/>
        </w:rPr>
        <w:t xml:space="preserve"> </w:t>
      </w:r>
    </w:p>
    <w:p w14:paraId="1E2B6EA0" w14:textId="77777777" w:rsidR="004B22F4" w:rsidRDefault="004F488B">
      <w:pPr>
        <w:tabs>
          <w:tab w:val="left" w:pos="694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Z35820</w:t>
      </w:r>
    </w:p>
    <w:p w14:paraId="033F9FDC" w14:textId="77777777" w:rsidR="004B22F4" w:rsidRDefault="004B22F4">
      <w:pPr>
        <w:tabs>
          <w:tab w:val="left" w:pos="6946"/>
        </w:tabs>
        <w:jc w:val="center"/>
        <w:rPr>
          <w:b/>
          <w:caps/>
          <w:szCs w:val="22"/>
        </w:rPr>
      </w:pPr>
    </w:p>
    <w:p w14:paraId="3AE46316" w14:textId="77777777" w:rsidR="004B22F4" w:rsidRDefault="004B22F4">
      <w:pPr>
        <w:jc w:val="center"/>
        <w:rPr>
          <w:b/>
          <w:caps/>
          <w:szCs w:val="22"/>
        </w:rPr>
      </w:pPr>
    </w:p>
    <w:p w14:paraId="66BA0441" w14:textId="77777777" w:rsidR="004B22F4" w:rsidRDefault="004F488B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09422A7A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22F4" w14:paraId="536FC8CF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643D45" w14:textId="77777777" w:rsidR="004B22F4" w:rsidRDefault="004F488B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28F6DB1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728</w:t>
            </w:r>
          </w:p>
        </w:tc>
      </w:tr>
    </w:tbl>
    <w:p w14:paraId="02779F2C" w14:textId="77777777" w:rsidR="004B22F4" w:rsidRDefault="004B22F4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20"/>
        <w:gridCol w:w="3383"/>
        <w:gridCol w:w="1423"/>
      </w:tblGrid>
      <w:tr w:rsidR="004B22F4" w14:paraId="6DAEA385" w14:textId="77777777"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2209AA" w14:textId="77777777" w:rsidR="004B22F4" w:rsidRDefault="004F488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794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D99ED2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Zpracování </w:t>
            </w:r>
            <w:r>
              <w:rPr>
                <w:b/>
                <w:szCs w:val="22"/>
              </w:rPr>
              <w:t>kompromitovaných AIFO</w:t>
            </w:r>
          </w:p>
        </w:tc>
      </w:tr>
      <w:tr w:rsidR="004B22F4" w14:paraId="7C352F7D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C41F39" w14:textId="77777777" w:rsidR="004B22F4" w:rsidRDefault="004F488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3-01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01EEBBEE" w14:textId="77777777" w:rsidR="004B22F4" w:rsidRDefault="004F488B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25.1.2023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EAC545B" w14:textId="77777777" w:rsidR="004B22F4" w:rsidRDefault="004F488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3-03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42CF80E" w14:textId="77777777" w:rsidR="004B22F4" w:rsidRDefault="004F488B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31.3.2023</w:t>
                </w:r>
              </w:p>
            </w:tc>
          </w:sdtContent>
        </w:sdt>
      </w:tr>
    </w:tbl>
    <w:p w14:paraId="1F6BB8BC" w14:textId="77777777" w:rsidR="004B22F4" w:rsidRDefault="004B22F4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4B22F4" w14:paraId="610A2B66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9AD48D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8D8C6F2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F54DB59" w14:textId="77777777" w:rsidR="004B22F4" w:rsidRDefault="004F488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FE752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E2FD693" w14:textId="77777777" w:rsidR="004B22F4" w:rsidRDefault="004B22F4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4B22F4" w14:paraId="0D232E15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479C2B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</w:t>
            </w:r>
            <w:r>
              <w:rPr>
                <w:szCs w:val="22"/>
              </w:rPr>
              <w:t>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123F0480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69C651D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DFCF5F" w14:textId="77777777" w:rsidR="004B22F4" w:rsidRDefault="004F488B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SZR</w:t>
            </w:r>
          </w:p>
        </w:tc>
      </w:tr>
      <w:tr w:rsidR="004B22F4" w14:paraId="34A9D362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9AB8272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63B80656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25D7F08E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8342CDC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22F4" w14:paraId="652A4083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1F19CF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E2E17C8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53179E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DD892" w14:textId="77777777" w:rsidR="004B22F4" w:rsidRDefault="004F488B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F9DBE0" w14:textId="77777777" w:rsidR="004B22F4" w:rsidRDefault="004B22F4">
      <w:pPr>
        <w:rPr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126"/>
        <w:gridCol w:w="1276"/>
        <w:gridCol w:w="1275"/>
        <w:gridCol w:w="2552"/>
      </w:tblGrid>
      <w:tr w:rsidR="004B22F4" w14:paraId="02BEB8DF" w14:textId="77777777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74E4A3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7406E7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97C8C" w14:textId="77777777" w:rsidR="004B22F4" w:rsidRDefault="004F488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BDC47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E6C55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4B22F4" w14:paraId="2AD0552D" w14:textId="77777777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69C6FB21" w14:textId="77777777" w:rsidR="004B22F4" w:rsidRDefault="004B22F4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119D2312" w14:textId="77777777" w:rsidR="004B22F4" w:rsidRDefault="004B22F4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4571A3E" w14:textId="77777777" w:rsidR="004B22F4" w:rsidRDefault="004B22F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2C9698E9" w14:textId="77777777" w:rsidR="004B22F4" w:rsidRDefault="004B22F4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874FB10" w14:textId="77777777" w:rsidR="004B22F4" w:rsidRDefault="004B22F4">
            <w:pPr>
              <w:pStyle w:val="Tabulka"/>
              <w:rPr>
                <w:sz w:val="20"/>
                <w:szCs w:val="20"/>
              </w:rPr>
            </w:pPr>
          </w:p>
        </w:tc>
      </w:tr>
      <w:tr w:rsidR="004B22F4" w14:paraId="4D495230" w14:textId="77777777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607A50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141162C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 Samková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8FC57EC" w14:textId="77777777" w:rsidR="004B22F4" w:rsidRDefault="004F488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10051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73C5CC94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221812227</w:t>
            </w: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462D6D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jarmila.samkova@mze.cz</w:t>
            </w:r>
          </w:p>
        </w:tc>
      </w:tr>
      <w:tr w:rsidR="004B22F4" w14:paraId="025CEB5C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0E2DFFF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garant:</w:t>
            </w:r>
          </w:p>
        </w:tc>
        <w:tc>
          <w:tcPr>
            <w:tcW w:w="2126" w:type="dxa"/>
            <w:vAlign w:val="center"/>
          </w:tcPr>
          <w:p w14:paraId="6AB7E3F8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 Samková</w:t>
            </w:r>
          </w:p>
        </w:tc>
        <w:tc>
          <w:tcPr>
            <w:tcW w:w="1276" w:type="dxa"/>
          </w:tcPr>
          <w:p w14:paraId="2BB192FC" w14:textId="77777777" w:rsidR="004B22F4" w:rsidRDefault="004F488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10051</w:t>
            </w:r>
          </w:p>
        </w:tc>
        <w:tc>
          <w:tcPr>
            <w:tcW w:w="1275" w:type="dxa"/>
            <w:vAlign w:val="center"/>
          </w:tcPr>
          <w:p w14:paraId="5660AAFB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221812227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558C4C6E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jarmila.samkova@mze.cz</w:t>
            </w:r>
          </w:p>
        </w:tc>
      </w:tr>
      <w:tr w:rsidR="004B22F4" w14:paraId="0269D63C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41BDE244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2126" w:type="dxa"/>
            <w:vAlign w:val="center"/>
          </w:tcPr>
          <w:p w14:paraId="2C9E2D3D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276" w:type="dxa"/>
            <w:vAlign w:val="center"/>
          </w:tcPr>
          <w:p w14:paraId="4B3A422B" w14:textId="77777777" w:rsidR="004B22F4" w:rsidRDefault="004F488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10051</w:t>
            </w:r>
          </w:p>
        </w:tc>
        <w:tc>
          <w:tcPr>
            <w:tcW w:w="1275" w:type="dxa"/>
            <w:vAlign w:val="center"/>
          </w:tcPr>
          <w:p w14:paraId="150950A1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221812342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166DE46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lenka.typoltova@mze.cz</w:t>
            </w:r>
          </w:p>
        </w:tc>
      </w:tr>
      <w:tr w:rsidR="004B22F4" w14:paraId="0E19D1A3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14C751E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2126" w:type="dxa"/>
            <w:vAlign w:val="center"/>
          </w:tcPr>
          <w:p w14:paraId="5D35D804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Krejčí</w:t>
            </w:r>
          </w:p>
        </w:tc>
        <w:tc>
          <w:tcPr>
            <w:tcW w:w="1276" w:type="dxa"/>
            <w:vAlign w:val="center"/>
          </w:tcPr>
          <w:p w14:paraId="75ACF34E" w14:textId="77777777" w:rsidR="004B22F4" w:rsidRDefault="004F488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</w:t>
            </w:r>
          </w:p>
        </w:tc>
        <w:tc>
          <w:tcPr>
            <w:tcW w:w="1275" w:type="dxa"/>
            <w:vAlign w:val="center"/>
          </w:tcPr>
          <w:p w14:paraId="06FF0015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221812149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7FB2EC22" w14:textId="77777777" w:rsidR="004B22F4" w:rsidRDefault="004F488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vaclav.krejci@mze.cz</w:t>
            </w:r>
          </w:p>
        </w:tc>
      </w:tr>
      <w:tr w:rsidR="004B22F4" w14:paraId="5EA8E416" w14:textId="77777777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0F8C024E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Poskytovatel/Dodavatel:</w:t>
            </w:r>
          </w:p>
        </w:tc>
        <w:tc>
          <w:tcPr>
            <w:tcW w:w="2126" w:type="dxa"/>
            <w:vAlign w:val="center"/>
          </w:tcPr>
          <w:p w14:paraId="094124A2" w14:textId="352707DF" w:rsidR="004B22F4" w:rsidRDefault="004F488B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6" w:type="dxa"/>
            <w:vAlign w:val="center"/>
          </w:tcPr>
          <w:p w14:paraId="23271A78" w14:textId="77777777" w:rsidR="004B22F4" w:rsidRDefault="004F488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2E2F293D" w14:textId="0D0A215C" w:rsidR="004B22F4" w:rsidRDefault="004F488B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24DD31D" w14:textId="3705A3B3" w:rsidR="004B22F4" w:rsidRDefault="004F488B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1043170E" w14:textId="77777777" w:rsidR="004B22F4" w:rsidRDefault="004B22F4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828"/>
        <w:gridCol w:w="850"/>
        <w:gridCol w:w="3544"/>
      </w:tblGrid>
      <w:tr w:rsidR="004B22F4" w14:paraId="38AC0299" w14:textId="77777777">
        <w:trPr>
          <w:trHeight w:val="397"/>
        </w:trPr>
        <w:tc>
          <w:tcPr>
            <w:tcW w:w="1681" w:type="dxa"/>
            <w:vAlign w:val="center"/>
          </w:tcPr>
          <w:p w14:paraId="78D83F9C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8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B0D4779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77BB3E9" w14:textId="77777777" w:rsidR="004B22F4" w:rsidRDefault="004F488B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3544" w:type="dxa"/>
            <w:vAlign w:val="center"/>
          </w:tcPr>
          <w:p w14:paraId="0FB1F260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 - 001</w:t>
            </w:r>
          </w:p>
        </w:tc>
      </w:tr>
    </w:tbl>
    <w:p w14:paraId="39EC8A7D" w14:textId="77777777" w:rsidR="004B22F4" w:rsidRDefault="004B22F4">
      <w:pPr>
        <w:rPr>
          <w:szCs w:val="22"/>
        </w:rPr>
      </w:pPr>
    </w:p>
    <w:p w14:paraId="4289AE42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Stručný popis a odůvodnění požadavku</w:t>
      </w:r>
    </w:p>
    <w:p w14:paraId="36EEF371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Popis požadavku</w:t>
      </w:r>
    </w:p>
    <w:p w14:paraId="07FE0B3F" w14:textId="77777777" w:rsidR="004B22F4" w:rsidRDefault="004F488B">
      <w:r>
        <w:t xml:space="preserve">Předmětem požadavku je </w:t>
      </w:r>
      <w:r>
        <w:t>rozšířit neveřejnou databázi Společný zemědělský registr (dále jen „SZR“) o zpracování kompromitovaných AIFO u subjektů evidovaných v SZR tak, aby nedocházelo k ukončení aktualizace dotčených subjektů vůči základním registrům.</w:t>
      </w:r>
    </w:p>
    <w:p w14:paraId="38023785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Odůvodnění požadované změny (</w:t>
      </w:r>
      <w:r>
        <w:t>změny právních předpisů, přínosy)</w:t>
      </w:r>
    </w:p>
    <w:p w14:paraId="4818B5AB" w14:textId="77777777" w:rsidR="004B22F4" w:rsidRDefault="004F488B">
      <w:pPr>
        <w:rPr>
          <w:iCs/>
          <w:szCs w:val="22"/>
        </w:rPr>
      </w:pPr>
      <w:r>
        <w:rPr>
          <w:iCs/>
        </w:rPr>
        <w:t xml:space="preserve">Jedná se o legislativní požadavek na základě zákona č. 111/2009 Sb., o základních registrech, </w:t>
      </w:r>
      <w:r>
        <w:rPr>
          <w:iCs/>
        </w:rPr>
        <w:br/>
        <w:t>ve znění pozdějších předpisů.</w:t>
      </w:r>
    </w:p>
    <w:p w14:paraId="76FE3E7B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</w:pPr>
      <w:r>
        <w:lastRenderedPageBreak/>
        <w:t>Rizika nerealizace</w:t>
      </w:r>
    </w:p>
    <w:p w14:paraId="12AFDAF7" w14:textId="77777777" w:rsidR="004B22F4" w:rsidRDefault="004F488B">
      <w:r>
        <w:t xml:space="preserve">Realizace požadavku je nezbytná z důvodu řešení situací, kdy AIFO </w:t>
      </w:r>
      <w:r>
        <w:t>subjektu je označeno jako neplatné, jakožto důsledek kompromitace AIFO, spojením nebo rozdělení osob, případně změnou algoritmu generování AIFO.</w:t>
      </w:r>
    </w:p>
    <w:p w14:paraId="7F6FE6F4" w14:textId="77777777" w:rsidR="004B22F4" w:rsidRDefault="004B22F4"/>
    <w:p w14:paraId="02FC2BCF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Podrobný popis požadavku</w:t>
      </w:r>
    </w:p>
    <w:p w14:paraId="1F295FC5" w14:textId="77777777" w:rsidR="004B22F4" w:rsidRDefault="004F488B">
      <w:r>
        <w:t>Implementace požadavku bude rozdělena na úpravu administrátorské aplikace a na vytvoř</w:t>
      </w:r>
      <w:r>
        <w:t>ení nového automatického procesu pro zpracování neplatných AIFO.</w:t>
      </w:r>
    </w:p>
    <w:p w14:paraId="114BCB8F" w14:textId="77777777" w:rsidR="004B22F4" w:rsidRDefault="004F488B">
      <w:r>
        <w:t>Současně budou do služby SZR_SUI01C implementovány nové verze služeb ROB.</w:t>
      </w:r>
    </w:p>
    <w:p w14:paraId="23CCDFE7" w14:textId="77777777" w:rsidR="004B22F4" w:rsidRDefault="004F488B">
      <w:r>
        <w:t>Veškeré změny zpracování AIFO budou realizovány pro agendu A944 a AIS 155.</w:t>
      </w:r>
    </w:p>
    <w:p w14:paraId="05B6682E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Nový automatický proces pro zpracování nep</w:t>
      </w:r>
      <w:r>
        <w:t>latných AIFO</w:t>
      </w:r>
    </w:p>
    <w:p w14:paraId="41C75639" w14:textId="77777777" w:rsidR="004B22F4" w:rsidRDefault="004F488B">
      <w:pPr>
        <w:spacing w:before="240"/>
      </w:pPr>
      <w:r>
        <w:t xml:space="preserve">Informace o zneplatnění AIFO a podklady pro vyřešení této situace se promítají do výsledků eGON služby orgCtiZmenyAIFO. Pomocí této služby může AIS získat informace o neplatných AIFO </w:t>
      </w:r>
      <w:r>
        <w:br/>
        <w:t>ve své evidenci a o nových AIFO, která je nahrazují. Tyto i</w:t>
      </w:r>
      <w:r>
        <w:t>nformace získává v podobě orientovaného grafu (seznam dvojic původní AIFO – nové AIFO). Výsledkem volání této služby jsou nová AIFO považována za použitá v AIS.</w:t>
      </w:r>
    </w:p>
    <w:p w14:paraId="17439450" w14:textId="77777777" w:rsidR="004B22F4" w:rsidRDefault="004F488B">
      <w:pPr>
        <w:spacing w:before="240"/>
      </w:pPr>
      <w:r>
        <w:t>Pro detailnější informace může dále AIS využít funkce:</w:t>
      </w:r>
    </w:p>
    <w:p w14:paraId="169D7F1B" w14:textId="77777777" w:rsidR="004B22F4" w:rsidRDefault="004F488B">
      <w:pPr>
        <w:pStyle w:val="Odstavecseseznamem"/>
        <w:numPr>
          <w:ilvl w:val="0"/>
          <w:numId w:val="35"/>
        </w:numPr>
        <w:tabs>
          <w:tab w:val="left" w:pos="709"/>
          <w:tab w:val="left" w:pos="2977"/>
        </w:tabs>
        <w:ind w:left="2977" w:hanging="2617"/>
        <w:jc w:val="both"/>
      </w:pPr>
      <w:r>
        <w:t>orgZkontrolujAIFO –</w:t>
      </w:r>
      <w:r>
        <w:tab/>
      </w:r>
      <w:r>
        <w:rPr>
          <w:rFonts w:cs="Arial"/>
        </w:rPr>
        <w:t>slouží pro kontrolu,</w:t>
      </w:r>
      <w:r>
        <w:rPr>
          <w:rFonts w:cs="Arial"/>
        </w:rPr>
        <w:t xml:space="preserve"> zda je AIFO aktuální, nebo ne. Pokud není AIFO aktuální,</w:t>
      </w:r>
      <w:r>
        <w:t xml:space="preserve"> vrací důvod jeho zrušení</w:t>
      </w:r>
    </w:p>
    <w:p w14:paraId="3321F192" w14:textId="77777777" w:rsidR="004B22F4" w:rsidRDefault="004F488B">
      <w:pPr>
        <w:pStyle w:val="Odstavecseseznamem"/>
        <w:numPr>
          <w:ilvl w:val="0"/>
          <w:numId w:val="35"/>
        </w:numPr>
        <w:tabs>
          <w:tab w:val="left" w:pos="709"/>
          <w:tab w:val="left" w:pos="2977"/>
        </w:tabs>
        <w:ind w:left="2977" w:hanging="2617"/>
        <w:jc w:val="both"/>
        <w:rPr>
          <w:rFonts w:cs="Arial"/>
        </w:rPr>
      </w:pPr>
      <w:r>
        <w:rPr>
          <w:rFonts w:cs="Arial"/>
        </w:rPr>
        <w:t>orgRodokmenAIFO –</w:t>
      </w:r>
      <w:r>
        <w:rPr>
          <w:rFonts w:cs="Arial"/>
        </w:rPr>
        <w:tab/>
        <w:t>vrací seznam dvojic původní AIFO – nové AIFO (nebude využito v automatickém procesu)</w:t>
      </w:r>
    </w:p>
    <w:p w14:paraId="383D41CF" w14:textId="77777777" w:rsidR="004B22F4" w:rsidRDefault="004F488B">
      <w:pPr>
        <w:pStyle w:val="Odstavecseseznamem"/>
        <w:numPr>
          <w:ilvl w:val="0"/>
          <w:numId w:val="35"/>
        </w:numPr>
        <w:tabs>
          <w:tab w:val="left" w:pos="709"/>
          <w:tab w:val="left" w:pos="2977"/>
        </w:tabs>
        <w:ind w:left="2977" w:hanging="2617"/>
        <w:jc w:val="both"/>
      </w:pPr>
      <w:r>
        <w:rPr>
          <w:rFonts w:cs="Arial"/>
        </w:rPr>
        <w:t>orgPred</w:t>
      </w:r>
      <w:r>
        <w:t>chudciAIFO –</w:t>
      </w:r>
      <w:r>
        <w:tab/>
        <w:t xml:space="preserve">vrací seznam předchůdců AIFO (nebude </w:t>
      </w:r>
      <w:r>
        <w:t>využito)</w:t>
      </w:r>
    </w:p>
    <w:p w14:paraId="21127EE3" w14:textId="77777777" w:rsidR="004B22F4" w:rsidRDefault="004F488B">
      <w:pPr>
        <w:spacing w:before="240"/>
      </w:pPr>
      <w:r>
        <w:t>Implementace automatického procesu nahrazení neplatného AIFO bude postavena na volání asynchronní služby orgCtiZmenyAIFO a synchronních služeb orgCtiDavkuAIFO a orgZkontrolujAIFO.</w:t>
      </w:r>
    </w:p>
    <w:p w14:paraId="5D9A9864" w14:textId="77777777" w:rsidR="004B22F4" w:rsidRDefault="004F488B">
      <w:pPr>
        <w:spacing w:before="240"/>
      </w:pPr>
      <w:r>
        <w:t>Nový automatický proces bude spouštěn v nočních hodinách. Z předané</w:t>
      </w:r>
      <w:r>
        <w:t xml:space="preserve">ho seznamu neplatných AIFO, které získá voláním služby orgCtiZmenyAIFO za předchozí období, vyhodnotí, zda neplatné AIFO existuje v tabulce D_EXID a pokud ano, tak zda je v odpovědi služby orgCtiZmenyAIFO právě jedno nové AIFO. Toto nové AIFO bude ověřeno </w:t>
      </w:r>
      <w:r>
        <w:t xml:space="preserve">voláním služby orgZkontrolujAIFO. Pokud bude nové AIFO platné, tak neplatné AIFO bude uloženo do historie, nové AIFO bude uloženo </w:t>
      </w:r>
      <w:r>
        <w:br/>
        <w:t xml:space="preserve">do aktuálních dat tabulky D_EXID a do událostí subjektu bude uložena informace o změně AIFO aktualizačním procesem. Následně </w:t>
      </w:r>
      <w:r>
        <w:t>bude subjekt zařazen do fronty pro aktualizaci službou SZR_SUI01C.</w:t>
      </w:r>
    </w:p>
    <w:p w14:paraId="0ED50A93" w14:textId="77777777" w:rsidR="004B22F4" w:rsidRDefault="004F488B">
      <w:pPr>
        <w:spacing w:before="240"/>
      </w:pPr>
      <w:r>
        <w:t>Pro zvýšení kontroly správnosti dat bude do služby SZR_SUI01C přidána kontrola na shodu data narození subjektu z SZR s daty vrácenými z registrů ROB, AISEO případně AISC.</w:t>
      </w:r>
    </w:p>
    <w:p w14:paraId="1E035F81" w14:textId="77777777" w:rsidR="004B22F4" w:rsidRDefault="004F488B">
      <w:pPr>
        <w:spacing w:before="240"/>
      </w:pPr>
      <w:r>
        <w:t>V případě, že nepl</w:t>
      </w:r>
      <w:r>
        <w:t>atné AIFO existuje v tabulce D_EXID, ale v odpovědi služby orgCtiZmenyAIFO bude víc jak jedno AIFO, bude subjekt zařazen do chybovníku s odpovědí, kterou získá ze služby orgZkontrolujAIFO.</w:t>
      </w:r>
    </w:p>
    <w:p w14:paraId="027390E3" w14:textId="77777777" w:rsidR="004B22F4" w:rsidRDefault="004F488B">
      <w:pPr>
        <w:spacing w:before="240"/>
      </w:pPr>
      <w:r>
        <w:t>Služba orgCtiDavkuAIFO umožňuje získat v pořadí druhou dávku a dalš</w:t>
      </w:r>
      <w:r>
        <w:t>í dávky v pořadí v rámci vytvořené série dávek AIFO službou orgCtiZmenyAIFO.</w:t>
      </w:r>
    </w:p>
    <w:p w14:paraId="268A10B6" w14:textId="77777777" w:rsidR="004B22F4" w:rsidRDefault="004F488B">
      <w:pPr>
        <w:spacing w:before="240"/>
      </w:pPr>
      <w:r>
        <w:t xml:space="preserve">Stávající aktualizační automatický proces zajišťující aktualizaci subjektů SZR na ZR (robot SubjectZrActualizator) bude upraven tak aby v případě, že v odpovědi služby robCtiZmeny bude </w:t>
      </w:r>
      <w:r>
        <w:br/>
        <w:t xml:space="preserve">u AIFO existujícího v tabulce D_EXID uvedena hodnota atributu </w:t>
      </w:r>
      <w:r>
        <w:rPr>
          <w:i/>
          <w:iCs/>
          <w:color w:val="990000"/>
        </w:rPr>
        <w:t>stavOver</w:t>
      </w:r>
      <w:r>
        <w:rPr>
          <w:i/>
          <w:iCs/>
          <w:color w:val="990000"/>
        </w:rPr>
        <w:t xml:space="preserve">eniAifo="false“, </w:t>
      </w:r>
      <w:r>
        <w:t xml:space="preserve">bude </w:t>
      </w:r>
      <w:r>
        <w:br/>
        <w:t>pro uvedené AIFO implementován stejný postup jako pro neplatné AIFO vrácené službou orgCtiZmenyAIFO.</w:t>
      </w:r>
    </w:p>
    <w:p w14:paraId="19AFCB19" w14:textId="77777777" w:rsidR="004B22F4" w:rsidRDefault="004F488B">
      <w:pPr>
        <w:spacing w:before="240"/>
      </w:pPr>
      <w:r>
        <w:t>O způsob řešení subjektů zařazení do chybovníku rozhodne administrátor SZR.</w:t>
      </w:r>
    </w:p>
    <w:p w14:paraId="080F3250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lastRenderedPageBreak/>
        <w:t>Rozšíření administrátorské aplikace pro podporu řešení n</w:t>
      </w:r>
      <w:r>
        <w:t>eplatných AIFO</w:t>
      </w:r>
    </w:p>
    <w:p w14:paraId="4A09CB54" w14:textId="77777777" w:rsidR="004B22F4" w:rsidRDefault="004F488B">
      <w:pPr>
        <w:spacing w:before="240"/>
      </w:pPr>
      <w:r>
        <w:t>Administrátor pro podporu řešení neplatných AIFO bude mít k dispozici službu orgZkontrolujAIFO. Vstupem do služby bude buď AIFO uložené v SZR tabulce D_EXID, případně možnost manuálního zadání AIFO. Výstup služby poskytne administrátorovi in</w:t>
      </w:r>
      <w:r>
        <w:t>formaci o stavu AIFO v SZR, který může nabývat hodnot: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4B22F4" w14:paraId="4E083732" w14:textId="77777777">
        <w:tc>
          <w:tcPr>
            <w:tcW w:w="3162" w:type="dxa"/>
            <w:vAlign w:val="center"/>
          </w:tcPr>
          <w:p w14:paraId="74CA2C0E" w14:textId="77777777" w:rsidR="004B22F4" w:rsidRDefault="004F488B">
            <w:pPr>
              <w:rPr>
                <w:b/>
                <w:bCs/>
              </w:rPr>
            </w:pPr>
            <w:r>
              <w:rPr>
                <w:b/>
                <w:bCs/>
              </w:rPr>
              <w:t>Situace</w:t>
            </w:r>
          </w:p>
        </w:tc>
        <w:tc>
          <w:tcPr>
            <w:tcW w:w="3162" w:type="dxa"/>
            <w:vAlign w:val="center"/>
          </w:tcPr>
          <w:p w14:paraId="0B090D6D" w14:textId="77777777" w:rsidR="004B22F4" w:rsidRDefault="004F488B">
            <w:pPr>
              <w:rPr>
                <w:b/>
                <w:bCs/>
              </w:rPr>
            </w:pPr>
            <w:r>
              <w:rPr>
                <w:b/>
                <w:bCs/>
              </w:rPr>
              <w:t>VysledekSubKod</w:t>
            </w:r>
          </w:p>
        </w:tc>
        <w:tc>
          <w:tcPr>
            <w:tcW w:w="3162" w:type="dxa"/>
            <w:vAlign w:val="center"/>
          </w:tcPr>
          <w:p w14:paraId="7554B748" w14:textId="77777777" w:rsidR="004B22F4" w:rsidRDefault="004F488B">
            <w:pPr>
              <w:rPr>
                <w:b/>
                <w:bCs/>
              </w:rPr>
            </w:pPr>
            <w:r>
              <w:rPr>
                <w:b/>
                <w:bCs/>
              </w:rPr>
              <w:t>OrgAifoStatusDetail</w:t>
            </w:r>
          </w:p>
        </w:tc>
      </w:tr>
      <w:tr w:rsidR="004B22F4" w14:paraId="44569279" w14:textId="77777777">
        <w:tc>
          <w:tcPr>
            <w:tcW w:w="3162" w:type="dxa"/>
            <w:vAlign w:val="center"/>
          </w:tcPr>
          <w:p w14:paraId="2C3A64B0" w14:textId="77777777" w:rsidR="004B22F4" w:rsidRDefault="004F488B">
            <w:r>
              <w:t>Neexistující vstupní AIFO</w:t>
            </w:r>
          </w:p>
        </w:tc>
        <w:tc>
          <w:tcPr>
            <w:tcW w:w="3162" w:type="dxa"/>
            <w:vAlign w:val="center"/>
          </w:tcPr>
          <w:p w14:paraId="57358083" w14:textId="77777777" w:rsidR="004B22F4" w:rsidRDefault="004F488B">
            <w:r>
              <w:t>AIFO NEEXISTUJE</w:t>
            </w:r>
          </w:p>
        </w:tc>
        <w:tc>
          <w:tcPr>
            <w:tcW w:w="3162" w:type="dxa"/>
            <w:vAlign w:val="center"/>
          </w:tcPr>
          <w:p w14:paraId="3A9013DB" w14:textId="77777777" w:rsidR="004B22F4" w:rsidRDefault="004F488B">
            <w:r>
              <w:t>AIFO NENALEZENO</w:t>
            </w:r>
          </w:p>
        </w:tc>
      </w:tr>
      <w:tr w:rsidR="004B22F4" w14:paraId="5649B557" w14:textId="77777777">
        <w:tc>
          <w:tcPr>
            <w:tcW w:w="3162" w:type="dxa"/>
            <w:vAlign w:val="center"/>
          </w:tcPr>
          <w:p w14:paraId="483E0499" w14:textId="77777777" w:rsidR="004B22F4" w:rsidRDefault="004F488B">
            <w:r>
              <w:t>Kontrola spojeného AIFO</w:t>
            </w:r>
          </w:p>
        </w:tc>
        <w:tc>
          <w:tcPr>
            <w:tcW w:w="3162" w:type="dxa"/>
            <w:vAlign w:val="center"/>
          </w:tcPr>
          <w:p w14:paraId="0E4336DB" w14:textId="77777777" w:rsidR="004B22F4" w:rsidRDefault="004F488B">
            <w:r>
              <w:t>AIFO NEEXISTUJE</w:t>
            </w:r>
          </w:p>
        </w:tc>
        <w:tc>
          <w:tcPr>
            <w:tcW w:w="3162" w:type="dxa"/>
            <w:vAlign w:val="center"/>
          </w:tcPr>
          <w:p w14:paraId="439C17CC" w14:textId="77777777" w:rsidR="004B22F4" w:rsidRDefault="004F488B">
            <w:r>
              <w:t>OSOBA SPOJENA</w:t>
            </w:r>
          </w:p>
        </w:tc>
      </w:tr>
      <w:tr w:rsidR="004B22F4" w14:paraId="4BD5CC5F" w14:textId="77777777">
        <w:tc>
          <w:tcPr>
            <w:tcW w:w="3162" w:type="dxa"/>
            <w:vAlign w:val="center"/>
          </w:tcPr>
          <w:p w14:paraId="64BEA857" w14:textId="77777777" w:rsidR="004B22F4" w:rsidRDefault="004F488B">
            <w:r>
              <w:t>Kontrola rozděleného AIFO</w:t>
            </w:r>
          </w:p>
        </w:tc>
        <w:tc>
          <w:tcPr>
            <w:tcW w:w="3162" w:type="dxa"/>
            <w:vAlign w:val="center"/>
          </w:tcPr>
          <w:p w14:paraId="014CF45D" w14:textId="77777777" w:rsidR="004B22F4" w:rsidRDefault="004F488B">
            <w:r>
              <w:t>AIFO NEEXISTUJE</w:t>
            </w:r>
          </w:p>
        </w:tc>
        <w:tc>
          <w:tcPr>
            <w:tcW w:w="3162" w:type="dxa"/>
            <w:vAlign w:val="center"/>
          </w:tcPr>
          <w:p w14:paraId="004756B3" w14:textId="77777777" w:rsidR="004B22F4" w:rsidRDefault="004F488B">
            <w:r>
              <w:t>O</w:t>
            </w:r>
            <w:r>
              <w:t>SOBA ROZDELENA</w:t>
            </w:r>
          </w:p>
        </w:tc>
      </w:tr>
      <w:tr w:rsidR="004B22F4" w14:paraId="3DEA003E" w14:textId="77777777">
        <w:tc>
          <w:tcPr>
            <w:tcW w:w="3162" w:type="dxa"/>
            <w:vAlign w:val="center"/>
          </w:tcPr>
          <w:p w14:paraId="640E3874" w14:textId="77777777" w:rsidR="004B22F4" w:rsidRDefault="004F488B">
            <w:r>
              <w:t>Zrušené AIFO na vstupu</w:t>
            </w:r>
          </w:p>
        </w:tc>
        <w:tc>
          <w:tcPr>
            <w:tcW w:w="3162" w:type="dxa"/>
            <w:vAlign w:val="center"/>
          </w:tcPr>
          <w:p w14:paraId="1098A9B6" w14:textId="77777777" w:rsidR="004B22F4" w:rsidRDefault="004F488B">
            <w:r>
              <w:t>AIFO NEEXISTUJE</w:t>
            </w:r>
          </w:p>
        </w:tc>
        <w:tc>
          <w:tcPr>
            <w:tcW w:w="3162" w:type="dxa"/>
            <w:vAlign w:val="center"/>
          </w:tcPr>
          <w:p w14:paraId="4BB3705A" w14:textId="77777777" w:rsidR="004B22F4" w:rsidRDefault="004F488B">
            <w:r>
              <w:t>AIFO NENALEZENO</w:t>
            </w:r>
          </w:p>
        </w:tc>
      </w:tr>
      <w:tr w:rsidR="004B22F4" w14:paraId="15DE188E" w14:textId="77777777">
        <w:tc>
          <w:tcPr>
            <w:tcW w:w="3162" w:type="dxa"/>
            <w:vAlign w:val="center"/>
          </w:tcPr>
          <w:p w14:paraId="5518124E" w14:textId="77777777" w:rsidR="004B22F4" w:rsidRDefault="004F488B">
            <w:pPr>
              <w:jc w:val="left"/>
            </w:pPr>
            <w:r>
              <w:t>Kompromitované AIFO na vstupu</w:t>
            </w:r>
          </w:p>
        </w:tc>
        <w:tc>
          <w:tcPr>
            <w:tcW w:w="3162" w:type="dxa"/>
            <w:vAlign w:val="center"/>
          </w:tcPr>
          <w:p w14:paraId="178314A1" w14:textId="77777777" w:rsidR="004B22F4" w:rsidRDefault="004F488B">
            <w:r>
              <w:t>AIFO NEEXISTUJE</w:t>
            </w:r>
          </w:p>
        </w:tc>
        <w:tc>
          <w:tcPr>
            <w:tcW w:w="3162" w:type="dxa"/>
            <w:vAlign w:val="center"/>
          </w:tcPr>
          <w:p w14:paraId="1ABB133F" w14:textId="77777777" w:rsidR="004B22F4" w:rsidRDefault="004F488B">
            <w:r>
              <w:t>AIFO KOMPROMITOVANO</w:t>
            </w:r>
          </w:p>
        </w:tc>
      </w:tr>
    </w:tbl>
    <w:p w14:paraId="0460A9B3" w14:textId="77777777" w:rsidR="004B22F4" w:rsidRDefault="004B22F4"/>
    <w:p w14:paraId="0B5AEEA7" w14:textId="77777777" w:rsidR="004B22F4" w:rsidRDefault="004F488B">
      <w:r>
        <w:t xml:space="preserve">Pro získání nového AIFO bude v administrátorské aplikaci SZR implementována i služba </w:t>
      </w:r>
      <w:r>
        <w:t>orgRodokmenAIFO, která poskytne administrátorovi informaci o nových, případně předcházejících AIFO.</w:t>
      </w:r>
    </w:p>
    <w:p w14:paraId="3A82401B" w14:textId="77777777" w:rsidR="004B22F4" w:rsidRDefault="004F488B">
      <w:pPr>
        <w:spacing w:before="240"/>
      </w:pPr>
      <w:r>
        <w:t>Pro porovnání referenčních údajů neplatného a nového AIFO bude v administrátorské aplikaci nový formulář, který porovná referenční údaje v SZR s novými údaj</w:t>
      </w:r>
      <w:r>
        <w:t xml:space="preserve">i v ZR pro zadané nové </w:t>
      </w:r>
      <w:r>
        <w:br/>
        <w:t>i neplatné AIFO voláním služby RobCtiAifo2. Pro lepší orientaci budou rozdíly barevně odlišeny.</w:t>
      </w:r>
    </w:p>
    <w:p w14:paraId="31E21191" w14:textId="77777777" w:rsidR="004B22F4" w:rsidRDefault="004F488B">
      <w:pPr>
        <w:spacing w:before="240"/>
      </w:pPr>
      <w:r>
        <w:t>V případě, kdy dojde k situaci rozdělení AIFO, měl by administrátor řešit situaci s agendami MZe, které mají v tabulce externích identif</w:t>
      </w:r>
      <w:r>
        <w:t>ikátorů uvedený svůj exid.</w:t>
      </w:r>
    </w:p>
    <w:p w14:paraId="48C8C5A3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Nové verze služeb ROB ve službě SZR_SUI01C</w:t>
      </w:r>
    </w:p>
    <w:p w14:paraId="5952CF83" w14:textId="77777777" w:rsidR="004B22F4" w:rsidRDefault="004F488B">
      <w:pPr>
        <w:spacing w:before="240"/>
      </w:pPr>
      <w:r>
        <w:t>Registr ROB publikoval k 1.1.2022 novou verzi služeb RobCtiAifo2 a RobCtiPodleUdaju2. Z důvodu úpravy služby SZR_SUI01C bude proveden přechod na nové verze služeb ROB. Případné využití n</w:t>
      </w:r>
      <w:r>
        <w:t>ových údajů (kontakty) z nových verzí služeb ROB bude řešeno samostatným PZ.</w:t>
      </w:r>
    </w:p>
    <w:p w14:paraId="58EFB180" w14:textId="77777777" w:rsidR="004B22F4" w:rsidRDefault="004B22F4"/>
    <w:p w14:paraId="7E795E54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Dopady na IS MZe</w:t>
      </w:r>
    </w:p>
    <w:p w14:paraId="1124ACC3" w14:textId="77777777" w:rsidR="004B22F4" w:rsidRDefault="004F488B">
      <w:pPr>
        <w:rPr>
          <w:sz w:val="16"/>
          <w:szCs w:val="16"/>
        </w:rPr>
      </w:pPr>
      <w:r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tj. provozního, </w:t>
      </w:r>
      <w:r>
        <w:rPr>
          <w:sz w:val="16"/>
          <w:szCs w:val="16"/>
        </w:rPr>
        <w:t>bezpečnostního garanta, příp. architekta.).</w:t>
      </w:r>
    </w:p>
    <w:p w14:paraId="47046C36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Na provoz a infrastrukturu</w:t>
      </w:r>
    </w:p>
    <w:p w14:paraId="0FB83660" w14:textId="77777777" w:rsidR="004B22F4" w:rsidRDefault="004F488B">
      <w:r>
        <w:t>Bez dopadu.</w:t>
      </w:r>
    </w:p>
    <w:p w14:paraId="290AC3CA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Na bezpečnost</w:t>
      </w:r>
    </w:p>
    <w:p w14:paraId="1D05D7BA" w14:textId="77777777" w:rsidR="004B22F4" w:rsidRDefault="004F488B">
      <w:r>
        <w:t>Bez dopadu.</w:t>
      </w:r>
    </w:p>
    <w:p w14:paraId="0431CF05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Na součinnost s dalšími systémy</w:t>
      </w:r>
    </w:p>
    <w:p w14:paraId="05DF9B22" w14:textId="77777777" w:rsidR="004B22F4" w:rsidRDefault="004F488B">
      <w:r>
        <w:t>Nasazení služby orgCtiZmenyAIFO, orgCtiDavkuAIFO, orgZkontrolujAIFO na EPO.</w:t>
      </w:r>
    </w:p>
    <w:p w14:paraId="6E4F102F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Požadavky na součinnost AgriBus</w:t>
      </w:r>
    </w:p>
    <w:p w14:paraId="6A2CDB0D" w14:textId="77777777" w:rsidR="004B22F4" w:rsidRDefault="004F488B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55DC64DA" w14:textId="77777777" w:rsidR="004B22F4" w:rsidRDefault="004F488B">
      <w:pPr>
        <w:rPr>
          <w:sz w:val="16"/>
          <w:szCs w:val="16"/>
        </w:rPr>
      </w:pPr>
      <w:r>
        <w:t>Nasazení služby orgCtiZmenyAIFO, orgCtiDavkuAIFO, orgZkontrolujAIFO na AgriBus po nasazení n</w:t>
      </w:r>
      <w:r>
        <w:t>a EPO.</w:t>
      </w:r>
    </w:p>
    <w:p w14:paraId="0315E4F4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Požadavek na podporu provozu naimplementované změny</w:t>
      </w:r>
    </w:p>
    <w:p w14:paraId="79FD0B60" w14:textId="77777777" w:rsidR="004B22F4" w:rsidRDefault="004F488B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7BAA5E8E" w14:textId="77777777" w:rsidR="004B22F4" w:rsidRDefault="004F488B">
      <w:r>
        <w:t>V rozsahu stávající smlouvy.</w:t>
      </w:r>
    </w:p>
    <w:p w14:paraId="51FA6818" w14:textId="77777777" w:rsidR="004B22F4" w:rsidRDefault="004F488B">
      <w:pPr>
        <w:pStyle w:val="Nadpis2"/>
        <w:keepLines/>
        <w:numPr>
          <w:ilvl w:val="1"/>
          <w:numId w:val="5"/>
        </w:numPr>
        <w:spacing w:before="120" w:after="60"/>
        <w:ind w:hanging="292"/>
        <w:contextualSpacing/>
        <w:jc w:val="left"/>
      </w:pPr>
      <w:r>
        <w:t>Požadavek na úpravu dohledového nástroje</w:t>
      </w:r>
    </w:p>
    <w:p w14:paraId="0E7839F6" w14:textId="77777777" w:rsidR="004B22F4" w:rsidRDefault="004F488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(Uveďte, zda a jakým </w:t>
      </w:r>
      <w:r>
        <w:rPr>
          <w:sz w:val="16"/>
          <w:szCs w:val="16"/>
        </w:rPr>
        <w:t>způsobem je požadována úprava dohledových nástrojů.)</w:t>
      </w:r>
    </w:p>
    <w:p w14:paraId="355452A8" w14:textId="77777777" w:rsidR="004B22F4" w:rsidRDefault="004F488B">
      <w:r>
        <w:t>Žádný.</w:t>
      </w:r>
    </w:p>
    <w:p w14:paraId="7EF3CB06" w14:textId="77777777" w:rsidR="004B22F4" w:rsidRDefault="004B22F4"/>
    <w:p w14:paraId="69C096C5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Požadavek na dokumentaci</w:t>
      </w:r>
      <w:r>
        <w:rPr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276"/>
        <w:gridCol w:w="850"/>
        <w:gridCol w:w="851"/>
        <w:gridCol w:w="1701"/>
      </w:tblGrid>
      <w:tr w:rsidR="004B22F4" w14:paraId="62E011F9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EB7F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1823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9EEF9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E1B4C0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4B22F4" w14:paraId="58C2832F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E70C5" w14:textId="77777777" w:rsidR="004B22F4" w:rsidRDefault="004B22F4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92450" w14:textId="77777777" w:rsidR="004B22F4" w:rsidRDefault="004B22F4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2D65F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6D506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3135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7728E" w14:textId="77777777" w:rsidR="004B22F4" w:rsidRDefault="004B22F4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4B22F4" w14:paraId="1C489337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F747F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94FE7B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3A66D" w14:textId="77777777" w:rsidR="004B22F4" w:rsidRDefault="004F488B">
            <w:pPr>
              <w:rPr>
                <w:color w:val="000000"/>
                <w:szCs w:val="22"/>
                <w:vertAlign w:val="superscript"/>
                <w:lang w:val="en-US"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  <w:r>
              <w:rPr>
                <w:color w:val="000000"/>
                <w:szCs w:val="22"/>
                <w:vertAlign w:val="superscript"/>
                <w:lang w:val="en-US" w:eastAsia="cs-CZ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4733F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614F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E78AF" w14:textId="77777777" w:rsidR="004B22F4" w:rsidRDefault="004B22F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22F4" w14:paraId="1304C517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445CF4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AECA6C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metodika </w:t>
            </w:r>
            <w:r>
              <w:rPr>
                <w:color w:val="000000"/>
                <w:szCs w:val="22"/>
                <w:lang w:eastAsia="cs-CZ"/>
              </w:rPr>
              <w:t>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8332D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02A0E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A135B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573B5" w14:textId="77777777" w:rsidR="004B22F4" w:rsidRDefault="004B22F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22F4" w14:paraId="1C6F6957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09D122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A8CDA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68ABD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2CEF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9901B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A605B" w14:textId="77777777" w:rsidR="004B22F4" w:rsidRDefault="004B22F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22F4" w14:paraId="7CFCA7A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28DFD5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FD52F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227A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7A7EE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217C5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6D742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4B22F4" w14:paraId="3BB7DDCF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B8F070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CBDD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BFA6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25A0C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5584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84E12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4B22F4" w14:paraId="5C64428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51CCD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EACB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4532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D574" w14:textId="77777777" w:rsidR="004B22F4" w:rsidRDefault="004F488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AB362" w14:textId="77777777" w:rsidR="004B22F4" w:rsidRDefault="004F488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0AB30" w14:textId="77777777" w:rsidR="004B22F4" w:rsidRDefault="004B22F4">
            <w:pPr>
              <w:rPr>
                <w:rStyle w:val="Odkaznakoment1"/>
              </w:rPr>
            </w:pPr>
          </w:p>
        </w:tc>
      </w:tr>
      <w:tr w:rsidR="004B22F4" w14:paraId="549F297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A0DA4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A0E1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A729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A476B" w14:textId="77777777" w:rsidR="004B22F4" w:rsidRDefault="004F488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C1CA" w14:textId="77777777" w:rsidR="004B22F4" w:rsidRDefault="004F488B">
            <w:pPr>
              <w:rPr>
                <w:rStyle w:val="Odkaznakoment1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14E22" w14:textId="77777777" w:rsidR="004B22F4" w:rsidRDefault="004B22F4">
            <w:pPr>
              <w:rPr>
                <w:rStyle w:val="Odkaznakoment1"/>
              </w:rPr>
            </w:pPr>
          </w:p>
        </w:tc>
      </w:tr>
      <w:tr w:rsidR="004B22F4" w14:paraId="0FDAF11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06C67E" w14:textId="77777777" w:rsidR="004B22F4" w:rsidRDefault="004B22F4">
            <w:pPr>
              <w:pStyle w:val="Odstavecseseznamem"/>
              <w:numPr>
                <w:ilvl w:val="0"/>
                <w:numId w:val="20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F9D12D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A797F" w14:textId="77777777" w:rsidR="004B22F4" w:rsidRDefault="004F488B">
            <w:pPr>
              <w:rPr>
                <w:rStyle w:val="Odkaznakoment1"/>
                <w:sz w:val="20"/>
                <w:szCs w:val="20"/>
              </w:rPr>
            </w:pPr>
            <w:r>
              <w:rPr>
                <w:rStyle w:val="Odkaznakoment1"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E848" w14:textId="77777777" w:rsidR="004B22F4" w:rsidRDefault="004F488B">
            <w:pPr>
              <w:rPr>
                <w:rStyle w:val="Odkaznakoment1"/>
                <w:sz w:val="20"/>
                <w:szCs w:val="20"/>
              </w:rPr>
            </w:pPr>
            <w:r>
              <w:rPr>
                <w:rStyle w:val="Odkaznakoment1"/>
                <w:sz w:val="20"/>
                <w:szCs w:val="20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308C5" w14:textId="77777777" w:rsidR="004B22F4" w:rsidRDefault="004F488B">
            <w:pPr>
              <w:rPr>
                <w:rStyle w:val="Odkaznakoment1"/>
                <w:sz w:val="20"/>
                <w:szCs w:val="20"/>
              </w:rPr>
            </w:pPr>
            <w:r>
              <w:rPr>
                <w:rStyle w:val="Odkaznakoment1"/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435A6" w14:textId="77777777" w:rsidR="004B22F4" w:rsidRDefault="004B22F4">
            <w:pPr>
              <w:rPr>
                <w:rStyle w:val="Odkaznakoment1"/>
              </w:rPr>
            </w:pPr>
          </w:p>
        </w:tc>
      </w:tr>
    </w:tbl>
    <w:p w14:paraId="5D605D71" w14:textId="77777777" w:rsidR="004B22F4" w:rsidRDefault="004F488B">
      <w:pPr>
        <w:pStyle w:val="Nadpis3"/>
        <w:rPr>
          <w:i/>
          <w:iCs/>
          <w:vertAlign w:val="superscript"/>
        </w:rPr>
      </w:pPr>
      <w:r>
        <w:rPr>
          <w:vertAlign w:val="superscript"/>
        </w:rPr>
        <w:t xml:space="preserve">* </w:t>
      </w:r>
      <w:r>
        <w:rPr>
          <w:i/>
          <w:iCs/>
          <w:vertAlign w:val="superscript"/>
        </w:rPr>
        <w:t>Realizace a úhrada – viz IM127382 - SZR-HR-001-PZ688</w:t>
      </w:r>
    </w:p>
    <w:p w14:paraId="54EDA093" w14:textId="77777777" w:rsidR="004B22F4" w:rsidRDefault="004F488B">
      <w:pPr>
        <w:pStyle w:val="Nadpis3"/>
      </w:pPr>
      <w:r>
        <w:rPr>
          <w:noProof/>
        </w:rPr>
        <w:object w:dxaOrig="1440" w:dyaOrig="1440" w14:anchorId="5DC09700">
          <v:shape id="_x0000_s4052" type="#_x0000_t75" style="position:absolute;left:0;text-align:left;margin-left:456.15pt;margin-top:1.55pt;width:44.6pt;height:28.7pt;z-index:6144;visibility:visible" o:bordertopcolor="black" o:borderleftcolor="black" o:borderbottomcolor="black" o:borderrightcolor="black">
            <v:imagedata r:id="rId10" o:title=""/>
            <w10:wrap type="square"/>
          </v:shape>
          <o:OLEObject Type="Embed" ProgID="Word.Document.12" ShapeID="_x0000_s4052" DrawAspect="Icon" ObjectID="_1740471720" r:id="rId11"/>
        </w:object>
      </w:r>
      <w:r>
        <w:t xml:space="preserve">V připojeném souboru je uveden rozsah vybrané technické dokumentace – otevřete dvojklikem:    </w:t>
      </w:r>
    </w:p>
    <w:p w14:paraId="3B361027" w14:textId="77777777" w:rsidR="004B22F4" w:rsidRDefault="004F488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Dohledové scénáře jsou požadovány, pokud Dodavatel potvrdí dopad na dohledové scénáře/nástroj. </w:t>
      </w:r>
    </w:p>
    <w:p w14:paraId="24167F76" w14:textId="51D54A56" w:rsidR="004B22F4" w:rsidRDefault="004F488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U dokumentů, které již existují, se má za to, že je požadována jejich aktualizace. Pokud se požaduje zpracování nového dokumentu namísto aktualizace stávajícího, uveďte toto explicitně za </w:t>
      </w:r>
      <w:r>
        <w:rPr>
          <w:sz w:val="18"/>
          <w:szCs w:val="18"/>
        </w:rPr>
        <w:t>názvem daného dokumentu, např. „Uživatelská příručka – nový“.</w:t>
      </w:r>
    </w:p>
    <w:p w14:paraId="0E249CCD" w14:textId="46546940" w:rsidR="004B22F4" w:rsidRDefault="004F488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</w:t>
      </w:r>
      <w:proofErr w:type="spellStart"/>
      <w:r>
        <w:rPr>
          <w:sz w:val="18"/>
          <w:szCs w:val="18"/>
        </w:rPr>
        <w:t>dvojklikem:xxx</w:t>
      </w:r>
      <w:proofErr w:type="spellEnd"/>
      <w:r>
        <w:rPr>
          <w:sz w:val="18"/>
          <w:szCs w:val="18"/>
        </w:rPr>
        <w:t xml:space="preserve">       </w:t>
      </w:r>
    </w:p>
    <w:p w14:paraId="2DA00A2A" w14:textId="77777777" w:rsidR="004B22F4" w:rsidRDefault="004B22F4">
      <w:pPr>
        <w:pStyle w:val="Nadpis1"/>
        <w:ind w:left="284" w:firstLine="0"/>
        <w:rPr>
          <w:sz w:val="22"/>
          <w:szCs w:val="22"/>
        </w:rPr>
      </w:pPr>
    </w:p>
    <w:p w14:paraId="6FB2AEBE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Akceptační kritéria</w:t>
      </w:r>
    </w:p>
    <w:p w14:paraId="34E6A5C9" w14:textId="77777777" w:rsidR="004B22F4" w:rsidRDefault="004F488B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Plnění v rámci požadavku na změnu bude akceptováno, jestliže budou akceptovány dokumenty uvedené v tabulce výše v b</w:t>
      </w:r>
      <w:r>
        <w:rPr>
          <w:color w:val="000000"/>
          <w:szCs w:val="22"/>
          <w:lang w:eastAsia="cs-CZ"/>
        </w:rPr>
        <w:t xml:space="preserve">odu 5, budou předloženy podepsané protokoly o uživatelském testování a splněna případná další kritéria uvedená v tomto bodu. </w:t>
      </w:r>
    </w:p>
    <w:p w14:paraId="0F72E61E" w14:textId="77777777" w:rsidR="004B22F4" w:rsidRDefault="004B22F4">
      <w:pPr>
        <w:rPr>
          <w:szCs w:val="22"/>
        </w:rPr>
      </w:pPr>
    </w:p>
    <w:p w14:paraId="45F2B50F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660"/>
      </w:tblGrid>
      <w:tr w:rsidR="004B22F4" w14:paraId="7752AEDB" w14:textId="77777777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E814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C02C2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B22F4" w14:paraId="15787A4D" w14:textId="77777777">
        <w:trPr>
          <w:trHeight w:val="284"/>
        </w:trPr>
        <w:tc>
          <w:tcPr>
            <w:tcW w:w="4111" w:type="dxa"/>
            <w:shd w:val="clear" w:color="auto" w:fill="auto"/>
            <w:noWrap/>
            <w:vAlign w:val="center"/>
          </w:tcPr>
          <w:p w14:paraId="3A0AF45B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514D1702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Zveřejnění objednávky v registru smluv</w:t>
            </w:r>
          </w:p>
        </w:tc>
      </w:tr>
      <w:tr w:rsidR="004B22F4" w14:paraId="3D59A7C4" w14:textId="77777777">
        <w:trPr>
          <w:trHeight w:val="284"/>
        </w:trPr>
        <w:tc>
          <w:tcPr>
            <w:tcW w:w="4111" w:type="dxa"/>
            <w:shd w:val="clear" w:color="auto" w:fill="auto"/>
            <w:noWrap/>
            <w:vAlign w:val="center"/>
          </w:tcPr>
          <w:p w14:paraId="49F895E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09B355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31.3.2023</w:t>
            </w:r>
          </w:p>
        </w:tc>
      </w:tr>
    </w:tbl>
    <w:p w14:paraId="3385D249" w14:textId="77777777" w:rsidR="004B22F4" w:rsidRDefault="004B22F4">
      <w:pPr>
        <w:rPr>
          <w:szCs w:val="22"/>
        </w:rPr>
      </w:pPr>
    </w:p>
    <w:p w14:paraId="2FE10A52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Přílohy</w:t>
      </w:r>
    </w:p>
    <w:p w14:paraId="6755B06C" w14:textId="77777777" w:rsidR="004B22F4" w:rsidRDefault="004F488B">
      <w:pPr>
        <w:rPr>
          <w:szCs w:val="22"/>
        </w:rPr>
      </w:pPr>
      <w:r>
        <w:rPr>
          <w:szCs w:val="22"/>
        </w:rPr>
        <w:t>Žádné.</w:t>
      </w:r>
    </w:p>
    <w:p w14:paraId="5D5E07C2" w14:textId="77777777" w:rsidR="004B22F4" w:rsidRDefault="004B22F4">
      <w:pPr>
        <w:rPr>
          <w:szCs w:val="22"/>
        </w:rPr>
      </w:pPr>
    </w:p>
    <w:p w14:paraId="7B5C8639" w14:textId="77777777" w:rsidR="004B22F4" w:rsidRDefault="004F488B">
      <w:pPr>
        <w:pStyle w:val="Nadpis1"/>
        <w:keepLines/>
        <w:numPr>
          <w:ilvl w:val="0"/>
          <w:numId w:val="5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4B22F4" w14:paraId="4AC12326" w14:textId="77777777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6365D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058CA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B1068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4B22F4" w14:paraId="3D556829" w14:textId="77777777">
        <w:trPr>
          <w:trHeight w:hRule="exact" w:val="794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6E6E399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2977" w:type="dxa"/>
            <w:vAlign w:val="center"/>
          </w:tcPr>
          <w:p w14:paraId="15A3B54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Jarmila Samková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6DA4BB" w14:textId="77777777" w:rsidR="004B22F4" w:rsidRDefault="004B22F4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4B22F4" w14:paraId="7D0A1726" w14:textId="77777777">
        <w:trPr>
          <w:trHeight w:hRule="exact" w:val="794"/>
        </w:trPr>
        <w:tc>
          <w:tcPr>
            <w:tcW w:w="3255" w:type="dxa"/>
            <w:shd w:val="clear" w:color="auto" w:fill="auto"/>
            <w:noWrap/>
            <w:vAlign w:val="center"/>
          </w:tcPr>
          <w:p w14:paraId="1089B8A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0E7D8449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Václav Krejčí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489F0B" w14:textId="77777777" w:rsidR="004B22F4" w:rsidRDefault="004B22F4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072708D1" w14:textId="77777777" w:rsidR="004B22F4" w:rsidRDefault="004B22F4">
      <w:pPr>
        <w:rPr>
          <w:szCs w:val="22"/>
        </w:rPr>
      </w:pPr>
    </w:p>
    <w:p w14:paraId="7F89ED19" w14:textId="77777777" w:rsidR="004B22F4" w:rsidRDefault="004B22F4">
      <w:pPr>
        <w:rPr>
          <w:szCs w:val="22"/>
        </w:rPr>
      </w:pPr>
    </w:p>
    <w:p w14:paraId="6959DA9B" w14:textId="77777777" w:rsidR="004B22F4" w:rsidRDefault="004F488B">
      <w:pPr>
        <w:rPr>
          <w:szCs w:val="22"/>
        </w:rPr>
      </w:pPr>
      <w:r>
        <w:rPr>
          <w:szCs w:val="22"/>
        </w:rPr>
        <w:br w:type="page"/>
      </w:r>
    </w:p>
    <w:p w14:paraId="37245655" w14:textId="77777777" w:rsidR="004B22F4" w:rsidRDefault="004B22F4">
      <w:pPr>
        <w:rPr>
          <w:b/>
          <w:caps/>
          <w:szCs w:val="22"/>
        </w:rPr>
        <w:sectPr w:rsidR="004B22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0810D58C" w14:textId="77777777" w:rsidR="004B22F4" w:rsidRDefault="004F488B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Z35820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22F4" w14:paraId="3CA0956D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DD0719" w14:textId="77777777" w:rsidR="004B22F4" w:rsidRDefault="004F488B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265F624" w14:textId="77777777" w:rsidR="004B22F4" w:rsidRDefault="004F488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728</w:t>
            </w:r>
          </w:p>
        </w:tc>
      </w:tr>
    </w:tbl>
    <w:p w14:paraId="779141F9" w14:textId="77777777" w:rsidR="004B22F4" w:rsidRDefault="004B22F4">
      <w:pPr>
        <w:rPr>
          <w:caps/>
          <w:szCs w:val="22"/>
        </w:rPr>
      </w:pPr>
    </w:p>
    <w:p w14:paraId="1A9CE352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Návrh konceptu technického řešení  </w:t>
      </w:r>
    </w:p>
    <w:p w14:paraId="0FC98FFE" w14:textId="77777777" w:rsidR="004B22F4" w:rsidRDefault="004F488B">
      <w:r>
        <w:t>Viz část A tohoto PZ, body 2 a 3, příloha č. 03 (RfC B)</w:t>
      </w:r>
    </w:p>
    <w:p w14:paraId="42A5B686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Uživatelské a licenční zajištění pro </w:t>
      </w:r>
      <w:r>
        <w:rPr>
          <w:sz w:val="22"/>
          <w:szCs w:val="22"/>
        </w:rPr>
        <w:t>Objednatele</w:t>
      </w:r>
    </w:p>
    <w:p w14:paraId="6A5815CF" w14:textId="77777777" w:rsidR="004B22F4" w:rsidRDefault="004F488B">
      <w:r>
        <w:t>V souladu s podmínkami smlouvy č. 391-2019-11150</w:t>
      </w:r>
    </w:p>
    <w:p w14:paraId="50498BF3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Dopady do systémů MZe</w:t>
      </w:r>
    </w:p>
    <w:p w14:paraId="308ADCBE" w14:textId="77777777" w:rsidR="004B22F4" w:rsidRDefault="004F488B">
      <w:pPr>
        <w:pStyle w:val="Nadpis1"/>
        <w:keepLines/>
        <w:numPr>
          <w:ilvl w:val="1"/>
          <w:numId w:val="43"/>
        </w:numPr>
        <w:spacing w:before="120" w:after="60"/>
        <w:ind w:hanging="292"/>
        <w:jc w:val="left"/>
        <w:rPr>
          <w:sz w:val="22"/>
          <w:szCs w:val="22"/>
        </w:rPr>
      </w:pPr>
      <w:r>
        <w:rPr>
          <w:rFonts w:cs="Times New Roman"/>
          <w:noProof/>
          <w:sz w:val="22"/>
          <w:szCs w:val="21"/>
        </w:rPr>
        <w:object w:dxaOrig="1440" w:dyaOrig="1440" w14:anchorId="4E4ED04A">
          <v:shape id="_x0000_s2051" type="#_x0000_t75" style="position:absolute;left:0;text-align:left;margin-left:440.75pt;margin-top:6.75pt;width:48.25pt;height:35.3pt;z-index:8192;visibility:visible" o:bordertopcolor="black" o:borderleftcolor="black" o:borderbottomcolor="black" o:borderrightcolor="black">
            <v:imagedata r:id="rId18" o:title=""/>
            <w10:wrap type="square"/>
          </v:shape>
          <o:OLEObject Type="Embed" ProgID="Word.Document.12" ShapeID="_x0000_s2051" DrawAspect="Icon" ObjectID="_1740471721" r:id="rId19"/>
        </w:object>
      </w:r>
      <w:r>
        <w:rPr>
          <w:sz w:val="22"/>
          <w:szCs w:val="22"/>
        </w:rPr>
        <w:t>Na provoz a infrastrukturu</w:t>
      </w:r>
    </w:p>
    <w:p w14:paraId="5A433B57" w14:textId="77777777" w:rsidR="004B22F4" w:rsidRDefault="004F488B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</w:t>
      </w:r>
      <w:r>
        <w:rPr>
          <w:sz w:val="18"/>
          <w:szCs w:val="18"/>
        </w:rPr>
        <w:t xml:space="preserve">v připojeném souboru - otevřete dvojklikem.)     </w:t>
      </w:r>
    </w:p>
    <w:p w14:paraId="60485C09" w14:textId="77777777" w:rsidR="004B22F4" w:rsidRDefault="004F488B">
      <w:pPr>
        <w:spacing w:after="120"/>
      </w:pPr>
      <w:r>
        <w:t>Bez dopadu</w:t>
      </w:r>
    </w:p>
    <w:p w14:paraId="52FFA088" w14:textId="77777777" w:rsidR="004B22F4" w:rsidRDefault="004F488B">
      <w:pPr>
        <w:pStyle w:val="Nadpis1"/>
        <w:keepLines/>
        <w:numPr>
          <w:ilvl w:val="1"/>
          <w:numId w:val="43"/>
        </w:numPr>
        <w:spacing w:before="120" w:after="60"/>
        <w:ind w:hanging="292"/>
        <w:jc w:val="left"/>
        <w:rPr>
          <w:sz w:val="22"/>
          <w:szCs w:val="22"/>
        </w:rPr>
      </w:pPr>
      <w:r>
        <w:rPr>
          <w:sz w:val="22"/>
          <w:szCs w:val="22"/>
        </w:rPr>
        <w:t>Na bezpečnost</w:t>
      </w:r>
    </w:p>
    <w:p w14:paraId="33BE6463" w14:textId="77777777" w:rsidR="004B22F4" w:rsidRDefault="004F488B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4B22F4" w14:paraId="0D79C927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E01C8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2B00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Oblast </w:t>
            </w:r>
            <w:r>
              <w:rPr>
                <w:b/>
                <w:bCs/>
                <w:color w:val="000000"/>
                <w:szCs w:val="22"/>
                <w:lang w:eastAsia="cs-CZ"/>
              </w:rPr>
              <w:t>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7491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4B22F4" w14:paraId="0BEBD262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2694EB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B43E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8331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5DBD566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0F2BC6F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F6D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13E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61A6449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3A98890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B8C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E87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15A8AD2E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2A370F6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1681C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 xml:space="preserve">Šifrování 3.1.8., </w:t>
            </w:r>
            <w:r>
              <w:rPr>
                <w:szCs w:val="22"/>
              </w:rPr>
              <w:t>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3AC5F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4F03455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3086A13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C64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8FF3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1B41384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B8872FF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90A7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45B7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35F24BE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19AC01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785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4C41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17163EB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55D0A7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F50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Ošetření výjimek běhu, chyby a </w:t>
            </w:r>
            <w:r>
              <w:rPr>
                <w:bCs/>
                <w:color w:val="000000"/>
                <w:szCs w:val="22"/>
                <w:lang w:eastAsia="cs-CZ"/>
              </w:rPr>
              <w:t>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EF8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2C67A27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B6FFAE5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00EE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6DA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20194610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D0B74D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D96B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AC8B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0F1FBF7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A18711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3F1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2A4D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31C115B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000201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C3CB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E03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4B22F4" w14:paraId="06448B1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76A9892" w14:textId="77777777" w:rsidR="004B22F4" w:rsidRDefault="004B22F4">
            <w:pPr>
              <w:pStyle w:val="Odstavecseseznamem"/>
              <w:numPr>
                <w:ilvl w:val="0"/>
                <w:numId w:val="3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E62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B2B" w14:textId="77777777" w:rsidR="004B22F4" w:rsidRDefault="004F488B">
            <w:pPr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0E98F5D5" w14:textId="77777777" w:rsidR="004B22F4" w:rsidRDefault="004B22F4"/>
    <w:p w14:paraId="1D1BA540" w14:textId="77777777" w:rsidR="004B22F4" w:rsidRDefault="004F488B">
      <w:pPr>
        <w:pStyle w:val="Nadpis1"/>
        <w:keepLines/>
        <w:numPr>
          <w:ilvl w:val="1"/>
          <w:numId w:val="43"/>
        </w:numPr>
        <w:spacing w:before="120" w:after="60"/>
        <w:ind w:hanging="29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 součinnost </w:t>
      </w:r>
      <w:r>
        <w:rPr>
          <w:sz w:val="22"/>
          <w:szCs w:val="22"/>
        </w:rPr>
        <w:t>s dalšími systémy</w:t>
      </w:r>
    </w:p>
    <w:p w14:paraId="489F5CEB" w14:textId="77777777" w:rsidR="004B22F4" w:rsidRDefault="004F488B">
      <w:r>
        <w:t>EPO - Nasazení služby orgCtiZmenyAIFO, orgCtiDavkuAIFO, orgZkontrolujAIFO</w:t>
      </w:r>
    </w:p>
    <w:p w14:paraId="24BC86F4" w14:textId="77777777" w:rsidR="004B22F4" w:rsidRDefault="004F488B">
      <w:pPr>
        <w:pStyle w:val="Nadpis1"/>
        <w:keepLines/>
        <w:numPr>
          <w:ilvl w:val="1"/>
          <w:numId w:val="43"/>
        </w:numPr>
        <w:spacing w:before="120" w:after="60"/>
        <w:ind w:hanging="292"/>
        <w:jc w:val="left"/>
        <w:rPr>
          <w:sz w:val="22"/>
          <w:szCs w:val="22"/>
        </w:rPr>
      </w:pPr>
      <w:r>
        <w:rPr>
          <w:sz w:val="22"/>
          <w:szCs w:val="22"/>
        </w:rPr>
        <w:t>Na součinnost AgriBus</w:t>
      </w:r>
    </w:p>
    <w:p w14:paraId="6F920179" w14:textId="77777777" w:rsidR="004B22F4" w:rsidRDefault="004F488B">
      <w:r>
        <w:t>Nasazení služby orgCtiZmenyAIFO, orgCtiDavkuAIFO, orgZkontrolujAIFO</w:t>
      </w:r>
    </w:p>
    <w:p w14:paraId="4F4F800F" w14:textId="77777777" w:rsidR="004B22F4" w:rsidRDefault="004F488B">
      <w:pPr>
        <w:pStyle w:val="Nadpis1"/>
        <w:keepLines/>
        <w:numPr>
          <w:ilvl w:val="1"/>
          <w:numId w:val="43"/>
        </w:numPr>
        <w:spacing w:before="120" w:after="60"/>
        <w:ind w:hanging="292"/>
        <w:jc w:val="left"/>
        <w:rPr>
          <w:sz w:val="22"/>
          <w:szCs w:val="22"/>
        </w:rPr>
      </w:pPr>
      <w:r>
        <w:rPr>
          <w:sz w:val="22"/>
          <w:szCs w:val="22"/>
        </w:rPr>
        <w:t>Na dohledové nástroje/scénáře</w:t>
      </w:r>
      <w:r>
        <w:rPr>
          <w:rStyle w:val="Odkaznavysvtlivky"/>
          <w:sz w:val="22"/>
          <w:szCs w:val="22"/>
        </w:rPr>
        <w:endnoteReference w:id="17"/>
      </w:r>
    </w:p>
    <w:p w14:paraId="37F09817" w14:textId="77777777" w:rsidR="004B22F4" w:rsidRDefault="004F488B">
      <w:pPr>
        <w:spacing w:after="120"/>
      </w:pPr>
      <w:r>
        <w:t>Bez dopadu</w:t>
      </w:r>
    </w:p>
    <w:p w14:paraId="24077FA0" w14:textId="77777777" w:rsidR="004B22F4" w:rsidRDefault="004F488B">
      <w:pPr>
        <w:pStyle w:val="Nadpis1"/>
        <w:keepLines/>
        <w:numPr>
          <w:ilvl w:val="1"/>
          <w:numId w:val="43"/>
        </w:numPr>
        <w:spacing w:before="120" w:after="60"/>
        <w:ind w:hanging="292"/>
        <w:jc w:val="left"/>
        <w:rPr>
          <w:sz w:val="22"/>
          <w:szCs w:val="22"/>
        </w:rPr>
      </w:pPr>
      <w:r>
        <w:rPr>
          <w:sz w:val="22"/>
          <w:szCs w:val="22"/>
        </w:rPr>
        <w:t>Ostatní dopady</w:t>
      </w:r>
    </w:p>
    <w:p w14:paraId="4EB7EBB9" w14:textId="77777777" w:rsidR="004B22F4" w:rsidRDefault="004F488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>
        <w:rPr>
          <w:sz w:val="18"/>
          <w:szCs w:val="18"/>
        </w:rPr>
        <w:t>Pokud má požadavek dopady do dalších požadavků MZe, uveďte je také v tomto bodu.)</w:t>
      </w:r>
    </w:p>
    <w:p w14:paraId="00DB06CE" w14:textId="77777777" w:rsidR="004B22F4" w:rsidRDefault="004F488B">
      <w:pPr>
        <w:rPr>
          <w:szCs w:val="22"/>
        </w:rPr>
      </w:pPr>
      <w:r>
        <w:rPr>
          <w:szCs w:val="22"/>
        </w:rPr>
        <w:t>Bez dopadu</w:t>
      </w:r>
    </w:p>
    <w:p w14:paraId="6DA0C435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4B22F4" w14:paraId="7FBA73C9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0803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298B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4B22F4" w14:paraId="235246CA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F8F25D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76958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4B22F4" w14:paraId="6DF021FC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726D7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AgriBus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DDCC37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Nasazení služeb </w:t>
            </w:r>
            <w:r>
              <w:rPr>
                <w:color w:val="000000"/>
                <w:szCs w:val="22"/>
                <w:lang w:eastAsia="cs-CZ"/>
              </w:rPr>
              <w:t>orgCtiZmenyAIFO, orgCtiDavkuAIFO, orgZkontrolujAIFO – viz kapitola 3.4.</w:t>
            </w:r>
          </w:p>
        </w:tc>
      </w:tr>
      <w:tr w:rsidR="004B22F4" w14:paraId="217DBE72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54AFBE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EPO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E6D4C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Nasazení služeb </w:t>
            </w:r>
            <w:r>
              <w:t>orgCtiZmenyAIFO, orgCtiDavkuAIFO, orgZkontrolujAIFO – viz kapitola 3.3.</w:t>
            </w:r>
          </w:p>
        </w:tc>
      </w:tr>
    </w:tbl>
    <w:p w14:paraId="6FFFE152" w14:textId="77777777" w:rsidR="004B22F4" w:rsidRDefault="004F488B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4673F2B0" w14:textId="77777777" w:rsidR="004B22F4" w:rsidRDefault="004B22F4"/>
    <w:p w14:paraId="693212FE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Harmonogram pln</w:t>
      </w:r>
      <w:r>
        <w:rPr>
          <w:sz w:val="22"/>
          <w:szCs w:val="22"/>
        </w:rPr>
        <w:t>ění</w:t>
      </w:r>
      <w:r>
        <w:rPr>
          <w:b w:val="0"/>
          <w:sz w:val="22"/>
          <w:szCs w:val="22"/>
          <w:vertAlign w:val="superscript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4B22F4" w14:paraId="7E5A3910" w14:textId="77777777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77EF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8E79D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B22F4" w14:paraId="2707F3F4" w14:textId="77777777">
        <w:trPr>
          <w:trHeight w:val="284"/>
        </w:trPr>
        <w:tc>
          <w:tcPr>
            <w:tcW w:w="482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C228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D4AD45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T0 = Zveřejnění objednávky v registru smluv</w:t>
            </w:r>
          </w:p>
        </w:tc>
      </w:tr>
      <w:tr w:rsidR="004B22F4" w14:paraId="24F2E1B9" w14:textId="77777777">
        <w:trPr>
          <w:trHeight w:val="284"/>
        </w:trPr>
        <w:tc>
          <w:tcPr>
            <w:tcW w:w="482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6A0D8" w14:textId="77777777" w:rsidR="004B22F4" w:rsidRDefault="004F488B"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F56A1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T1 = T0 + 45 pracovních dnů</w:t>
            </w:r>
          </w:p>
        </w:tc>
      </w:tr>
    </w:tbl>
    <w:p w14:paraId="14CA3DFE" w14:textId="77777777" w:rsidR="004B22F4" w:rsidRDefault="004B22F4">
      <w:pPr>
        <w:spacing w:before="120"/>
        <w:rPr>
          <w:szCs w:val="22"/>
        </w:rPr>
      </w:pPr>
    </w:p>
    <w:p w14:paraId="2DB8ED33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Pracnost a cenová nabídka navrhovaného řešení</w:t>
      </w:r>
    </w:p>
    <w:p w14:paraId="2A7092A6" w14:textId="77777777" w:rsidR="004B22F4" w:rsidRDefault="004F488B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 xml:space="preserve">včetně vymezení počtu člověkodnů nebo jejich částí, které na </w:t>
      </w:r>
      <w:r>
        <w:rPr>
          <w:rFonts w:cs="Arial"/>
          <w:b w:val="0"/>
        </w:rPr>
        <w:t>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4B22F4" w14:paraId="0D88E6B3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6AAF8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9BC91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3E3A9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1B431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A7EC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4B22F4" w14:paraId="021CE11A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58070BF6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2162B948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636ABB9F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0ACB302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4C5C0AF3" w14:textId="77777777" w:rsidR="004B22F4" w:rsidRDefault="004B22F4">
            <w:pPr>
              <w:pStyle w:val="Tabulka"/>
              <w:rPr>
                <w:szCs w:val="22"/>
              </w:rPr>
            </w:pPr>
          </w:p>
        </w:tc>
      </w:tr>
      <w:tr w:rsidR="004B22F4" w14:paraId="0F49C514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28F4473D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3E5DA9C2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A46439B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34,5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49C59C3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t xml:space="preserve"> 307 050,00 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5D2C807B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t>371 530,50</w:t>
            </w:r>
          </w:p>
        </w:tc>
      </w:tr>
      <w:tr w:rsidR="004B22F4" w14:paraId="02A0FB5E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C1A544E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920E51D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rPr>
                <w:szCs w:val="22"/>
              </w:rPr>
              <w:t>34,5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E026CE4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t xml:space="preserve"> 307 050,00 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7E183B1E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t>371 530,50</w:t>
            </w:r>
          </w:p>
        </w:tc>
      </w:tr>
    </w:tbl>
    <w:p w14:paraId="74D7F639" w14:textId="77777777" w:rsidR="004B22F4" w:rsidRDefault="004B22F4">
      <w:pPr>
        <w:rPr>
          <w:sz w:val="8"/>
          <w:szCs w:val="8"/>
        </w:rPr>
      </w:pPr>
    </w:p>
    <w:p w14:paraId="1C0DE7F1" w14:textId="77777777" w:rsidR="004B22F4" w:rsidRDefault="004F488B">
      <w:pPr>
        <w:rPr>
          <w:sz w:val="18"/>
          <w:szCs w:val="18"/>
        </w:rPr>
      </w:pPr>
      <w:r>
        <w:rPr>
          <w:sz w:val="18"/>
          <w:szCs w:val="18"/>
        </w:rPr>
        <w:t xml:space="preserve">(Pozn.: MD – </w:t>
      </w:r>
      <w:r>
        <w:rPr>
          <w:sz w:val="18"/>
          <w:szCs w:val="18"/>
        </w:rPr>
        <w:t>člověkoden, MJ – měrná jednotka, např. počet kusů)</w:t>
      </w:r>
    </w:p>
    <w:p w14:paraId="5C87BD13" w14:textId="77777777" w:rsidR="004B22F4" w:rsidRDefault="004B22F4"/>
    <w:p w14:paraId="5E6D6867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4B22F4" w14:paraId="3E73D42D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B23D7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C294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7689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4B22F4" w14:paraId="12A13A7E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9F9717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7437E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32917E2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4B22F4" w14:paraId="3CDD6463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4DC09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E1A83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6FEED2B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4B22F4" w14:paraId="379DF5AA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60F4AC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03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9721A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Zpracování kompromitovaných AIFO v SZR 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EF211B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</w:tbl>
    <w:p w14:paraId="41E65B57" w14:textId="77777777" w:rsidR="004B22F4" w:rsidRDefault="004B22F4"/>
    <w:p w14:paraId="3D4AF79D" w14:textId="77777777" w:rsidR="004B22F4" w:rsidRDefault="004F488B">
      <w:pPr>
        <w:pStyle w:val="Nadpis1"/>
        <w:keepLines/>
        <w:numPr>
          <w:ilvl w:val="0"/>
          <w:numId w:val="43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Podpisová </w:t>
      </w:r>
      <w:r>
        <w:rPr>
          <w:sz w:val="22"/>
          <w:szCs w:val="22"/>
        </w:rPr>
        <w:t>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4B22F4" w14:paraId="52AA35DD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282B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39CD7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A5D2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4B22F4" w14:paraId="15C27B68" w14:textId="77777777">
        <w:trPr>
          <w:trHeight w:hRule="exact" w:val="1720"/>
        </w:trPr>
        <w:tc>
          <w:tcPr>
            <w:tcW w:w="3114" w:type="dxa"/>
            <w:shd w:val="clear" w:color="auto" w:fill="auto"/>
            <w:noWrap/>
            <w:vAlign w:val="center"/>
          </w:tcPr>
          <w:p w14:paraId="66E1518C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6D026822" w14:textId="4C509E45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61DF5C" w14:textId="77777777" w:rsidR="004B22F4" w:rsidRDefault="004B22F4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6104F3FC" w14:textId="77777777" w:rsidR="004B22F4" w:rsidRDefault="004B22F4">
      <w:pPr>
        <w:rPr>
          <w:szCs w:val="22"/>
        </w:rPr>
      </w:pPr>
    </w:p>
    <w:p w14:paraId="1610F506" w14:textId="77777777" w:rsidR="004B22F4" w:rsidRDefault="004F488B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23949EEE" w14:textId="77777777" w:rsidR="004B22F4" w:rsidRDefault="004B22F4">
      <w:pPr>
        <w:rPr>
          <w:b/>
          <w:caps/>
          <w:szCs w:val="22"/>
        </w:rPr>
        <w:sectPr w:rsidR="004B22F4">
          <w:footerReference w:type="default" r:id="rId20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7A1C956" w14:textId="77777777" w:rsidR="004B22F4" w:rsidRDefault="004F488B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Z35820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22F4" w14:paraId="59B01DE3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B5968D" w14:textId="77777777" w:rsidR="004B22F4" w:rsidRDefault="004F488B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1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55D5C71" w14:textId="77777777" w:rsidR="004B22F4" w:rsidRDefault="004F488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728</w:t>
            </w:r>
          </w:p>
        </w:tc>
      </w:tr>
    </w:tbl>
    <w:p w14:paraId="54776834" w14:textId="77777777" w:rsidR="004B22F4" w:rsidRDefault="004B22F4">
      <w:pPr>
        <w:rPr>
          <w:szCs w:val="22"/>
        </w:rPr>
      </w:pPr>
    </w:p>
    <w:p w14:paraId="03E56B76" w14:textId="77777777" w:rsidR="004B22F4" w:rsidRDefault="004F488B">
      <w:pPr>
        <w:pStyle w:val="Nadpis1"/>
        <w:keepLines/>
        <w:numPr>
          <w:ilvl w:val="0"/>
          <w:numId w:val="44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Specifikace plnění</w:t>
      </w:r>
    </w:p>
    <w:p w14:paraId="135835CF" w14:textId="77777777" w:rsidR="004B22F4" w:rsidRDefault="004F488B">
      <w:pPr>
        <w:spacing w:after="120"/>
      </w:pPr>
      <w:r>
        <w:t xml:space="preserve">Požadované plnění je specifikováno v části A a B tohoto RfC , v příloze č. 3 (RfC část B). </w:t>
      </w:r>
    </w:p>
    <w:p w14:paraId="3A14F28F" w14:textId="77777777" w:rsidR="004B22F4" w:rsidRDefault="004F488B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4B22F4" w14:paraId="48E9AB77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A1FCE" w14:textId="77777777" w:rsidR="004B22F4" w:rsidRDefault="004F488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0318" w14:textId="77777777" w:rsidR="004B22F4" w:rsidRDefault="004F488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7EA80B8" w14:textId="77777777" w:rsidR="004B22F4" w:rsidRDefault="004F488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4A58D3E2" w14:textId="77777777" w:rsidR="004B22F4" w:rsidRDefault="004F488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C5520D" w14:textId="77777777" w:rsidR="004B22F4" w:rsidRDefault="004F488B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4B22F4" w14:paraId="35810337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3DFE7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917B6E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13914FC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6E235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137393FC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277A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84CA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390D079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A81D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08B49AB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0E896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7AB9E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FAFA02A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06E4F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239BEF4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FA23E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FD680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74CC42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CDF3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353928E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7A71A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2534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411CBE4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7E8C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375C6FF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ECC1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E8E1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69DEA71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79BAF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5111EAD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096C5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F24F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230AC86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752D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334694B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BC1DB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8B06C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94EC1C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2D5F3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</w:t>
            </w:r>
            <w:r>
              <w:rPr>
                <w:color w:val="000000"/>
                <w:szCs w:val="22"/>
                <w:lang w:eastAsia="cs-CZ"/>
              </w:rPr>
              <w:t>---------</w:t>
            </w:r>
          </w:p>
        </w:tc>
      </w:tr>
      <w:tr w:rsidR="004B22F4" w14:paraId="1FED9D4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3BDE5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8C160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FF48C8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7F06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5481DAC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72659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470CB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BF56A3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BB81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50F00EFB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26294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C8549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611F9DE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B83E6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397EDF54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B99C3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C69ADE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3005FF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2EF30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  <w:tr w:rsidR="004B22F4" w14:paraId="53E5896D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A59A7" w14:textId="77777777" w:rsidR="004B22F4" w:rsidRDefault="004B22F4">
            <w:pPr>
              <w:pStyle w:val="Odstavecseseznamem"/>
              <w:numPr>
                <w:ilvl w:val="0"/>
                <w:numId w:val="41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E4816" w14:textId="77777777" w:rsidR="004B22F4" w:rsidRDefault="004F488B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A006DD3" w14:textId="77777777" w:rsidR="004B22F4" w:rsidRDefault="004F488B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21ED5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---------------------------------------------------</w:t>
            </w:r>
          </w:p>
        </w:tc>
      </w:tr>
    </w:tbl>
    <w:p w14:paraId="27D5EF58" w14:textId="77777777" w:rsidR="004B22F4" w:rsidRDefault="004B22F4"/>
    <w:p w14:paraId="554BC727" w14:textId="77777777" w:rsidR="004B22F4" w:rsidRDefault="004F488B">
      <w:pPr>
        <w:pStyle w:val="Nadpis1"/>
        <w:keepLines/>
        <w:numPr>
          <w:ilvl w:val="0"/>
          <w:numId w:val="44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Uživatelské a licenční zajištění pro Objednatele (je-li relevantní):</w:t>
      </w:r>
    </w:p>
    <w:p w14:paraId="5724083F" w14:textId="77777777" w:rsidR="004B22F4" w:rsidRDefault="004B22F4"/>
    <w:p w14:paraId="1C5D3401" w14:textId="77777777" w:rsidR="004B22F4" w:rsidRDefault="004F488B">
      <w:pPr>
        <w:pStyle w:val="Nadpis1"/>
        <w:keepLines/>
        <w:numPr>
          <w:ilvl w:val="0"/>
          <w:numId w:val="44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2268"/>
      </w:tblGrid>
      <w:tr w:rsidR="004B22F4" w14:paraId="5CC1DBD2" w14:textId="77777777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90B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BB0E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FDCAD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4B22F4" w14:paraId="2E49DDF7" w14:textId="77777777">
        <w:trPr>
          <w:trHeight w:val="284"/>
        </w:trPr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1AF49D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26DF09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47385C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 garant</w:t>
            </w:r>
          </w:p>
        </w:tc>
      </w:tr>
      <w:tr w:rsidR="004B22F4" w14:paraId="6109741E" w14:textId="77777777">
        <w:trPr>
          <w:trHeight w:val="284"/>
        </w:trPr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D51D9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AgriBus</w:t>
            </w: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DC903B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služeb orgCtiZmenyAIFO, orgCtiDavkuAIFO, orgZkontrolujAIFO – viz kapitola 3.4.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95FCA1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</w:t>
            </w:r>
          </w:p>
        </w:tc>
      </w:tr>
      <w:tr w:rsidR="004B22F4" w14:paraId="37FA569C" w14:textId="77777777">
        <w:trPr>
          <w:trHeight w:val="284"/>
        </w:trPr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B8959D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EPO</w:t>
            </w: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08565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Nasazení služeb </w:t>
            </w:r>
            <w:r>
              <w:t>orgCtiZmenyAIFO, orgCtiDavkuAIFO, orgZkontrolujAIFO – viz kapitola 3.3.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1A59F8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</w:t>
            </w:r>
          </w:p>
        </w:tc>
      </w:tr>
    </w:tbl>
    <w:p w14:paraId="19D97E82" w14:textId="77777777" w:rsidR="004B22F4" w:rsidRDefault="004F488B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(V </w:t>
      </w:r>
      <w:r>
        <w:rPr>
          <w:sz w:val="16"/>
          <w:szCs w:val="16"/>
        </w:rPr>
        <w:t>případě, že má změnový požadavek dopad na napojení na SIEM, PIM nebo Management zranitelnosti dle bodu 1, uveďte také požadovanou součinnost Oddělení kybernetické bezpečnosti.)</w:t>
      </w:r>
    </w:p>
    <w:p w14:paraId="47D700EA" w14:textId="77777777" w:rsidR="004B22F4" w:rsidRDefault="004B22F4"/>
    <w:p w14:paraId="1E4AF9FC" w14:textId="77777777" w:rsidR="004B22F4" w:rsidRDefault="004F488B">
      <w:pPr>
        <w:rPr>
          <w:b/>
          <w:szCs w:val="22"/>
        </w:rPr>
      </w:pPr>
      <w:r>
        <w:rPr>
          <w:szCs w:val="22"/>
        </w:rPr>
        <w:br w:type="page"/>
      </w:r>
    </w:p>
    <w:p w14:paraId="3D64FE61" w14:textId="77777777" w:rsidR="004B22F4" w:rsidRDefault="004F488B">
      <w:pPr>
        <w:pStyle w:val="Nadpis1"/>
        <w:keepLines/>
        <w:numPr>
          <w:ilvl w:val="0"/>
          <w:numId w:val="44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Harmonogram realizace</w:t>
      </w:r>
      <w:r>
        <w:rPr>
          <w:b w:val="0"/>
          <w:sz w:val="22"/>
          <w:szCs w:val="22"/>
          <w:vertAlign w:val="superscript"/>
        </w:rPr>
        <w:endnoteReference w:id="2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4B22F4" w14:paraId="5A854965" w14:textId="77777777">
        <w:trPr>
          <w:trHeight w:val="3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B42A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FA2CC" w14:textId="77777777" w:rsidR="004B22F4" w:rsidRDefault="004F488B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B22F4" w14:paraId="5C6CDAAC" w14:textId="77777777">
        <w:trPr>
          <w:trHeight w:val="284"/>
        </w:trPr>
        <w:tc>
          <w:tcPr>
            <w:tcW w:w="510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5D8700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realizace</w:t>
            </w:r>
          </w:p>
        </w:tc>
        <w:tc>
          <w:tcPr>
            <w:tcW w:w="467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D10E6A4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T0 = </w:t>
            </w:r>
            <w:r>
              <w:rPr>
                <w:color w:val="000000"/>
                <w:szCs w:val="22"/>
                <w:lang w:eastAsia="cs-CZ"/>
              </w:rPr>
              <w:t>Zveřejnění objednávky v registru smluv</w:t>
            </w:r>
          </w:p>
        </w:tc>
      </w:tr>
      <w:tr w:rsidR="004B22F4" w14:paraId="64A5D414" w14:textId="77777777">
        <w:trPr>
          <w:trHeight w:val="284"/>
        </w:trPr>
        <w:tc>
          <w:tcPr>
            <w:tcW w:w="510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DE20F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Ukončení realizace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A630AA" w14:textId="77777777" w:rsidR="004B22F4" w:rsidRDefault="004F488B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T1 = T0 + 45 pracovních dnů</w:t>
            </w:r>
          </w:p>
        </w:tc>
      </w:tr>
    </w:tbl>
    <w:p w14:paraId="48C5F9CD" w14:textId="77777777" w:rsidR="004B22F4" w:rsidRDefault="004F488B">
      <w:pPr>
        <w:pStyle w:val="Nadpis1"/>
        <w:keepLines/>
        <w:numPr>
          <w:ilvl w:val="0"/>
          <w:numId w:val="44"/>
        </w:numPr>
        <w:spacing w:before="120" w:after="60"/>
        <w:ind w:left="284" w:hanging="284"/>
        <w:jc w:val="left"/>
        <w:rPr>
          <w:sz w:val="22"/>
          <w:szCs w:val="22"/>
        </w:rPr>
      </w:pPr>
      <w:bookmarkStart w:id="0" w:name="_Ref31623420"/>
      <w:r>
        <w:rPr>
          <w:sz w:val="22"/>
          <w:szCs w:val="22"/>
        </w:rPr>
        <w:t>Pracnost a cenová nabídka navrhovaného řešení</w:t>
      </w:r>
      <w:bookmarkEnd w:id="0"/>
    </w:p>
    <w:p w14:paraId="6E0D14F2" w14:textId="77777777" w:rsidR="004B22F4" w:rsidRDefault="004F488B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1701"/>
        <w:gridCol w:w="1699"/>
      </w:tblGrid>
      <w:tr w:rsidR="004B22F4" w14:paraId="0E5A5B2C" w14:textId="7777777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98233" w14:textId="77777777" w:rsidR="004B22F4" w:rsidRDefault="004F488B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 xml:space="preserve">Oblast / </w:t>
            </w:r>
            <w:r>
              <w:rPr>
                <w:b/>
                <w:szCs w:val="22"/>
              </w:rPr>
              <w:t>role</w:t>
            </w:r>
            <w:r>
              <w:rPr>
                <w:rStyle w:val="Odkaznavysvtlivky"/>
                <w:szCs w:val="22"/>
              </w:rPr>
              <w:endnoteReference w:id="23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4A2C9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E511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1942A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E0B0B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4B22F4" w14:paraId="2C5001A0" w14:textId="77777777">
        <w:trPr>
          <w:trHeight w:hRule="exact" w:val="20"/>
        </w:trPr>
        <w:tc>
          <w:tcPr>
            <w:tcW w:w="1276" w:type="dxa"/>
            <w:tcBorders>
              <w:top w:val="single" w:sz="8" w:space="0" w:color="auto"/>
              <w:left w:val="dotted" w:sz="4" w:space="0" w:color="auto"/>
            </w:tcBorders>
          </w:tcPr>
          <w:p w14:paraId="3B6866F9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2F433CF1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185C543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3ED81C4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099821A9" w14:textId="77777777" w:rsidR="004B22F4" w:rsidRDefault="004B22F4">
            <w:pPr>
              <w:pStyle w:val="Tabulka"/>
              <w:rPr>
                <w:szCs w:val="22"/>
              </w:rPr>
            </w:pPr>
          </w:p>
        </w:tc>
      </w:tr>
      <w:tr w:rsidR="004B22F4" w14:paraId="4D37F442" w14:textId="77777777">
        <w:trPr>
          <w:trHeight w:val="39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14:paraId="145B1791" w14:textId="77777777" w:rsidR="004B22F4" w:rsidRDefault="004B22F4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05A3D13F" w14:textId="77777777" w:rsidR="004B22F4" w:rsidRDefault="004F488B">
            <w:pPr>
              <w:pStyle w:val="Tabulka"/>
              <w:rPr>
                <w:szCs w:val="22"/>
              </w:rPr>
            </w:pPr>
            <w:r>
              <w:t>Viz cenová nabídka v 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89F20DF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t>34,5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BBCF3B1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t xml:space="preserve"> 307 050,00 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6ADD7755" w14:textId="77777777" w:rsidR="004B22F4" w:rsidRDefault="004F488B">
            <w:pPr>
              <w:pStyle w:val="Tabulka"/>
              <w:jc w:val="right"/>
              <w:rPr>
                <w:szCs w:val="22"/>
              </w:rPr>
            </w:pPr>
            <w:r>
              <w:t>371 530,50</w:t>
            </w:r>
          </w:p>
        </w:tc>
      </w:tr>
      <w:tr w:rsidR="004B22F4" w14:paraId="57CF8BFF" w14:textId="77777777">
        <w:trPr>
          <w:trHeight w:val="397"/>
        </w:trPr>
        <w:tc>
          <w:tcPr>
            <w:tcW w:w="510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6A275E5" w14:textId="77777777" w:rsidR="004B22F4" w:rsidRDefault="004F488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191BDF0" w14:textId="77777777" w:rsidR="004B22F4" w:rsidRDefault="004F488B">
            <w:pPr>
              <w:pStyle w:val="Tabulka"/>
              <w:jc w:val="right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34,5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F3081D1" w14:textId="77777777" w:rsidR="004B22F4" w:rsidRDefault="004F488B">
            <w:pPr>
              <w:pStyle w:val="Tabulka"/>
              <w:jc w:val="right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 xml:space="preserve"> 307 050,00 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62F122C3" w14:textId="77777777" w:rsidR="004B22F4" w:rsidRDefault="004F488B">
            <w:pPr>
              <w:pStyle w:val="Tabulka"/>
              <w:jc w:val="right"/>
              <w:rPr>
                <w:b/>
                <w:bCs w:val="0"/>
                <w:szCs w:val="22"/>
              </w:rPr>
            </w:pPr>
            <w:r>
              <w:rPr>
                <w:b/>
                <w:bCs w:val="0"/>
              </w:rPr>
              <w:t>371 530,50</w:t>
            </w:r>
          </w:p>
        </w:tc>
      </w:tr>
    </w:tbl>
    <w:p w14:paraId="503AAAD3" w14:textId="77777777" w:rsidR="004B22F4" w:rsidRDefault="004B22F4">
      <w:pPr>
        <w:rPr>
          <w:sz w:val="8"/>
          <w:szCs w:val="8"/>
        </w:rPr>
      </w:pPr>
    </w:p>
    <w:p w14:paraId="75B83DC9" w14:textId="77777777" w:rsidR="004B22F4" w:rsidRDefault="004F488B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38273FC1" w14:textId="77777777" w:rsidR="004B22F4" w:rsidRDefault="004B22F4">
      <w:pPr>
        <w:rPr>
          <w:szCs w:val="22"/>
        </w:rPr>
      </w:pPr>
    </w:p>
    <w:p w14:paraId="54C5B324" w14:textId="77777777" w:rsidR="004B22F4" w:rsidRDefault="004F488B">
      <w:pPr>
        <w:pStyle w:val="Nadpis1"/>
        <w:keepLines/>
        <w:numPr>
          <w:ilvl w:val="0"/>
          <w:numId w:val="44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Posouzení</w:t>
      </w:r>
    </w:p>
    <w:p w14:paraId="3F7658B9" w14:textId="77777777" w:rsidR="004B22F4" w:rsidRDefault="004F488B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br/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4B22F4" w14:paraId="40981A2C" w14:textId="77777777">
        <w:trPr>
          <w:trHeight w:val="374"/>
        </w:trPr>
        <w:tc>
          <w:tcPr>
            <w:tcW w:w="3256" w:type="dxa"/>
            <w:vAlign w:val="center"/>
          </w:tcPr>
          <w:p w14:paraId="3A369995" w14:textId="77777777" w:rsidR="004B22F4" w:rsidRDefault="004F488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BAEC3F1" w14:textId="77777777" w:rsidR="004B22F4" w:rsidRDefault="004F488B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5A9FD415" w14:textId="77777777" w:rsidR="004B22F4" w:rsidRDefault="004F488B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4"/>
            </w:r>
          </w:p>
        </w:tc>
      </w:tr>
      <w:tr w:rsidR="004B22F4" w14:paraId="49335479" w14:textId="77777777">
        <w:trPr>
          <w:trHeight w:hRule="exact" w:val="737"/>
        </w:trPr>
        <w:tc>
          <w:tcPr>
            <w:tcW w:w="3256" w:type="dxa"/>
            <w:vAlign w:val="center"/>
          </w:tcPr>
          <w:p w14:paraId="2630DD15" w14:textId="77777777" w:rsidR="004B22F4" w:rsidRDefault="004F488B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3B9E32F7" w14:textId="77777777" w:rsidR="004B22F4" w:rsidRDefault="004F488B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3F15FA62" w14:textId="77777777" w:rsidR="004B22F4" w:rsidRDefault="004B22F4"/>
        </w:tc>
      </w:tr>
      <w:tr w:rsidR="004B22F4" w14:paraId="633E2FA2" w14:textId="77777777">
        <w:trPr>
          <w:trHeight w:hRule="exact" w:val="737"/>
        </w:trPr>
        <w:tc>
          <w:tcPr>
            <w:tcW w:w="3256" w:type="dxa"/>
            <w:vAlign w:val="center"/>
          </w:tcPr>
          <w:p w14:paraId="513C7BC0" w14:textId="77777777" w:rsidR="004B22F4" w:rsidRDefault="004F488B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18644DC4" w14:textId="77777777" w:rsidR="004B22F4" w:rsidRDefault="004F488B">
            <w:r>
              <w:t>Aleš Prošek</w:t>
            </w:r>
          </w:p>
        </w:tc>
        <w:tc>
          <w:tcPr>
            <w:tcW w:w="2977" w:type="dxa"/>
            <w:vAlign w:val="center"/>
          </w:tcPr>
          <w:p w14:paraId="5B0829F3" w14:textId="77777777" w:rsidR="004B22F4" w:rsidRDefault="004B22F4"/>
        </w:tc>
      </w:tr>
      <w:tr w:rsidR="004B22F4" w14:paraId="6C08234A" w14:textId="77777777">
        <w:trPr>
          <w:trHeight w:hRule="exact" w:val="737"/>
        </w:trPr>
        <w:tc>
          <w:tcPr>
            <w:tcW w:w="3256" w:type="dxa"/>
            <w:vAlign w:val="center"/>
          </w:tcPr>
          <w:p w14:paraId="63B64A51" w14:textId="77777777" w:rsidR="004B22F4" w:rsidRDefault="004F488B">
            <w:r>
              <w:t>Architekt</w:t>
            </w:r>
          </w:p>
        </w:tc>
        <w:tc>
          <w:tcPr>
            <w:tcW w:w="2976" w:type="dxa"/>
            <w:vAlign w:val="center"/>
          </w:tcPr>
          <w:p w14:paraId="634DF7EA" w14:textId="77777777" w:rsidR="004B22F4" w:rsidRDefault="004F488B">
            <w:r>
              <w:t>Pavel Petr</w:t>
            </w:r>
          </w:p>
        </w:tc>
        <w:tc>
          <w:tcPr>
            <w:tcW w:w="2977" w:type="dxa"/>
            <w:vAlign w:val="center"/>
          </w:tcPr>
          <w:p w14:paraId="412CBAD4" w14:textId="77777777" w:rsidR="004B22F4" w:rsidRDefault="004B22F4"/>
        </w:tc>
      </w:tr>
    </w:tbl>
    <w:p w14:paraId="0F3ECAA4" w14:textId="77777777" w:rsidR="004B22F4" w:rsidRDefault="004F488B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</w:t>
      </w:r>
      <w:r>
        <w:rPr>
          <w:sz w:val="16"/>
          <w:szCs w:val="16"/>
        </w:rPr>
        <w:t>a bezpečnost, provoz, příp. architekturu. Koordinátor změny rozhodne, od koho vyžádat posouzení dle konkrétního případu změnového požadavku.)</w:t>
      </w:r>
    </w:p>
    <w:p w14:paraId="76F0B9AF" w14:textId="77777777" w:rsidR="004B22F4" w:rsidRDefault="004B22F4"/>
    <w:p w14:paraId="0C10730D" w14:textId="77777777" w:rsidR="004B22F4" w:rsidRDefault="004F488B">
      <w:pPr>
        <w:pStyle w:val="Nadpis1"/>
        <w:keepLines/>
        <w:numPr>
          <w:ilvl w:val="0"/>
          <w:numId w:val="44"/>
        </w:numPr>
        <w:spacing w:before="120" w:after="60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Schválení</w:t>
      </w:r>
    </w:p>
    <w:p w14:paraId="6E1A7297" w14:textId="77777777" w:rsidR="004B22F4" w:rsidRDefault="004F488B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4B22F4" w14:paraId="678060AE" w14:textId="77777777">
        <w:trPr>
          <w:trHeight w:val="374"/>
        </w:trPr>
        <w:tc>
          <w:tcPr>
            <w:tcW w:w="3256" w:type="dxa"/>
            <w:vAlign w:val="center"/>
          </w:tcPr>
          <w:p w14:paraId="07AB05E4" w14:textId="77777777" w:rsidR="004B22F4" w:rsidRDefault="004F488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470DB932" w14:textId="77777777" w:rsidR="004B22F4" w:rsidRDefault="004F488B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748683EF" w14:textId="77777777" w:rsidR="004B22F4" w:rsidRDefault="004F488B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4B22F4" w14:paraId="701DEB87" w14:textId="77777777">
        <w:trPr>
          <w:trHeight w:hRule="exact" w:val="737"/>
        </w:trPr>
        <w:tc>
          <w:tcPr>
            <w:tcW w:w="3256" w:type="dxa"/>
            <w:vAlign w:val="center"/>
          </w:tcPr>
          <w:p w14:paraId="4309F2F7" w14:textId="77777777" w:rsidR="004B22F4" w:rsidRDefault="004F488B">
            <w:r>
              <w:t>Žadatel</w:t>
            </w:r>
          </w:p>
        </w:tc>
        <w:tc>
          <w:tcPr>
            <w:tcW w:w="2976" w:type="dxa"/>
            <w:vAlign w:val="center"/>
          </w:tcPr>
          <w:p w14:paraId="6FBABBF4" w14:textId="77777777" w:rsidR="004B22F4" w:rsidRDefault="004F488B">
            <w:r>
              <w:t>Jarmila Samková</w:t>
            </w:r>
          </w:p>
        </w:tc>
        <w:tc>
          <w:tcPr>
            <w:tcW w:w="2977" w:type="dxa"/>
            <w:vAlign w:val="center"/>
          </w:tcPr>
          <w:p w14:paraId="69C971C1" w14:textId="77777777" w:rsidR="004B22F4" w:rsidRDefault="004B22F4"/>
        </w:tc>
      </w:tr>
      <w:tr w:rsidR="004B22F4" w14:paraId="3BAE78B7" w14:textId="77777777">
        <w:trPr>
          <w:trHeight w:hRule="exact" w:val="737"/>
        </w:trPr>
        <w:tc>
          <w:tcPr>
            <w:tcW w:w="3256" w:type="dxa"/>
            <w:vAlign w:val="center"/>
          </w:tcPr>
          <w:p w14:paraId="46E181E5" w14:textId="77777777" w:rsidR="004B22F4" w:rsidRDefault="004F488B">
            <w:r>
              <w:t>Věcný garant</w:t>
            </w:r>
          </w:p>
        </w:tc>
        <w:tc>
          <w:tcPr>
            <w:tcW w:w="2976" w:type="dxa"/>
            <w:vAlign w:val="center"/>
          </w:tcPr>
          <w:p w14:paraId="5440FEBD" w14:textId="77777777" w:rsidR="004B22F4" w:rsidRDefault="004F488B">
            <w:r>
              <w:t>Lenka Typoltová</w:t>
            </w:r>
          </w:p>
        </w:tc>
        <w:tc>
          <w:tcPr>
            <w:tcW w:w="2977" w:type="dxa"/>
            <w:vAlign w:val="center"/>
          </w:tcPr>
          <w:p w14:paraId="5C797C9D" w14:textId="77777777" w:rsidR="004B22F4" w:rsidRDefault="004B22F4"/>
        </w:tc>
      </w:tr>
      <w:tr w:rsidR="004B22F4" w14:paraId="2ACE3DE0" w14:textId="77777777">
        <w:trPr>
          <w:trHeight w:hRule="exact" w:val="737"/>
        </w:trPr>
        <w:tc>
          <w:tcPr>
            <w:tcW w:w="3256" w:type="dxa"/>
            <w:vAlign w:val="center"/>
          </w:tcPr>
          <w:p w14:paraId="2F59CA9D" w14:textId="77777777" w:rsidR="004B22F4" w:rsidRDefault="004F488B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22BEC37A" w14:textId="77777777" w:rsidR="004B22F4" w:rsidRDefault="004F488B">
            <w:r>
              <w:t>Václav Krejčí</w:t>
            </w:r>
          </w:p>
        </w:tc>
        <w:tc>
          <w:tcPr>
            <w:tcW w:w="2977" w:type="dxa"/>
            <w:vAlign w:val="center"/>
          </w:tcPr>
          <w:p w14:paraId="0B5DDC04" w14:textId="77777777" w:rsidR="004B22F4" w:rsidRDefault="004B22F4"/>
        </w:tc>
      </w:tr>
      <w:tr w:rsidR="004B22F4" w14:paraId="25D0115C" w14:textId="77777777">
        <w:trPr>
          <w:trHeight w:hRule="exact" w:val="737"/>
        </w:trPr>
        <w:tc>
          <w:tcPr>
            <w:tcW w:w="3256" w:type="dxa"/>
            <w:vAlign w:val="center"/>
          </w:tcPr>
          <w:p w14:paraId="45288B99" w14:textId="77777777" w:rsidR="004B22F4" w:rsidRDefault="004F488B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3F804286" w14:textId="77777777" w:rsidR="004B22F4" w:rsidRDefault="004F488B">
            <w:r>
              <w:t>Vladimír Velas</w:t>
            </w:r>
          </w:p>
        </w:tc>
        <w:tc>
          <w:tcPr>
            <w:tcW w:w="2977" w:type="dxa"/>
            <w:vAlign w:val="center"/>
          </w:tcPr>
          <w:p w14:paraId="3684F5A2" w14:textId="77777777" w:rsidR="004B22F4" w:rsidRDefault="004B22F4"/>
        </w:tc>
      </w:tr>
    </w:tbl>
    <w:p w14:paraId="3A36B12B" w14:textId="77777777" w:rsidR="004B22F4" w:rsidRDefault="004F488B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5F3781AE" w14:textId="77777777" w:rsidR="004B22F4" w:rsidRDefault="004B22F4">
      <w:pPr>
        <w:spacing w:before="60"/>
        <w:rPr>
          <w:sz w:val="16"/>
          <w:szCs w:val="16"/>
        </w:rPr>
      </w:pPr>
    </w:p>
    <w:p w14:paraId="6F76DFDA" w14:textId="77777777" w:rsidR="004B22F4" w:rsidRDefault="004B22F4">
      <w:pPr>
        <w:spacing w:before="60"/>
        <w:rPr>
          <w:sz w:val="16"/>
          <w:szCs w:val="16"/>
        </w:rPr>
        <w:sectPr w:rsidR="004B22F4">
          <w:footerReference w:type="default" r:id="rId21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E76A0C3" w14:textId="77777777" w:rsidR="004B22F4" w:rsidRDefault="004F488B">
      <w:pPr>
        <w:pStyle w:val="Nadpis1"/>
        <w:ind w:left="142" w:firstLine="0"/>
      </w:pPr>
      <w:r>
        <w:lastRenderedPageBreak/>
        <w:t>Vysvětlivky</w:t>
      </w:r>
    </w:p>
    <w:p w14:paraId="68022856" w14:textId="77777777" w:rsidR="004B22F4" w:rsidRDefault="004B22F4">
      <w:pPr>
        <w:rPr>
          <w:szCs w:val="22"/>
        </w:rPr>
      </w:pPr>
    </w:p>
    <w:sectPr w:rsidR="004B22F4">
      <w:headerReference w:type="even" r:id="rId22"/>
      <w:headerReference w:type="default" r:id="rId23"/>
      <w:footerReference w:type="default" r:id="rId24"/>
      <w:headerReference w:type="first" r:id="rId2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3B77" w14:textId="77777777" w:rsidR="001E4F8B" w:rsidRDefault="001E4F8B">
      <w:r>
        <w:separator/>
      </w:r>
    </w:p>
  </w:endnote>
  <w:endnote w:type="continuationSeparator" w:id="0">
    <w:p w14:paraId="1B82BD27" w14:textId="77777777" w:rsidR="001E4F8B" w:rsidRDefault="001E4F8B">
      <w:r>
        <w:continuationSeparator/>
      </w:r>
    </w:p>
  </w:endnote>
  <w:endnote w:id="1">
    <w:p w14:paraId="5D917167" w14:textId="77777777" w:rsidR="004B22F4" w:rsidRDefault="004F488B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sz w:val="18"/>
          <w:szCs w:val="18"/>
        </w:rPr>
        <w:endnoteRef/>
      </w:r>
      <w:r>
        <w:rPr>
          <w:sz w:val="18"/>
          <w:szCs w:val="18"/>
        </w:rPr>
        <w:t xml:space="preserve"> Formulář RfC je tvořen t</w:t>
      </w:r>
      <w:r>
        <w:rPr>
          <w:rFonts w:cs="Arial"/>
          <w:sz w:val="16"/>
          <w:szCs w:val="16"/>
        </w:rPr>
        <w:t>řemi</w:t>
      </w:r>
      <w:r>
        <w:rPr>
          <w:sz w:val="18"/>
          <w:szCs w:val="18"/>
        </w:rPr>
        <w:t xml:space="preserve"> částmi, A - Věcné zadání, </w:t>
      </w:r>
      <w:r>
        <w:rPr>
          <w:rFonts w:cs="Arial"/>
          <w:sz w:val="16"/>
          <w:szCs w:val="16"/>
        </w:rPr>
        <w:t>B</w:t>
      </w:r>
      <w:r>
        <w:rPr>
          <w:sz w:val="18"/>
          <w:szCs w:val="18"/>
        </w:rPr>
        <w:t xml:space="preserve"> – Nabídka </w:t>
      </w:r>
      <w:r>
        <w:rPr>
          <w:rFonts w:cs="Arial"/>
          <w:sz w:val="16"/>
          <w:szCs w:val="16"/>
        </w:rPr>
        <w:t>řešení,</w:t>
      </w:r>
      <w:r>
        <w:rPr>
          <w:sz w:val="18"/>
          <w:szCs w:val="18"/>
        </w:rPr>
        <w:t xml:space="preserve"> </w:t>
      </w:r>
      <w:r>
        <w:rPr>
          <w:rFonts w:cs="Arial"/>
          <w:sz w:val="16"/>
          <w:szCs w:val="16"/>
        </w:rPr>
        <w:t>C</w:t>
      </w:r>
      <w:r>
        <w:rPr>
          <w:sz w:val="18"/>
          <w:szCs w:val="18"/>
        </w:rPr>
        <w:t xml:space="preserve"> - Potvrzení realizace požadavku. První část </w:t>
      </w:r>
      <w:r>
        <w:rPr>
          <w:rFonts w:cs="Arial"/>
          <w:sz w:val="16"/>
          <w:szCs w:val="16"/>
        </w:rPr>
        <w:t xml:space="preserve">(Věcné zadání) </w:t>
      </w:r>
      <w:r>
        <w:rPr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6"/>
          <w:szCs w:val="16"/>
        </w:rPr>
        <w:t>ou</w:t>
      </w:r>
      <w:r>
        <w:rPr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6"/>
          <w:szCs w:val="16"/>
        </w:rPr>
        <w:t>nabídky, kterou předloží MZe.</w:t>
      </w:r>
      <w:r>
        <w:rPr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6"/>
          <w:szCs w:val="16"/>
        </w:rPr>
        <w:t xml:space="preserve"> </w:t>
      </w:r>
      <w:r>
        <w:rPr>
          <w:sz w:val="18"/>
          <w:szCs w:val="18"/>
        </w:rPr>
        <w:t>p</w:t>
      </w:r>
      <w:r>
        <w:rPr>
          <w:rFonts w:cs="Arial"/>
          <w:sz w:val="16"/>
          <w:szCs w:val="16"/>
        </w:rPr>
        <w:t xml:space="preserve">řiloží </w:t>
      </w:r>
      <w:r>
        <w:rPr>
          <w:rFonts w:cs="Arial"/>
          <w:sz w:val="18"/>
          <w:szCs w:val="18"/>
        </w:rPr>
        <w:t>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Poskytovateli/dodavatel</w:t>
      </w:r>
      <w:r>
        <w:rPr>
          <w:rFonts w:cs="Arial"/>
          <w:sz w:val="18"/>
          <w:szCs w:val="18"/>
        </w:rPr>
        <w:t xml:space="preserve">i se poté vyplněný formulář RfC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2FB8683E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</w:t>
      </w:r>
      <w:r>
        <w:rPr>
          <w:rFonts w:cs="Arial"/>
          <w:sz w:val="18"/>
          <w:szCs w:val="18"/>
        </w:rPr>
        <w:t>idenci projektové kanceláře MZe</w:t>
      </w:r>
    </w:p>
  </w:endnote>
  <w:endnote w:id="3">
    <w:p w14:paraId="5083D49C" w14:textId="77777777" w:rsidR="004B22F4" w:rsidRDefault="004F488B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6C804673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</w:t>
      </w:r>
      <w:r>
        <w:rPr>
          <w:rFonts w:cs="Arial"/>
          <w:sz w:val="18"/>
          <w:szCs w:val="18"/>
        </w:rPr>
        <w:t>o jejíž podporu systém slouží.</w:t>
      </w:r>
    </w:p>
  </w:endnote>
  <w:endnote w:id="5">
    <w:p w14:paraId="101BAB8E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„Normální změna“.</w:t>
      </w:r>
    </w:p>
  </w:endnote>
  <w:endnote w:id="6">
    <w:p w14:paraId="10913125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2D1701A7" w14:textId="77777777" w:rsidR="004B22F4" w:rsidRDefault="004F488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 xml:space="preserve">Typem požadavku „legislativní“ je myšlen </w:t>
      </w:r>
      <w:r>
        <w:rPr>
          <w:sz w:val="18"/>
          <w:szCs w:val="18"/>
        </w:rPr>
        <w:t>požadavek, který vyplývá ze změny právního předpisu, příp. z nového právního předpisu.</w:t>
      </w:r>
    </w:p>
  </w:endnote>
  <w:endnote w:id="8">
    <w:p w14:paraId="66A739C2" w14:textId="77777777" w:rsidR="004B22F4" w:rsidRDefault="004F488B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385FBC5E" w14:textId="77777777" w:rsidR="004B22F4" w:rsidRDefault="004F488B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změny. Uvedený seznam d</w:t>
      </w:r>
      <w:r>
        <w:rPr>
          <w:rFonts w:cs="Arial"/>
          <w:sz w:val="18"/>
          <w:szCs w:val="18"/>
        </w:rPr>
        <w:t>okumentace je pouze příkladem.</w:t>
      </w:r>
    </w:p>
  </w:endnote>
  <w:endnote w:id="10">
    <w:p w14:paraId="4BCA2369" w14:textId="77777777" w:rsidR="004B22F4" w:rsidRDefault="004F488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1">
    <w:p w14:paraId="24BD5501" w14:textId="77777777" w:rsidR="004B22F4" w:rsidRDefault="004F488B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</w:t>
      </w:r>
      <w:r>
        <w:rPr>
          <w:rFonts w:cs="Arial"/>
          <w:sz w:val="18"/>
          <w:szCs w:val="18"/>
        </w:rPr>
        <w:t xml:space="preserve">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2">
    <w:p w14:paraId="0E72C362" w14:textId="77777777" w:rsidR="004B22F4" w:rsidRDefault="004F488B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63BE4D08" w14:textId="77777777" w:rsidR="004B22F4" w:rsidRDefault="004F488B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4">
    <w:p w14:paraId="169E2239" w14:textId="77777777" w:rsidR="004B22F4" w:rsidRDefault="004F488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 xml:space="preserve">Pokud není určen metodický garant, podepíše </w:t>
      </w:r>
      <w:r>
        <w:rPr>
          <w:rFonts w:cs="Arial"/>
          <w:sz w:val="18"/>
          <w:szCs w:val="18"/>
        </w:rPr>
        <w:t>věcné zadání věcný garant.</w:t>
      </w:r>
    </w:p>
  </w:endnote>
  <w:endnote w:id="15">
    <w:p w14:paraId="4B9390EA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16">
    <w:p w14:paraId="772B414A" w14:textId="77777777" w:rsidR="004B22F4" w:rsidRDefault="004F488B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7">
    <w:p w14:paraId="51749D62" w14:textId="77777777" w:rsidR="004B22F4" w:rsidRDefault="004F488B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Pokud z vyhodnocení dopadů </w:t>
      </w:r>
      <w:r>
        <w:rPr>
          <w:sz w:val="18"/>
          <w:szCs w:val="18"/>
        </w:rPr>
        <w:t>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</w:t>
      </w:r>
      <w:r>
        <w:rPr>
          <w:sz w:val="18"/>
          <w:szCs w:val="18"/>
        </w:rPr>
        <w:t>ení, nebude-li v části C RfC v bodu 1 „Specifikace plnění“ stanoveno jinak.</w:t>
      </w:r>
    </w:p>
  </w:endnote>
  <w:endnote w:id="18">
    <w:p w14:paraId="01C688DB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14:paraId="387CDB47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14:paraId="28F50298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</w:t>
      </w:r>
      <w:r>
        <w:rPr>
          <w:rFonts w:cs="Arial"/>
          <w:sz w:val="18"/>
          <w:szCs w:val="18"/>
        </w:rPr>
        <w:t xml:space="preserve"> určená osoba oprávněná k předkládání požadavku na předložení nabídky.</w:t>
      </w:r>
    </w:p>
  </w:endnote>
  <w:endnote w:id="21">
    <w:p w14:paraId="5A715CDB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2">
    <w:p w14:paraId="4A041D04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3">
    <w:p w14:paraId="1ADA0C08" w14:textId="77777777" w:rsidR="004B22F4" w:rsidRDefault="004F488B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</w:t>
      </w:r>
      <w:r>
        <w:rPr>
          <w:rFonts w:cs="Arial"/>
          <w:sz w:val="18"/>
          <w:szCs w:val="18"/>
        </w:rPr>
        <w:t>ouze v relevantních případech, např. u požadavku na infrastrukturu.</w:t>
      </w:r>
    </w:p>
  </w:endnote>
  <w:endnote w:id="24">
    <w:p w14:paraId="3A0C3FC3" w14:textId="77777777" w:rsidR="004B22F4" w:rsidRDefault="004F488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0252" w14:textId="77777777" w:rsidR="004B22F4" w:rsidRDefault="004B2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89F7" w14:textId="49A08281" w:rsidR="004B22F4" w:rsidRDefault="004F488B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 Stupeň důvěrnosti: </w:t>
    </w:r>
    <w:sdt>
      <w:sdtPr>
        <w:rPr>
          <w:sz w:val="16"/>
          <w:szCs w:val="16"/>
        </w:r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219C" w14:textId="77777777" w:rsidR="004B22F4" w:rsidRDefault="004B22F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E189" w14:textId="12A2D2D3" w:rsidR="004B22F4" w:rsidRDefault="004F488B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132C" w14:textId="21A966F0" w:rsidR="004B22F4" w:rsidRDefault="004F488B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6"/>
          <w:szCs w:val="16"/>
        </w:r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6"/>
            <w:szCs w:val="16"/>
          </w:rPr>
          <w:t>Veřejné</w:t>
        </w:r>
      </w:sdtContent>
    </w:sdt>
    <w:r>
      <w:rPr>
        <w:sz w:val="16"/>
        <w:szCs w:val="16"/>
      </w:rPr>
      <w:t xml:space="preserve"> 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D934" w14:textId="6C0EC97E" w:rsidR="004B22F4" w:rsidRDefault="004F488B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7C2859" w:rsidRPr="007C2859">
      <w:rPr>
        <w:bCs/>
      </w:rPr>
      <w:t>MZE-7185/2023-12121</w:t>
    </w:r>
    <w:r>
      <w:rPr>
        <w:bCs/>
      </w:rP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A86C51" w14:textId="77777777" w:rsidR="004B22F4" w:rsidRDefault="004B22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2FDE" w14:textId="77777777" w:rsidR="001E4F8B" w:rsidRDefault="001E4F8B">
      <w:r>
        <w:separator/>
      </w:r>
    </w:p>
  </w:footnote>
  <w:footnote w:type="continuationSeparator" w:id="0">
    <w:p w14:paraId="03B02F9C" w14:textId="77777777" w:rsidR="001E4F8B" w:rsidRDefault="001E4F8B">
      <w:r>
        <w:continuationSeparator/>
      </w:r>
    </w:p>
  </w:footnote>
  <w:footnote w:id="1">
    <w:p w14:paraId="7E884DE9" w14:textId="77777777" w:rsidR="004B22F4" w:rsidRDefault="004F48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PIMem nebo v něm </w:t>
      </w:r>
      <w:r>
        <w:rPr>
          <w:sz w:val="16"/>
          <w:szCs w:val="16"/>
        </w:rPr>
        <w:t>budou jen evidované.</w:t>
      </w:r>
    </w:p>
  </w:footnote>
  <w:footnote w:id="2">
    <w:p w14:paraId="4E21D959" w14:textId="77777777" w:rsidR="004B22F4" w:rsidRDefault="004F48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039C03AD" w14:textId="77777777" w:rsidR="004B22F4" w:rsidRDefault="004F48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1345BD3F" w14:textId="77777777" w:rsidR="004B22F4" w:rsidRDefault="004F488B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</w:t>
      </w:r>
      <w:r>
        <w:rPr>
          <w:sz w:val="16"/>
          <w:szCs w:val="16"/>
        </w:rPr>
        <w:t xml:space="preserve">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5417" w14:textId="77777777" w:rsidR="004B22F4" w:rsidRDefault="004F488B">
    <w:pPr>
      <w:pStyle w:val="Zhlav"/>
    </w:pPr>
    <w:r>
      <w:pict w14:anchorId="6E533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e976b5-01d6-4d52-a8de-3b132f145cb6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1B1C" w14:textId="77777777" w:rsidR="004B22F4" w:rsidRDefault="004F488B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pict w14:anchorId="08D37F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1f45659-0cb8-4801-8946-31a082889ecf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34DFD575" wp14:editId="0A0CB6FC">
          <wp:extent cx="885825" cy="419100"/>
          <wp:effectExtent l="0" t="0" r="9525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02B6" w14:textId="77777777" w:rsidR="004B22F4" w:rsidRDefault="004F488B">
    <w:pPr>
      <w:pStyle w:val="Zhlav"/>
    </w:pPr>
    <w:r>
      <w:pict w14:anchorId="24D48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6e77d-3552-4610-92df-e644e0b7be92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3CC3" w14:textId="77777777" w:rsidR="004B22F4" w:rsidRDefault="004F488B">
    <w:r>
      <w:pict w14:anchorId="0957A5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40f74d0-ffed-411f-9049-1f2001ee3c8d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4FAE" w14:textId="77777777" w:rsidR="004B22F4" w:rsidRDefault="004F488B">
    <w:r>
      <w:pict w14:anchorId="02621A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3292e3-dd79-4a4e-b3d6-f23e41100a47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2546" w14:textId="77777777" w:rsidR="004B22F4" w:rsidRDefault="004F488B">
    <w:r>
      <w:pict w14:anchorId="08AD6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05bf75-f258-4b70-808b-24d7a230f1ac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D5B8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"/>
      </v:shape>
    </w:pict>
  </w:numPicBullet>
  <w:abstractNum w:abstractNumId="0" w15:restartNumberingAfterBreak="0">
    <w:nsid w:val="0107171B"/>
    <w:multiLevelType w:val="multilevel"/>
    <w:tmpl w:val="A33A7798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multilevel"/>
    <w:tmpl w:val="1A6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C0F9"/>
    <w:multiLevelType w:val="multilevel"/>
    <w:tmpl w:val="34B8F3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9A05617"/>
    <w:multiLevelType w:val="multilevel"/>
    <w:tmpl w:val="E698DC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D0D557D"/>
    <w:multiLevelType w:val="multilevel"/>
    <w:tmpl w:val="46A2427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A63B83"/>
    <w:multiLevelType w:val="multilevel"/>
    <w:tmpl w:val="D91CC196"/>
    <w:lvl w:ilvl="0">
      <w:start w:val="1"/>
      <w:numFmt w:val="upperLetter"/>
      <w:lvlText w:val="%1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D7291D"/>
    <w:multiLevelType w:val="multilevel"/>
    <w:tmpl w:val="D90ADA9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80EA"/>
    <w:multiLevelType w:val="multilevel"/>
    <w:tmpl w:val="144CF6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C39377D"/>
    <w:multiLevelType w:val="multilevel"/>
    <w:tmpl w:val="BD6E95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EEF78DE"/>
    <w:multiLevelType w:val="multilevel"/>
    <w:tmpl w:val="3EE65362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2E3579"/>
    <w:multiLevelType w:val="multilevel"/>
    <w:tmpl w:val="C74EB2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29001A9"/>
    <w:multiLevelType w:val="multilevel"/>
    <w:tmpl w:val="66649F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09344D"/>
    <w:multiLevelType w:val="multilevel"/>
    <w:tmpl w:val="992A46A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671A2C"/>
    <w:multiLevelType w:val="multilevel"/>
    <w:tmpl w:val="110672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6269F"/>
    <w:multiLevelType w:val="multilevel"/>
    <w:tmpl w:val="6734BC7E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B40B6"/>
    <w:multiLevelType w:val="multilevel"/>
    <w:tmpl w:val="69B6FC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2C1664F9"/>
    <w:multiLevelType w:val="multilevel"/>
    <w:tmpl w:val="B58651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2DF375C3"/>
    <w:multiLevelType w:val="multilevel"/>
    <w:tmpl w:val="CFE656D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A2822"/>
    <w:multiLevelType w:val="multilevel"/>
    <w:tmpl w:val="AA14300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A7C5B"/>
    <w:multiLevelType w:val="multilevel"/>
    <w:tmpl w:val="61D82D5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B6B35"/>
    <w:multiLevelType w:val="multilevel"/>
    <w:tmpl w:val="308A78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362C6FCD"/>
    <w:multiLevelType w:val="multilevel"/>
    <w:tmpl w:val="97B0E8D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033A83"/>
    <w:multiLevelType w:val="multilevel"/>
    <w:tmpl w:val="1CCAF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C3E8A"/>
    <w:multiLevelType w:val="multilevel"/>
    <w:tmpl w:val="C40ED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930EB"/>
    <w:multiLevelType w:val="multilevel"/>
    <w:tmpl w:val="3462F8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414D5F60"/>
    <w:multiLevelType w:val="multilevel"/>
    <w:tmpl w:val="85B60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E6DD0"/>
    <w:multiLevelType w:val="multilevel"/>
    <w:tmpl w:val="F7A4F3E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37A64"/>
    <w:multiLevelType w:val="multilevel"/>
    <w:tmpl w:val="6EF429EE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053848"/>
    <w:multiLevelType w:val="multilevel"/>
    <w:tmpl w:val="ECE6D5B0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0A03928"/>
    <w:multiLevelType w:val="multilevel"/>
    <w:tmpl w:val="73DAF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5901415"/>
    <w:multiLevelType w:val="multilevel"/>
    <w:tmpl w:val="6CF8FA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9CB1465"/>
    <w:multiLevelType w:val="multilevel"/>
    <w:tmpl w:val="AC1E98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D72F0"/>
    <w:multiLevelType w:val="multilevel"/>
    <w:tmpl w:val="D62281B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16788"/>
    <w:multiLevelType w:val="multilevel"/>
    <w:tmpl w:val="86EA47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2094A7B"/>
    <w:multiLevelType w:val="multilevel"/>
    <w:tmpl w:val="329038A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A3B0"/>
    <w:multiLevelType w:val="multilevel"/>
    <w:tmpl w:val="F7A4FA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67E75299"/>
    <w:multiLevelType w:val="multilevel"/>
    <w:tmpl w:val="29A892E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528EF"/>
    <w:multiLevelType w:val="multilevel"/>
    <w:tmpl w:val="B73C0D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E2E7B"/>
    <w:multiLevelType w:val="multilevel"/>
    <w:tmpl w:val="BF0839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4E96E28"/>
    <w:multiLevelType w:val="multilevel"/>
    <w:tmpl w:val="4E3A6C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 w15:restartNumberingAfterBreak="0">
    <w:nsid w:val="75521209"/>
    <w:multiLevelType w:val="multilevel"/>
    <w:tmpl w:val="0ABA06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65966"/>
    <w:multiLevelType w:val="multilevel"/>
    <w:tmpl w:val="DB025538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29272052">
    <w:abstractNumId w:val="0"/>
  </w:num>
  <w:num w:numId="2" w16cid:durableId="1346833629">
    <w:abstractNumId w:val="1"/>
  </w:num>
  <w:num w:numId="3" w16cid:durableId="909317114">
    <w:abstractNumId w:val="2"/>
  </w:num>
  <w:num w:numId="4" w16cid:durableId="1579751293">
    <w:abstractNumId w:val="3"/>
  </w:num>
  <w:num w:numId="5" w16cid:durableId="467358121">
    <w:abstractNumId w:val="4"/>
  </w:num>
  <w:num w:numId="6" w16cid:durableId="476528826">
    <w:abstractNumId w:val="5"/>
  </w:num>
  <w:num w:numId="7" w16cid:durableId="863716600">
    <w:abstractNumId w:val="6"/>
  </w:num>
  <w:num w:numId="8" w16cid:durableId="493683620">
    <w:abstractNumId w:val="7"/>
  </w:num>
  <w:num w:numId="9" w16cid:durableId="1709525567">
    <w:abstractNumId w:val="8"/>
  </w:num>
  <w:num w:numId="10" w16cid:durableId="1145588820">
    <w:abstractNumId w:val="9"/>
  </w:num>
  <w:num w:numId="11" w16cid:durableId="805972785">
    <w:abstractNumId w:val="10"/>
  </w:num>
  <w:num w:numId="12" w16cid:durableId="878931721">
    <w:abstractNumId w:val="11"/>
  </w:num>
  <w:num w:numId="13" w16cid:durableId="134761860">
    <w:abstractNumId w:val="12"/>
  </w:num>
  <w:num w:numId="14" w16cid:durableId="1822500515">
    <w:abstractNumId w:val="13"/>
  </w:num>
  <w:num w:numId="15" w16cid:durableId="969242510">
    <w:abstractNumId w:val="14"/>
  </w:num>
  <w:num w:numId="16" w16cid:durableId="1464080010">
    <w:abstractNumId w:val="15"/>
  </w:num>
  <w:num w:numId="17" w16cid:durableId="1211530820">
    <w:abstractNumId w:val="16"/>
  </w:num>
  <w:num w:numId="18" w16cid:durableId="1112935892">
    <w:abstractNumId w:val="17"/>
  </w:num>
  <w:num w:numId="19" w16cid:durableId="228344085">
    <w:abstractNumId w:val="18"/>
  </w:num>
  <w:num w:numId="20" w16cid:durableId="606617483">
    <w:abstractNumId w:val="19"/>
  </w:num>
  <w:num w:numId="21" w16cid:durableId="1582642976">
    <w:abstractNumId w:val="20"/>
  </w:num>
  <w:num w:numId="22" w16cid:durableId="1557202352">
    <w:abstractNumId w:val="21"/>
  </w:num>
  <w:num w:numId="23" w16cid:durableId="648359795">
    <w:abstractNumId w:val="22"/>
  </w:num>
  <w:num w:numId="24" w16cid:durableId="1895198144">
    <w:abstractNumId w:val="23"/>
  </w:num>
  <w:num w:numId="25" w16cid:durableId="975646151">
    <w:abstractNumId w:val="24"/>
  </w:num>
  <w:num w:numId="26" w16cid:durableId="2036029813">
    <w:abstractNumId w:val="25"/>
  </w:num>
  <w:num w:numId="27" w16cid:durableId="1787694458">
    <w:abstractNumId w:val="26"/>
  </w:num>
  <w:num w:numId="28" w16cid:durableId="1495292853">
    <w:abstractNumId w:val="27"/>
  </w:num>
  <w:num w:numId="29" w16cid:durableId="967470217">
    <w:abstractNumId w:val="28"/>
  </w:num>
  <w:num w:numId="30" w16cid:durableId="2068263932">
    <w:abstractNumId w:val="29"/>
  </w:num>
  <w:num w:numId="31" w16cid:durableId="735932730">
    <w:abstractNumId w:val="30"/>
  </w:num>
  <w:num w:numId="32" w16cid:durableId="1892181677">
    <w:abstractNumId w:val="31"/>
  </w:num>
  <w:num w:numId="33" w16cid:durableId="1869562093">
    <w:abstractNumId w:val="32"/>
  </w:num>
  <w:num w:numId="34" w16cid:durableId="1416781195">
    <w:abstractNumId w:val="33"/>
  </w:num>
  <w:num w:numId="35" w16cid:durableId="1024358313">
    <w:abstractNumId w:val="34"/>
  </w:num>
  <w:num w:numId="36" w16cid:durableId="421950092">
    <w:abstractNumId w:val="35"/>
  </w:num>
  <w:num w:numId="37" w16cid:durableId="1089548441">
    <w:abstractNumId w:val="36"/>
  </w:num>
  <w:num w:numId="38" w16cid:durableId="1446272578">
    <w:abstractNumId w:val="37"/>
  </w:num>
  <w:num w:numId="39" w16cid:durableId="1675767520">
    <w:abstractNumId w:val="38"/>
  </w:num>
  <w:num w:numId="40" w16cid:durableId="1676885392">
    <w:abstractNumId w:val="39"/>
  </w:num>
  <w:num w:numId="41" w16cid:durableId="989140031">
    <w:abstractNumId w:val="40"/>
  </w:num>
  <w:num w:numId="42" w16cid:durableId="1759867538">
    <w:abstractNumId w:val="41"/>
  </w:num>
  <w:num w:numId="43" w16cid:durableId="4569497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7503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5459226"/>
    <w:docVar w:name="dms_carovy_kod_cj" w:val="MZE-7185/2023-12121"/>
    <w:docVar w:name="dms_cj" w:val="MZE-7185/2023-12121"/>
    <w:docVar w:name="dms_cj_skn" w:val=" "/>
    <w:docVar w:name="dms_datum" w:val="7. 3. 2023"/>
    <w:docVar w:name="dms_datum_textem" w:val="7. března 2023"/>
    <w:docVar w:name="dms_datum_vzniku" w:val="2. 2. 2023 15:06:05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Václav Krejčí"/>
    <w:docVar w:name="dms_podpisova_dolozka_funkce" w:val=" "/>
    <w:docVar w:name="dms_podpisova_dolozka_jmeno" w:val="Ing. Václav Krejčí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5772/2021-11151"/>
    <w:docVar w:name="dms_spravce_jmeno" w:val="Ing. Václav Krejčí"/>
    <w:docVar w:name="dms_spravce_mail" w:val="Vaclav.Krejci@mze.cz"/>
    <w:docVar w:name="dms_spravce_telefon" w:val="22181214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1"/>
    <w:docVar w:name="dms_utvar_nazev" w:val="Oddělení rozvoje ICT"/>
    <w:docVar w:name="dms_utvar_nazev_adresa" w:val="12121 - Oddělení rozvoje ICT_x000d__x000a_Těšnov 65/17_x000d__x000a_Nové Město_x000d__x000a_110 00 Praha 1"/>
    <w:docVar w:name="dms_utvar_nazev_do_dopisu" w:val="Oddělení rozvoje ICT"/>
    <w:docVar w:name="dms_vec" w:val="728_PZ_PRAIS_II_2023_SZR_ZK_AIFO_(Z35820)"/>
    <w:docVar w:name="dms_VNVSpravce" w:val=" "/>
    <w:docVar w:name="dms_zpracoval_jmeno" w:val="Ing. Václav Krejčí"/>
    <w:docVar w:name="dms_zpracoval_mail" w:val="Vaclav.Krejci@mze.cz"/>
    <w:docVar w:name="dms_zpracoval_telefon" w:val="221812149"/>
  </w:docVars>
  <w:rsids>
    <w:rsidRoot w:val="004B22F4"/>
    <w:rsid w:val="001E4F8B"/>
    <w:rsid w:val="00297646"/>
    <w:rsid w:val="004B22F4"/>
    <w:rsid w:val="004F488B"/>
    <w:rsid w:val="007C2859"/>
    <w:rsid w:val="008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7"/>
    <o:shapelayout v:ext="edit">
      <o:idmap v:ext="edit" data="2,3"/>
      <o:rules v:ext="edit">
        <o:r id="V:Rule2" type="connector" idref="#_x0000_s4054"/>
      </o:rules>
    </o:shapelayout>
  </w:shapeDefaults>
  <w:decimalSymbol w:val=","/>
  <w:listSeparator w:val=";"/>
  <w14:docId w14:val="56967F6F"/>
  <w15:docId w15:val="{C03B2879-967B-4EDD-9A63-210D1CC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"/>
    <w:link w:val="Nadpis2Char"/>
    <w:uiPriority w:val="9"/>
    <w:qFormat/>
    <w:pPr>
      <w:keepNext/>
      <w:outlineLvl w:val="1"/>
    </w:pPr>
    <w:rPr>
      <w:b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link w:val="Nadpis4Char"/>
    <w:uiPriority w:val="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b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tabs>
        <w:tab w:val="left" w:pos="540"/>
      </w:tabs>
      <w:spacing w:before="120" w:after="60"/>
      <w:ind w:left="1566" w:hanging="432"/>
      <w:jc w:val="left"/>
    </w:pPr>
    <w:rPr>
      <w:rFonts w:eastAsia="Times New Roman" w:cs="Times New Roman"/>
      <w:b w:val="0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qFormat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qFormat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5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22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22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table" w:styleId="Svtlstnovnzvraznn3">
    <w:name w:val="Light Shading Accent 3"/>
    <w:basedOn w:val="Normlntabulka"/>
    <w:uiPriority w:val="60"/>
    <w:rPr>
      <w:rFonts w:asciiTheme="minorHAnsi" w:eastAsiaTheme="minorHAnsi" w:hAnsiTheme="minorHAnsi" w:cstheme="minorBid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  <w:vAlign w:val="top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13387</Characters>
  <Application>Microsoft Office Word</Application>
  <DocSecurity>0</DocSecurity>
  <Lines>111</Lines>
  <Paragraphs>31</Paragraphs>
  <ScaleCrop>false</ScaleCrop>
  <Company>T-Soft a.s.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cp:lastPrinted>2023-03-07T09:11:00Z</cp:lastPrinted>
  <dcterms:created xsi:type="dcterms:W3CDTF">2023-03-16T10:35:00Z</dcterms:created>
  <dcterms:modified xsi:type="dcterms:W3CDTF">2023-03-16T10:35:00Z</dcterms:modified>
</cp:coreProperties>
</file>