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DODATEK Č. 3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smlouvě Drtě a lomový kámen určené k vysprávkám komunikací Vysočiny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část II, VI, VII, VIII, IX - 4/8, 32/63, 0/32, 0/63 a LK</w:t>
        <w:br/>
        <w:t>pro cestmistrovství Havlíčkův Brod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 11. 06. 2010</w:t>
      </w:r>
      <w:bookmarkEnd w:id="0"/>
      <w:bookmarkEnd w:id="1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Číslo smlouvy kupujícího: </w:t>
      </w:r>
      <w:r>
        <w:rPr>
          <w:b/>
          <w:bCs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153/KSÚSV/HB/10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Číslo smlouvy prodávajícího</w:t>
      </w:r>
      <w:r>
        <w:rPr>
          <w:b/>
          <w:bCs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: 47012620</w:t>
      </w:r>
    </w:p>
    <w:tbl>
      <w:tblPr>
        <w:tblOverlap w:val="never"/>
        <w:jc w:val="center"/>
        <w:tblLayout w:type="fixed"/>
      </w:tblPr>
      <w:tblGrid>
        <w:gridCol w:w="1982"/>
        <w:gridCol w:w="6955"/>
      </w:tblGrid>
      <w:tr>
        <w:trPr>
          <w:trHeight w:val="61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Článek 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Kupující: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tbl>
      <w:tblPr>
        <w:tblOverlap w:val="never"/>
        <w:jc w:val="center"/>
        <w:tblLayout w:type="fixed"/>
      </w:tblPr>
      <w:tblGrid>
        <w:gridCol w:w="1982"/>
        <w:gridCol w:w="6955"/>
      </w:tblGrid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ředitel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tbl>
      <w:tblPr>
        <w:tblOverlap w:val="never"/>
        <w:jc w:val="center"/>
        <w:tblLayout w:type="fixed"/>
      </w:tblPr>
      <w:tblGrid>
        <w:gridCol w:w="1982"/>
        <w:gridCol w:w="6960"/>
      </w:tblGrid>
      <w:tr>
        <w:trPr>
          <w:trHeight w:val="66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Prodávající: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Českomoravský štěrk, a.s.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Mokrá 359, 664 04 Mokrá-Horákov</w:t>
            </w:r>
          </w:p>
        </w:tc>
      </w:tr>
      <w:tr>
        <w:trPr>
          <w:trHeight w:val="14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Prodávající je na základě plné moci zastoupen společností Českomoravský cement, a.s., se sídlem Mokrá 359, 664 04, Mokrá-Horákov, IČO: 26209578, zapsanou v obchodním rejstříku vedeném Krajským soudem v Brně, odd. B, vložce 5528,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 výkonu zastoupení jsou oprávněni: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25502247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CZ25502247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2"/>
      <w:bookmarkEnd w:id="3"/>
    </w:p>
    <w:p>
      <w:pPr>
        <w:pStyle w:val="Style2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vzájemně dohodly na změně stávající smlouvy číslo kupujícího 153/KSÚSV/HB/10, číslo prodávajícího 47012620, ze dne 11. 06. 2010, spočívající ve změně ceny plnění v souladu s odst. 11.2.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11. Závěrečná ustanovení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 naplnění podmínek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9 Inflační doložka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smlouvy na základě ročního růstu indexu spotřebitelských cen vyhlášených Českým statistickým úřadem za rok 2022.</w:t>
      </w:r>
    </w:p>
    <w:p>
      <w:pPr>
        <w:pStyle w:val="Style2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ve znění platných dodatků se mění o průměrnou míru inflace za rok 2022, tj. +15,1 %; z platných cen aktualizovaných Dodatkem č. 2.</w:t>
      </w:r>
    </w:p>
    <w:p>
      <w:pPr>
        <w:pStyle w:val="Style2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Ceny plnění sjednané v odstavci 3.1.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Cena za plnění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ve znění platných dodatků se nahrazují novými cenami takto:</w:t>
      </w:r>
    </w:p>
    <w:tbl>
      <w:tblPr>
        <w:tblOverlap w:val="never"/>
        <w:jc w:val="center"/>
        <w:tblLayout w:type="fixed"/>
      </w:tblPr>
      <w:tblGrid>
        <w:gridCol w:w="1781"/>
        <w:gridCol w:w="1987"/>
        <w:gridCol w:w="2016"/>
      </w:tblGrid>
      <w:tr>
        <w:trPr>
          <w:trHeight w:val="384" w:hRule="exact"/>
        </w:trPr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Drť frakce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1 tunu v Kč bez DPH</w:t>
            </w:r>
          </w:p>
        </w:tc>
      </w:tr>
      <w:tr>
        <w:trPr>
          <w:trHeight w:val="360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včetně dopravy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0/32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287,-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0/63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243,-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280,-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32/63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295,-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329,-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4/8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428,-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463,-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LK 0/500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257,-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292,-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2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7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souhlasí s Ceníkem drtí dle odst. 2.3. dodatku č. 3 od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01.02.2023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ještě před platností a účinností tohoto Dodatku.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4"/>
      <w:bookmarkEnd w:id="5"/>
    </w:p>
    <w:p>
      <w:pPr>
        <w:pStyle w:val="Style2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nedotčené Dodatkem č. 3 ve znění platných dodatků se nemění a zůstávají v platnosti.</w:t>
      </w:r>
    </w:p>
    <w:p>
      <w:pPr>
        <w:pStyle w:val="Style2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je nedílnou součástí smlouvy v aktuálním znění.</w:t>
      </w:r>
    </w:p>
    <w:p>
      <w:pPr>
        <w:pStyle w:val="Style2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je vyhotoven v elektronické podobě, přičemž obě smluvní strany obdrží jeho elektronický originál.</w:t>
      </w:r>
    </w:p>
    <w:p>
      <w:pPr>
        <w:pStyle w:val="Style2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3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3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jeho uveřejnění v registru smluv.</w:t>
      </w:r>
    </w:p>
    <w:p>
      <w:pPr>
        <w:pStyle w:val="Style2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2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after="7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3 byl sepsán na základě pravdivých údajů, z jejich pravé 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svobodné vůle a nebyl uzavřen v tísni za jednostranně nevýhodných podmínek.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5"/>
          <w:footerReference w:type="default" r:id="rId6"/>
          <w:headerReference w:type="even" r:id="rId7"/>
          <w:footerReference w:type="even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0" w:h="16840"/>
          <w:pgMar w:top="1724" w:left="1373" w:right="1378" w:bottom="1537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4" w:after="9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34" w:left="0" w:right="0" w:bottom="708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Mokré dne: viz podpis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34" w:left="1378" w:right="3360" w:bottom="7081" w:header="0" w:footer="3" w:gutter="0"/>
          <w:cols w:num="2" w:space="263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 viz podpis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1" w:after="11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34" w:left="0" w:right="0" w:bottom="173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0</wp:posOffset>
                </wp:positionV>
                <wp:extent cx="1932305" cy="146050"/>
                <wp:wrapSquare wrapText="bothSides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230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Ondřej Matějka, na základě plné moci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8.900000000000006pt;margin-top:0;width:152.15000000000001pt;height:11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Ondřej Matějka, na základě plné moci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182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30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Viktor Zapletal, na základě plné moci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734" w:left="4421" w:right="1383" w:bottom="173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10150475</wp:posOffset>
              </wp:positionV>
              <wp:extent cx="600710" cy="9144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273.85000000000002pt;margin-top:799.25pt;width:47.299999999999997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10112375</wp:posOffset>
              </wp:positionV>
              <wp:extent cx="5800090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000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96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10150475</wp:posOffset>
              </wp:positionV>
              <wp:extent cx="600710" cy="9144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273.85000000000002pt;margin-top:799.25pt;width:47.299999999999997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10112375</wp:posOffset>
              </wp:positionV>
              <wp:extent cx="5800090" cy="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000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96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10150475</wp:posOffset>
              </wp:positionV>
              <wp:extent cx="600710" cy="9144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273.85000000000002pt;margin-top:799.25pt;width:47.299999999999997pt;height:7.2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10112375</wp:posOffset>
              </wp:positionV>
              <wp:extent cx="5800090" cy="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000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96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615950</wp:posOffset>
              </wp:positionV>
              <wp:extent cx="3011170" cy="3263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11170" cy="3263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Drtě a lomový kámen určené k vysprávkám komunikací Vysočiny -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část II, VI, VII, VIII, IX - 4/8, 32/63, 0/32, 0/63 a LK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pro cestmistrovství Havlíčkův Brod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799999999999997pt;margin-top:48.5pt;width:237.09999999999999pt;height:25.6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Drtě a lomový kámen určené k vysprávkám komunikací Vysočiny -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část II, VI, VII, VIII, IX - 4/8, 32/63, 0/32, 0/63 a LK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pro cestmistrovství Havlíčkův Brod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949960</wp:posOffset>
              </wp:positionV>
              <wp:extent cx="580009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000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4.799999999999997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615950</wp:posOffset>
              </wp:positionV>
              <wp:extent cx="3011170" cy="3263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11170" cy="3263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Drtě a lomový kámen určené k vysprávkám komunikací Vysočiny -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část II, VI, VII, VIII, IX - 4/8, 32/63, 0/32, 0/63 a LK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pro cestmistrovství Havlíčkův Brod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0.799999999999997pt;margin-top:48.5pt;width:237.09999999999999pt;height:25.69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Drtě a lomový kámen určené k vysprávkám komunikací Vysočiny -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část II, VI, VII, VIII, IX - 4/8, 32/63, 0/32, 0/63 a LK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pro cestmistrovství Havlíčkův Brod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949960</wp:posOffset>
              </wp:positionV>
              <wp:extent cx="5800090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000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4.799999999999997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615950</wp:posOffset>
              </wp:positionV>
              <wp:extent cx="3011170" cy="32639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11170" cy="3263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Drtě a lomový kámen určené k vysprávkám komunikací Vysočiny -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část II, VI, VII, VIII, IX - 4/8, 32/63, 0/32, 0/63 a LK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pro cestmistrovství Havlíčkův Brod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0.799999999999997pt;margin-top:48.5pt;width:237.09999999999999pt;height:25.69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Drtě a lomový kámen určené k vysprávkám komunikací Vysočiny -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část II, VI, VII, VIII, IX - 4/8, 32/63, 0/32, 0/63 a LK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pro cestmistrovství Havlíčkův Brod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949960</wp:posOffset>
              </wp:positionV>
              <wp:extent cx="5800090" cy="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000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4.799999999999997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dpis #1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Základní text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Základní text (2)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  <w:spacing w:before="140" w:after="100" w:line="36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22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Základní text"/>
    <w:basedOn w:val="Normal"/>
    <w:link w:val="CharStyle21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Základní text (2)"/>
    <w:basedOn w:val="Normal"/>
    <w:link w:val="CharStyle29"/>
    <w:pPr>
      <w:widowControl w:val="0"/>
      <w:shd w:val="clear" w:color="auto" w:fill="FFFFFF"/>
      <w:spacing w:after="910"/>
      <w:ind w:left="18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Kostelecká Miluše</dc:creator>
  <cp:keywords/>
</cp:coreProperties>
</file>