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37" w:rsidRDefault="00E13428">
      <w:pPr>
        <w:spacing w:before="179" w:line="249" w:lineRule="auto"/>
        <w:ind w:left="118" w:right="7386"/>
        <w:rPr>
          <w:rFonts w:ascii="Arial" w:hAnsi="Arial"/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67.65pt;margin-top:-.4pt;width:190.15pt;height:56.55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94"/>
                    <w:gridCol w:w="1114"/>
                    <w:gridCol w:w="1380"/>
                  </w:tblGrid>
                  <w:tr w:rsidR="00197F37">
                    <w:trPr>
                      <w:trHeight w:hRule="exact" w:val="293"/>
                    </w:trPr>
                    <w:tc>
                      <w:tcPr>
                        <w:tcW w:w="3788" w:type="dxa"/>
                        <w:gridSpan w:val="3"/>
                      </w:tcPr>
                      <w:p w:rsidR="00197F37" w:rsidRDefault="00E13428">
                        <w:pPr>
                          <w:pStyle w:val="TableParagraph"/>
                          <w:spacing w:before="23"/>
                          <w:ind w:left="12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Evidenční číslo</w:t>
                        </w:r>
                      </w:p>
                    </w:tc>
                  </w:tr>
                  <w:tr w:rsidR="00197F37">
                    <w:trPr>
                      <w:trHeight w:hRule="exact" w:val="293"/>
                    </w:trPr>
                    <w:tc>
                      <w:tcPr>
                        <w:tcW w:w="1294" w:type="dxa"/>
                      </w:tcPr>
                      <w:p w:rsidR="00197F37" w:rsidRDefault="00E13428">
                        <w:pPr>
                          <w:pStyle w:val="TableParagraph"/>
                          <w:spacing w:before="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SM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197F37" w:rsidRDefault="00197F37"/>
                    </w:tc>
                    <w:tc>
                      <w:tcPr>
                        <w:tcW w:w="1380" w:type="dxa"/>
                      </w:tcPr>
                      <w:p w:rsidR="00197F37" w:rsidRDefault="00197F37"/>
                    </w:tc>
                  </w:tr>
                  <w:tr w:rsidR="00197F37">
                    <w:trPr>
                      <w:trHeight w:hRule="exact" w:val="264"/>
                    </w:trPr>
                    <w:tc>
                      <w:tcPr>
                        <w:tcW w:w="1294" w:type="dxa"/>
                      </w:tcPr>
                      <w:p w:rsidR="00197F37" w:rsidRDefault="00E13428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poř. číslo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197F37" w:rsidRDefault="00E13428">
                        <w:pPr>
                          <w:pStyle w:val="TableParagraph"/>
                          <w:ind w:left="392" w:right="3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rok</w:t>
                        </w:r>
                      </w:p>
                    </w:tc>
                    <w:tc>
                      <w:tcPr>
                        <w:tcW w:w="1380" w:type="dxa"/>
                      </w:tcPr>
                      <w:p w:rsidR="00197F37" w:rsidRDefault="00E13428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pracoviště</w:t>
                        </w:r>
                      </w:p>
                    </w:tc>
                  </w:tr>
                  <w:tr w:rsidR="00197F37">
                    <w:trPr>
                      <w:trHeight w:hRule="exact" w:val="271"/>
                    </w:trPr>
                    <w:tc>
                      <w:tcPr>
                        <w:tcW w:w="1294" w:type="dxa"/>
                      </w:tcPr>
                      <w:p w:rsidR="00197F37" w:rsidRDefault="00197F37"/>
                    </w:tc>
                    <w:tc>
                      <w:tcPr>
                        <w:tcW w:w="1114" w:type="dxa"/>
                      </w:tcPr>
                      <w:p w:rsidR="00197F37" w:rsidRDefault="00197F37"/>
                    </w:tc>
                    <w:tc>
                      <w:tcPr>
                        <w:tcW w:w="1380" w:type="dxa"/>
                      </w:tcPr>
                      <w:p w:rsidR="00197F37" w:rsidRDefault="00197F37"/>
                    </w:tc>
                  </w:tr>
                </w:tbl>
                <w:p w:rsidR="00197F37" w:rsidRDefault="00197F3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color w:val="003B69"/>
          <w:sz w:val="20"/>
        </w:rPr>
        <w:t>Městská nemocnice Ostrava, příspěvková organizace</w:t>
      </w:r>
    </w:p>
    <w:p w:rsidR="00197F37" w:rsidRDefault="00197F37">
      <w:pPr>
        <w:pStyle w:val="Zkladntext"/>
        <w:rPr>
          <w:rFonts w:ascii="Arial"/>
          <w:b/>
        </w:rPr>
      </w:pPr>
    </w:p>
    <w:p w:rsidR="00197F37" w:rsidRDefault="00197F37">
      <w:pPr>
        <w:pStyle w:val="Zkladntext"/>
        <w:rPr>
          <w:rFonts w:ascii="Arial"/>
          <w:b/>
        </w:rPr>
      </w:pPr>
    </w:p>
    <w:p w:rsidR="00197F37" w:rsidRDefault="00197F37">
      <w:pPr>
        <w:pStyle w:val="Zkladntext"/>
        <w:rPr>
          <w:rFonts w:ascii="Arial"/>
          <w:b/>
        </w:rPr>
      </w:pPr>
    </w:p>
    <w:p w:rsidR="00197F37" w:rsidRDefault="00197F37">
      <w:pPr>
        <w:pStyle w:val="Zkladntext"/>
        <w:spacing w:before="11"/>
        <w:rPr>
          <w:rFonts w:ascii="Arial"/>
          <w:b/>
          <w:sz w:val="18"/>
        </w:rPr>
      </w:pPr>
    </w:p>
    <w:p w:rsidR="00197F37" w:rsidRDefault="00E13428">
      <w:pPr>
        <w:spacing w:line="364" w:lineRule="exact"/>
        <w:ind w:left="260" w:right="145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Smlouva o převozech pacientů nehrazených zdravotním pojištěním</w:t>
      </w:r>
    </w:p>
    <w:p w:rsidR="00197F37" w:rsidRDefault="00E13428">
      <w:pPr>
        <w:spacing w:before="280"/>
        <w:ind w:left="260" w:right="879"/>
        <w:rPr>
          <w:sz w:val="24"/>
        </w:rPr>
      </w:pPr>
      <w:r>
        <w:rPr>
          <w:sz w:val="24"/>
        </w:rPr>
        <w:t>uzavřená dle ust. § 1746 odst. 2 zák. č. 89/2012 Sb., občanského zákoníku, ve znění pozdějších předpisů (dále jen „občanský zákoník“) níže uvedeného dne, měsíce a roku, označenými smluvními stranami</w:t>
      </w:r>
    </w:p>
    <w:p w:rsidR="00197F37" w:rsidRDefault="00197F37">
      <w:pPr>
        <w:pStyle w:val="Zkladntext"/>
        <w:spacing w:before="1"/>
        <w:rPr>
          <w:sz w:val="24"/>
        </w:rPr>
      </w:pPr>
    </w:p>
    <w:p w:rsidR="00197F37" w:rsidRDefault="00E13428">
      <w:pPr>
        <w:ind w:left="260"/>
        <w:jc w:val="both"/>
        <w:rPr>
          <w:sz w:val="24"/>
        </w:rPr>
      </w:pPr>
      <w:r>
        <w:rPr>
          <w:sz w:val="24"/>
        </w:rPr>
        <w:t>(dále jen „Smlouva“)</w:t>
      </w:r>
    </w:p>
    <w:p w:rsidR="00197F37" w:rsidRDefault="00197F37">
      <w:pPr>
        <w:pStyle w:val="Zkladntext"/>
        <w:spacing w:before="1"/>
        <w:rPr>
          <w:sz w:val="28"/>
        </w:rPr>
      </w:pPr>
    </w:p>
    <w:p w:rsidR="00197F37" w:rsidRDefault="00E13428">
      <w:pPr>
        <w:pStyle w:val="Odstavecseseznamem"/>
        <w:numPr>
          <w:ilvl w:val="0"/>
          <w:numId w:val="1"/>
        </w:numPr>
        <w:tabs>
          <w:tab w:val="left" w:pos="688"/>
        </w:tabs>
        <w:ind w:hanging="42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Smluvní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strany</w:t>
      </w:r>
    </w:p>
    <w:p w:rsidR="00197F37" w:rsidRDefault="00E13428">
      <w:pPr>
        <w:pStyle w:val="Zkladntext"/>
        <w:spacing w:before="2"/>
        <w:rPr>
          <w:rFonts w:ascii="Arial"/>
          <w:b/>
          <w:sz w:val="29"/>
        </w:rPr>
      </w:pPr>
      <w:r>
        <w:pict>
          <v:line id="_x0000_s1038" style="position:absolute;z-index:251654656;mso-wrap-distance-left:0;mso-wrap-distance-right:0;mso-position-horizontal-relative:page" from="61.5pt,19.1pt" to="537pt,19.1pt">
            <w10:wrap type="topAndBottom" anchorx="page"/>
          </v:line>
        </w:pict>
      </w:r>
    </w:p>
    <w:p w:rsidR="00197F37" w:rsidRDefault="00E13428">
      <w:pPr>
        <w:spacing w:before="73"/>
        <w:ind w:left="260" w:right="1293"/>
        <w:rPr>
          <w:b/>
          <w:sz w:val="24"/>
        </w:rPr>
      </w:pPr>
      <w:r>
        <w:rPr>
          <w:b/>
          <w:sz w:val="24"/>
        </w:rPr>
        <w:t>Zdravotnická záchranná služba Moravskoslezského kraje, příspěvková organizace</w:t>
      </w:r>
    </w:p>
    <w:p w:rsidR="00197F37" w:rsidRDefault="00E13428">
      <w:pPr>
        <w:pStyle w:val="Zkladntext"/>
        <w:tabs>
          <w:tab w:val="left" w:pos="2386"/>
        </w:tabs>
        <w:spacing w:line="242" w:lineRule="auto"/>
        <w:ind w:left="260" w:right="3446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Výškovická 2995/40, 700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Ostrava</w:t>
      </w:r>
      <w:r>
        <w:t xml:space="preserve"> </w:t>
      </w:r>
      <w:r>
        <w:t>Zastoupená:</w:t>
      </w:r>
      <w:r>
        <w:tab/>
        <w:t>MUDr. Romanem Gřegořem, MBA,</w:t>
      </w:r>
      <w:r>
        <w:rPr>
          <w:spacing w:val="-13"/>
        </w:rPr>
        <w:t xml:space="preserve"> </w:t>
      </w:r>
      <w:r>
        <w:t>ředitelem</w:t>
      </w:r>
    </w:p>
    <w:p w:rsidR="00197F37" w:rsidRDefault="00E13428">
      <w:pPr>
        <w:pStyle w:val="Zkladntext"/>
        <w:tabs>
          <w:tab w:val="left" w:pos="2386"/>
        </w:tabs>
        <w:ind w:left="260" w:right="1477"/>
      </w:pPr>
      <w:r>
        <w:t>zapsaná v obchodním rejstříku vedeném u Krajského soudu v Ostravě pod sp.zn. PR 9</w:t>
      </w:r>
      <w:r>
        <w:t>13 IČO:</w:t>
      </w:r>
      <w:r>
        <w:tab/>
        <w:t>48804525</w:t>
      </w:r>
    </w:p>
    <w:p w:rsidR="00197F37" w:rsidRDefault="00197F37">
      <w:pPr>
        <w:pStyle w:val="Zkladntext"/>
        <w:spacing w:before="1"/>
      </w:pPr>
    </w:p>
    <w:p w:rsidR="00197F37" w:rsidRDefault="00E13428">
      <w:pPr>
        <w:spacing w:line="722" w:lineRule="auto"/>
        <w:ind w:left="260" w:right="7530"/>
      </w:pPr>
      <w:r>
        <w:t>dále jen „</w:t>
      </w:r>
      <w:r>
        <w:rPr>
          <w:b/>
        </w:rPr>
        <w:t xml:space="preserve">Poskytovatel“ </w:t>
      </w:r>
      <w:r>
        <w:t>a</w:t>
      </w:r>
    </w:p>
    <w:p w:rsidR="00197F37" w:rsidRDefault="00E13428">
      <w:pPr>
        <w:pStyle w:val="Nadpis1"/>
        <w:spacing w:line="268" w:lineRule="exact"/>
        <w:ind w:left="260" w:firstLine="0"/>
        <w:jc w:val="both"/>
        <w:rPr>
          <w:rFonts w:ascii="Georgia" w:hAnsi="Georgia"/>
        </w:rPr>
      </w:pPr>
      <w:r>
        <w:rPr>
          <w:rFonts w:ascii="Georgia" w:hAnsi="Georgia"/>
        </w:rPr>
        <w:t>Městská nemocnice Ostrava, příspěvková organizace</w:t>
      </w:r>
    </w:p>
    <w:p w:rsidR="00197F37" w:rsidRDefault="00E13428">
      <w:pPr>
        <w:pStyle w:val="Zkladntext"/>
        <w:tabs>
          <w:tab w:val="left" w:pos="2386"/>
        </w:tabs>
        <w:spacing w:before="3"/>
        <w:ind w:left="260" w:right="2297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 xml:space="preserve">Nemocniční 898/20A, </w:t>
      </w:r>
      <w:r>
        <w:rPr>
          <w:spacing w:val="-2"/>
        </w:rPr>
        <w:t xml:space="preserve">728 </w:t>
      </w:r>
      <w:r>
        <w:t>80</w:t>
      </w:r>
      <w:r>
        <w:rPr>
          <w:spacing w:val="2"/>
        </w:rPr>
        <w:t xml:space="preserve"> </w:t>
      </w:r>
      <w:r>
        <w:t>Ostrava-Moravská</w:t>
      </w:r>
      <w:r>
        <w:rPr>
          <w:spacing w:val="-4"/>
        </w:rPr>
        <w:t xml:space="preserve"> </w:t>
      </w:r>
      <w:r>
        <w:t>Ostrava</w:t>
      </w:r>
      <w:r>
        <w:t xml:space="preserve"> </w:t>
      </w:r>
      <w:r>
        <w:t>Zastoupená:</w:t>
      </w:r>
      <w:r>
        <w:tab/>
        <w:t>MUDr. Petrem Uhligem,</w:t>
      </w:r>
      <w:r>
        <w:rPr>
          <w:spacing w:val="-13"/>
        </w:rPr>
        <w:t xml:space="preserve"> </w:t>
      </w:r>
      <w:r>
        <w:t>ředitelem</w:t>
      </w:r>
    </w:p>
    <w:p w:rsidR="00197F37" w:rsidRDefault="00197F37">
      <w:pPr>
        <w:pStyle w:val="Zkladntext"/>
        <w:spacing w:before="10"/>
        <w:rPr>
          <w:sz w:val="21"/>
        </w:rPr>
      </w:pPr>
    </w:p>
    <w:p w:rsidR="00197F37" w:rsidRDefault="00E13428">
      <w:pPr>
        <w:ind w:left="260" w:right="463"/>
        <w:jc w:val="both"/>
        <w:rPr>
          <w:i/>
        </w:rPr>
      </w:pPr>
      <w:r>
        <w:rPr>
          <w:i/>
        </w:rPr>
        <w:t>zřízená usnesením Zastupitelstva statutárního města Os</w:t>
      </w:r>
      <w:r>
        <w:rPr>
          <w:i/>
        </w:rPr>
        <w:t>travy, zřizovací listina ve znění usnesení č. 2509/1014/32 ze dne 21. 5. 2014, příspěvková organizace nezapsaná v Obchodním rejstříku; registrace poskytovatele zdravotních služeb rozhodnutím odboru zdravotnictví Krajského úřadu Moravskoslezského kraje, čj.</w:t>
      </w:r>
      <w:r>
        <w:rPr>
          <w:i/>
        </w:rPr>
        <w:t xml:space="preserve"> MSK 70628/2022 ze dne 15.06.2022 ve znění  následných rozhodnutí o registraci</w:t>
      </w:r>
    </w:p>
    <w:p w:rsidR="00197F37" w:rsidRDefault="00197F37">
      <w:pPr>
        <w:pStyle w:val="Zkladntext"/>
        <w:spacing w:before="10"/>
        <w:rPr>
          <w:i/>
          <w:sz w:val="21"/>
        </w:rPr>
      </w:pPr>
    </w:p>
    <w:p w:rsidR="00197F37" w:rsidRDefault="00E13428">
      <w:pPr>
        <w:pStyle w:val="Zkladntext"/>
        <w:tabs>
          <w:tab w:val="left" w:pos="2386"/>
        </w:tabs>
        <w:ind w:left="260"/>
        <w:jc w:val="both"/>
      </w:pPr>
      <w:r>
        <w:t>IČO:</w:t>
      </w:r>
      <w:r>
        <w:tab/>
        <w:t>00 63 51 62</w:t>
      </w:r>
    </w:p>
    <w:p w:rsidR="00197F37" w:rsidRDefault="00E13428">
      <w:pPr>
        <w:pStyle w:val="Zkladntext"/>
        <w:tabs>
          <w:tab w:val="left" w:pos="2386"/>
        </w:tabs>
        <w:ind w:left="260"/>
        <w:jc w:val="both"/>
      </w:pPr>
      <w:r>
        <w:t>DIČ:</w:t>
      </w:r>
      <w:r>
        <w:tab/>
        <w:t>CZ 00 63 51 62</w:t>
      </w:r>
    </w:p>
    <w:p w:rsidR="00197F37" w:rsidRDefault="00197F37">
      <w:pPr>
        <w:pStyle w:val="Zkladntext"/>
        <w:spacing w:before="1"/>
      </w:pPr>
    </w:p>
    <w:p w:rsidR="00197F37" w:rsidRDefault="00E13428">
      <w:pPr>
        <w:ind w:left="260"/>
        <w:jc w:val="both"/>
        <w:rPr>
          <w:b/>
        </w:rPr>
      </w:pPr>
      <w:r>
        <w:t>dále jen „</w:t>
      </w:r>
      <w:r>
        <w:rPr>
          <w:b/>
        </w:rPr>
        <w:t>Objednatel“</w:t>
      </w:r>
    </w:p>
    <w:p w:rsidR="00197F37" w:rsidRDefault="00197F37">
      <w:pPr>
        <w:pStyle w:val="Zkladntext"/>
        <w:spacing w:before="10"/>
        <w:rPr>
          <w:b/>
          <w:sz w:val="21"/>
        </w:rPr>
      </w:pPr>
    </w:p>
    <w:p w:rsidR="00197F37" w:rsidRDefault="00E13428">
      <w:pPr>
        <w:ind w:left="260"/>
        <w:jc w:val="both"/>
      </w:pPr>
      <w:r>
        <w:t>(Objednatel a Poskytovatel dále společně jako „</w:t>
      </w:r>
      <w:r>
        <w:rPr>
          <w:b/>
        </w:rPr>
        <w:t>Smluvní strany</w:t>
      </w:r>
      <w:r>
        <w:t>“).</w:t>
      </w:r>
    </w:p>
    <w:p w:rsidR="00197F37" w:rsidRDefault="00197F37">
      <w:pPr>
        <w:pStyle w:val="Zkladntext"/>
        <w:rPr>
          <w:sz w:val="24"/>
        </w:rPr>
      </w:pPr>
    </w:p>
    <w:p w:rsidR="00197F37" w:rsidRDefault="00197F37">
      <w:pPr>
        <w:pStyle w:val="Zkladntext"/>
        <w:spacing w:before="8"/>
        <w:rPr>
          <w:sz w:val="19"/>
        </w:rPr>
      </w:pPr>
    </w:p>
    <w:p w:rsidR="00197F37" w:rsidRDefault="00E13428">
      <w:pPr>
        <w:pStyle w:val="Nadpis1"/>
        <w:numPr>
          <w:ilvl w:val="0"/>
          <w:numId w:val="1"/>
        </w:numPr>
        <w:tabs>
          <w:tab w:val="left" w:pos="688"/>
        </w:tabs>
        <w:ind w:hanging="427"/>
        <w:jc w:val="both"/>
      </w:pPr>
      <w:r>
        <w:t>Předmět</w:t>
      </w:r>
      <w:r>
        <w:rPr>
          <w:spacing w:val="-4"/>
        </w:rPr>
        <w:t xml:space="preserve"> </w:t>
      </w:r>
      <w:r>
        <w:t>Smlouvy</w:t>
      </w:r>
    </w:p>
    <w:p w:rsidR="00197F37" w:rsidRDefault="00197F37">
      <w:pPr>
        <w:pStyle w:val="Zkladntext"/>
        <w:spacing w:before="2"/>
        <w:rPr>
          <w:rFonts w:ascii="Arial"/>
          <w:b/>
          <w:sz w:val="21"/>
        </w:rPr>
      </w:pPr>
    </w:p>
    <w:p w:rsidR="00197F37" w:rsidRDefault="00E13428">
      <w:pPr>
        <w:pStyle w:val="Zkladntext"/>
        <w:ind w:left="260" w:right="464"/>
        <w:jc w:val="both"/>
      </w:pPr>
      <w:r>
        <w:t>Účelem této Smlouvy je zajistit pro Objednatele převoz pacientů vykazujících nestandardní hmotnost (</w:t>
      </w:r>
      <w:r>
        <w:rPr>
          <w:i/>
        </w:rPr>
        <w:t>morbidní obezita cca 200 kg a více</w:t>
      </w:r>
      <w:r>
        <w:t>), pro kterýžto hendikep nejsou tyto převozy  hrazeny z prostředků veřejného zdravotního</w:t>
      </w:r>
      <w:r>
        <w:rPr>
          <w:spacing w:val="-15"/>
        </w:rPr>
        <w:t xml:space="preserve"> </w:t>
      </w:r>
      <w:r>
        <w:t>pojištění.</w:t>
      </w:r>
    </w:p>
    <w:p w:rsidR="00197F37" w:rsidRDefault="00197F37">
      <w:pPr>
        <w:jc w:val="both"/>
        <w:sectPr w:rsidR="00197F37">
          <w:footerReference w:type="default" r:id="rId7"/>
          <w:type w:val="continuous"/>
          <w:pgSz w:w="11910" w:h="16840"/>
          <w:pgMar w:top="320" w:right="640" w:bottom="1560" w:left="1000" w:header="708" w:footer="1377" w:gutter="0"/>
          <w:pgNumType w:start="1"/>
          <w:cols w:space="708"/>
        </w:sectPr>
      </w:pPr>
    </w:p>
    <w:p w:rsidR="00197F37" w:rsidRDefault="00197F37">
      <w:pPr>
        <w:pStyle w:val="Zkladntext"/>
        <w:rPr>
          <w:sz w:val="20"/>
        </w:rPr>
      </w:pPr>
    </w:p>
    <w:p w:rsidR="00197F37" w:rsidRDefault="00197F37">
      <w:pPr>
        <w:pStyle w:val="Zkladntext"/>
        <w:spacing w:before="3"/>
        <w:rPr>
          <w:sz w:val="29"/>
        </w:rPr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spacing w:before="101"/>
        <w:ind w:right="107" w:hanging="566"/>
        <w:jc w:val="both"/>
      </w:pPr>
      <w:r>
        <w:t>Poskytovatel se zavazuje provést pro Objednatele na základě jeho objednávky (písemné, telefonické atp.) převoz pacienta ze zdravotnického zařízení do místa bydliště (nebo jiného místa), případně z bydliště (nebo jiného místa) do zdravotnického</w:t>
      </w:r>
      <w:r>
        <w:rPr>
          <w:spacing w:val="-25"/>
        </w:rPr>
        <w:t xml:space="preserve"> </w:t>
      </w:r>
      <w:r>
        <w:t>zařízení.</w:t>
      </w:r>
    </w:p>
    <w:p w:rsidR="00197F37" w:rsidRDefault="00197F37">
      <w:pPr>
        <w:pStyle w:val="Zkladntext"/>
        <w:rPr>
          <w:sz w:val="20"/>
        </w:rPr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ind w:right="100" w:hanging="566"/>
        <w:jc w:val="both"/>
      </w:pPr>
      <w:r>
        <w:t>P</w:t>
      </w:r>
      <w:r>
        <w:t>oskytovatel se zavazuje vykonávat pro Objednatele činnosti podle čl. 2.1. této Smlouvy za zde sjednanou úplatu zdravotních výkonů podle odbornosti 799 (plánované sekundární transporty) a za podmínek v této Smlouvě dohodnutých, přičemž Objednatel se tyto za</w:t>
      </w:r>
      <w:r>
        <w:t>vazuje dodržet a úplatu za Objednané výkony zaplatit ve shodě s fakturou vystavenou po každém uskutečněném</w:t>
      </w:r>
      <w:r>
        <w:rPr>
          <w:spacing w:val="-7"/>
        </w:rPr>
        <w:t xml:space="preserve"> </w:t>
      </w:r>
      <w:r>
        <w:t>transportu.</w:t>
      </w:r>
    </w:p>
    <w:p w:rsidR="00197F37" w:rsidRDefault="00197F37">
      <w:pPr>
        <w:pStyle w:val="Zkladntext"/>
        <w:spacing w:before="9"/>
        <w:rPr>
          <w:sz w:val="19"/>
        </w:rPr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spacing w:line="242" w:lineRule="auto"/>
        <w:ind w:right="107" w:hanging="566"/>
        <w:jc w:val="both"/>
      </w:pPr>
      <w:r>
        <w:t>Transport pacienta lze uskutečnit vždy jen jako plánovaný předem, to je objednaný nejpozději do 16. hodiny dne převozu</w:t>
      </w:r>
      <w:r>
        <w:rPr>
          <w:spacing w:val="-17"/>
        </w:rPr>
        <w:t xml:space="preserve"> </w:t>
      </w:r>
      <w:r>
        <w:t>předcházejícího.</w:t>
      </w:r>
    </w:p>
    <w:p w:rsidR="00197F37" w:rsidRDefault="00197F37">
      <w:pPr>
        <w:pStyle w:val="Zkladntext"/>
        <w:spacing w:before="6"/>
        <w:rPr>
          <w:sz w:val="19"/>
        </w:rPr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spacing w:line="242" w:lineRule="auto"/>
        <w:ind w:right="108" w:hanging="566"/>
        <w:jc w:val="both"/>
      </w:pPr>
      <w:r>
        <w:t>Poskytovatel připraví síly a prostředky pro transport na předem dohodnutý čas. Objednatel  v případě nutnosti sám zajistí potřebný doprovod</w:t>
      </w:r>
      <w:r>
        <w:rPr>
          <w:spacing w:val="-19"/>
        </w:rPr>
        <w:t xml:space="preserve"> </w:t>
      </w:r>
      <w:r>
        <w:t>pacienta.</w:t>
      </w:r>
    </w:p>
    <w:p w:rsidR="00197F37" w:rsidRDefault="00197F37">
      <w:pPr>
        <w:pStyle w:val="Zkladntext"/>
        <w:spacing w:before="6"/>
        <w:rPr>
          <w:sz w:val="19"/>
        </w:rPr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spacing w:line="242" w:lineRule="auto"/>
        <w:ind w:right="101" w:hanging="566"/>
        <w:jc w:val="both"/>
      </w:pPr>
      <w:r>
        <w:t>Poskytovatel se zavazuje provést transport pouze v případě, že nebude z kapacitních či provozních důvodů ohrožena dostupnost přednemocniční neodkladné</w:t>
      </w:r>
      <w:r>
        <w:rPr>
          <w:spacing w:val="-24"/>
        </w:rPr>
        <w:t xml:space="preserve"> </w:t>
      </w:r>
      <w:r>
        <w:t>péče.</w:t>
      </w:r>
    </w:p>
    <w:p w:rsidR="00197F37" w:rsidRDefault="00197F37">
      <w:pPr>
        <w:pStyle w:val="Zkladntext"/>
        <w:rPr>
          <w:sz w:val="24"/>
        </w:rPr>
      </w:pPr>
    </w:p>
    <w:p w:rsidR="00197F37" w:rsidRDefault="00E13428">
      <w:pPr>
        <w:pStyle w:val="Nadpis1"/>
        <w:numPr>
          <w:ilvl w:val="0"/>
          <w:numId w:val="1"/>
        </w:numPr>
        <w:tabs>
          <w:tab w:val="left" w:pos="687"/>
          <w:tab w:val="left" w:pos="688"/>
        </w:tabs>
        <w:spacing w:before="176"/>
        <w:ind w:hanging="427"/>
      </w:pPr>
      <w:r>
        <w:t>Práva a povinnosti</w:t>
      </w:r>
      <w:r>
        <w:rPr>
          <w:spacing w:val="-11"/>
        </w:rPr>
        <w:t xml:space="preserve"> </w:t>
      </w:r>
      <w:r>
        <w:t>Poskytovatele</w:t>
      </w: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spacing w:before="42" w:line="242" w:lineRule="auto"/>
        <w:ind w:right="102" w:hanging="566"/>
        <w:jc w:val="both"/>
      </w:pPr>
      <w:r>
        <w:t xml:space="preserve">Poskytovatel je povinen vykonávat pro Objednatele činnosti podle </w:t>
      </w:r>
      <w:r>
        <w:t>čl. 2.1. Smlouvy na základě jeho</w:t>
      </w:r>
      <w:r>
        <w:rPr>
          <w:spacing w:val="-5"/>
        </w:rPr>
        <w:t xml:space="preserve"> </w:t>
      </w:r>
      <w:r>
        <w:t>objednávek.</w:t>
      </w:r>
    </w:p>
    <w:p w:rsidR="00197F37" w:rsidRDefault="00197F37">
      <w:pPr>
        <w:pStyle w:val="Zkladntext"/>
        <w:spacing w:before="6"/>
        <w:rPr>
          <w:sz w:val="19"/>
        </w:rPr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ind w:right="101" w:hanging="566"/>
        <w:jc w:val="both"/>
      </w:pPr>
      <w:r>
        <w:t>Poskytovatel je povinen uskutečňovat svou činnost podle této Smlouvy v souladu s jemu známými zájmy Objednatele i převáženého</w:t>
      </w:r>
      <w:r>
        <w:rPr>
          <w:spacing w:val="-15"/>
        </w:rPr>
        <w:t xml:space="preserve"> </w:t>
      </w:r>
      <w:r>
        <w:t>pacienta.</w:t>
      </w:r>
    </w:p>
    <w:p w:rsidR="00197F37" w:rsidRDefault="00197F37">
      <w:pPr>
        <w:pStyle w:val="Zkladntext"/>
        <w:spacing w:before="11"/>
        <w:rPr>
          <w:sz w:val="19"/>
        </w:rPr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ind w:right="103" w:hanging="566"/>
        <w:jc w:val="both"/>
      </w:pPr>
      <w:r>
        <w:t>Poskytovatel je povinen uskutečňovat svou činnost podle této Smlouvy ve p</w:t>
      </w:r>
      <w:r>
        <w:t>rospěch Objednatele podle jeho pokynů. Na nevhodnost jakéhokoliv pokynu je povinen prokazatelně upozornit. Bude-li Objednatel na takovém nevhodném pokynu přesto trvat, může Poskytovatel přepravu pacienta odmítnout</w:t>
      </w:r>
      <w:r>
        <w:rPr>
          <w:spacing w:val="-19"/>
        </w:rPr>
        <w:t xml:space="preserve"> </w:t>
      </w:r>
      <w:r>
        <w:t>uskutečnit.</w:t>
      </w:r>
    </w:p>
    <w:p w:rsidR="00197F37" w:rsidRDefault="00E13428">
      <w:pPr>
        <w:pStyle w:val="Zkladntext"/>
        <w:ind w:left="826" w:right="100"/>
        <w:jc w:val="both"/>
      </w:pPr>
      <w:r>
        <w:t>Poskytovatel neodpovídá za vad</w:t>
      </w:r>
      <w:r>
        <w:t>y své činnosti a jejich výstupů, jestliže byly způsobeny použitím vadných či neúplných podkladů, informací a pokynů, předaných  mu Objednatelem, na jejichž vadnost objednatele upozornil a Objednatel na nich přesto</w:t>
      </w:r>
      <w:r>
        <w:rPr>
          <w:spacing w:val="-26"/>
        </w:rPr>
        <w:t xml:space="preserve"> </w:t>
      </w:r>
      <w:r>
        <w:t>trval.</w:t>
      </w:r>
    </w:p>
    <w:p w:rsidR="00197F37" w:rsidRDefault="00197F37">
      <w:pPr>
        <w:pStyle w:val="Zkladntext"/>
        <w:rPr>
          <w:sz w:val="24"/>
        </w:rPr>
      </w:pPr>
    </w:p>
    <w:p w:rsidR="00197F37" w:rsidRDefault="00E13428">
      <w:pPr>
        <w:pStyle w:val="Nadpis1"/>
        <w:numPr>
          <w:ilvl w:val="0"/>
          <w:numId w:val="1"/>
        </w:numPr>
        <w:tabs>
          <w:tab w:val="left" w:pos="687"/>
          <w:tab w:val="left" w:pos="688"/>
        </w:tabs>
        <w:spacing w:before="182"/>
        <w:ind w:hanging="427"/>
      </w:pPr>
      <w:r>
        <w:t>Práva a povinnosti</w:t>
      </w:r>
      <w:r>
        <w:rPr>
          <w:spacing w:val="-7"/>
        </w:rPr>
        <w:t xml:space="preserve"> </w:t>
      </w:r>
      <w:r>
        <w:t>Objednatele</w:t>
      </w: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spacing w:before="42"/>
        <w:ind w:right="99" w:hanging="566"/>
        <w:jc w:val="both"/>
      </w:pPr>
      <w:r>
        <w:t>Objednatel je povinen předat Poskytovateli informace, jež jsou nezbytné k věcnému plnění této Smlouvy, pokud z jejich povahy nevyplývá, že je má zajistit Poskytovatel v rámci své činnost.</w:t>
      </w:r>
    </w:p>
    <w:p w:rsidR="00197F37" w:rsidRDefault="00197F37">
      <w:pPr>
        <w:pStyle w:val="Zkladntext"/>
        <w:rPr>
          <w:sz w:val="20"/>
        </w:rPr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ind w:right="101" w:hanging="566"/>
        <w:jc w:val="both"/>
      </w:pPr>
      <w:r>
        <w:t>Objednatel je povinen poskytovat Poskytovateli během plnění této Sm</w:t>
      </w:r>
      <w:r>
        <w:t>louvy nezbytnou součinnost, a to na základě výzvy Poskytovatele a ve lhůtách přiměřených povaze a náročnosti požadované součinnosti, a vždy v takových lhůtách, aby nebylo narušeno řádné provádění jednotlivých úkonů a</w:t>
      </w:r>
      <w:r>
        <w:rPr>
          <w:spacing w:val="-7"/>
        </w:rPr>
        <w:t xml:space="preserve"> </w:t>
      </w:r>
      <w:r>
        <w:t>výkonů.</w:t>
      </w:r>
    </w:p>
    <w:p w:rsidR="00197F37" w:rsidRDefault="00197F37">
      <w:pPr>
        <w:pStyle w:val="Zkladntext"/>
        <w:spacing w:before="10"/>
        <w:rPr>
          <w:sz w:val="21"/>
        </w:rPr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ind w:right="101" w:hanging="566"/>
        <w:jc w:val="both"/>
      </w:pPr>
      <w:r>
        <w:t xml:space="preserve">Objednatel je povinen uhradit </w:t>
      </w:r>
      <w:r>
        <w:t>Poskytovateli za jím provedenou činnost v souladu s touto Smlouvou odměnu ve výši a za podmínek uvedených v čl. 5. této</w:t>
      </w:r>
      <w:r>
        <w:rPr>
          <w:spacing w:val="-15"/>
        </w:rPr>
        <w:t xml:space="preserve"> </w:t>
      </w:r>
      <w:r>
        <w:t>Smlouvy.</w:t>
      </w:r>
    </w:p>
    <w:p w:rsidR="00197F37" w:rsidRDefault="00197F37">
      <w:pPr>
        <w:pStyle w:val="Zkladntext"/>
        <w:rPr>
          <w:sz w:val="24"/>
        </w:rPr>
      </w:pPr>
    </w:p>
    <w:p w:rsidR="00197F37" w:rsidRDefault="00E13428">
      <w:pPr>
        <w:pStyle w:val="Nadpis1"/>
        <w:numPr>
          <w:ilvl w:val="0"/>
          <w:numId w:val="1"/>
        </w:numPr>
        <w:tabs>
          <w:tab w:val="left" w:pos="687"/>
          <w:tab w:val="left" w:pos="688"/>
        </w:tabs>
        <w:spacing w:before="180"/>
        <w:ind w:hanging="427"/>
      </w:pPr>
      <w:r>
        <w:t>Cena za výkony a podmínky její</w:t>
      </w:r>
      <w:r>
        <w:rPr>
          <w:spacing w:val="-9"/>
        </w:rPr>
        <w:t xml:space="preserve"> </w:t>
      </w:r>
      <w:r>
        <w:t>splatnosti</w:t>
      </w: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spacing w:before="42"/>
        <w:ind w:right="104" w:hanging="566"/>
        <w:jc w:val="both"/>
      </w:pPr>
      <w:r>
        <w:t>Za výkony související  s transportem pacienta bude Poskytovatel účtovat částky stano</w:t>
      </w:r>
      <w:r>
        <w:t>vené     v souladu s právními předpisy České republiky platnými a účinnými pro příslušný kalendářní rok. Poskytovatel se zavazuje Objednatele prokazatelně předem informovat o cenách   výkonů   souvisejících   s transportem   pacienta,   jakož   i   o   změ</w:t>
      </w:r>
      <w:r>
        <w:t>nách   cen</w:t>
      </w:r>
      <w:r>
        <w:rPr>
          <w:spacing w:val="-4"/>
        </w:rPr>
        <w:t xml:space="preserve"> </w:t>
      </w:r>
      <w:r>
        <w:t>výkonů</w:t>
      </w:r>
    </w:p>
    <w:p w:rsidR="00197F37" w:rsidRDefault="00197F37">
      <w:pPr>
        <w:jc w:val="both"/>
        <w:sectPr w:rsidR="00197F37">
          <w:headerReference w:type="default" r:id="rId8"/>
          <w:pgSz w:w="11910" w:h="16840"/>
          <w:pgMar w:top="740" w:right="1000" w:bottom="1560" w:left="1000" w:header="295" w:footer="1377" w:gutter="0"/>
          <w:cols w:space="708"/>
        </w:sectPr>
      </w:pPr>
    </w:p>
    <w:p w:rsidR="00197F37" w:rsidRDefault="00197F37">
      <w:pPr>
        <w:pStyle w:val="Zkladntext"/>
        <w:rPr>
          <w:sz w:val="20"/>
        </w:rPr>
      </w:pPr>
    </w:p>
    <w:p w:rsidR="00197F37" w:rsidRDefault="00197F37">
      <w:pPr>
        <w:pStyle w:val="Zkladntext"/>
        <w:spacing w:before="3"/>
        <w:rPr>
          <w:sz w:val="29"/>
        </w:rPr>
      </w:pPr>
    </w:p>
    <w:p w:rsidR="00197F37" w:rsidRDefault="00E13428">
      <w:pPr>
        <w:pStyle w:val="Zkladntext"/>
        <w:spacing w:before="101"/>
        <w:ind w:left="826"/>
      </w:pPr>
      <w:r>
        <w:t>souvisejících s transportem pacienta, a to v přiměřené době po vyhlášení právních předpisů, na jejichž základě jsou ceny pro příslušný kalendářní rok stanovovány ve Sbírce zákonů.</w:t>
      </w:r>
    </w:p>
    <w:p w:rsidR="00197F37" w:rsidRDefault="00197F37">
      <w:pPr>
        <w:pStyle w:val="Zkladntext"/>
        <w:rPr>
          <w:sz w:val="20"/>
        </w:rPr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ind w:right="99" w:hanging="566"/>
        <w:jc w:val="both"/>
      </w:pPr>
      <w:r>
        <w:t>Podkladem pro úhradu smluvní ceny za výkony provedené Poskytovatelem dle té</w:t>
      </w:r>
      <w:r>
        <w:t xml:space="preserve">to Smlouvy je daňový doklad (dále jen „faktura“) vystavený Poskytovatelem, který bude splňovat náležitosti dle zákona č. 235/2004 Sb., o dani z přidané hodnoty, ve znění pozdějších předpisů. Fakturu Poskytovatel zašle Objednateli na adresu </w:t>
      </w:r>
      <w:hyperlink r:id="rId9">
        <w:r w:rsidR="00F66DD1" w:rsidRPr="00F66DD1">
          <w:t>XXXXXXXXXX</w:t>
        </w:r>
      </w:hyperlink>
      <w:r>
        <w:t>. Lhůta splatnosti faktury je 14 kalendářních dnů ode dne jejího doručení Objednateli. V případě pochybnosti se má za to, že se tak stalo třetího dne po</w:t>
      </w:r>
      <w:r>
        <w:rPr>
          <w:spacing w:val="-18"/>
        </w:rPr>
        <w:t xml:space="preserve"> </w:t>
      </w:r>
      <w:r>
        <w:t>odeslání.</w:t>
      </w:r>
    </w:p>
    <w:p w:rsidR="00197F37" w:rsidRDefault="00197F37">
      <w:pPr>
        <w:pStyle w:val="Zkladntext"/>
        <w:spacing w:before="10"/>
        <w:rPr>
          <w:sz w:val="21"/>
        </w:rPr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ind w:right="104" w:hanging="566"/>
        <w:jc w:val="both"/>
      </w:pPr>
      <w:r>
        <w:t>Při prodlení s řádným zaplacením faktury má P</w:t>
      </w:r>
      <w:r>
        <w:t>oskytovatel právo požadovat zákonný úrok    z prodlení v souladu  s ustanoveními  §  1970  občanského  zákoníku  a  §  2  nařízení  vlády  č. 351/2013 Sb. ve znění pozdějších</w:t>
      </w:r>
      <w:r>
        <w:rPr>
          <w:spacing w:val="-18"/>
        </w:rPr>
        <w:t xml:space="preserve"> </w:t>
      </w:r>
      <w:r>
        <w:t>předpisů.</w:t>
      </w:r>
    </w:p>
    <w:p w:rsidR="00197F37" w:rsidRDefault="00197F37">
      <w:pPr>
        <w:pStyle w:val="Zkladntext"/>
        <w:rPr>
          <w:sz w:val="24"/>
        </w:rPr>
      </w:pPr>
    </w:p>
    <w:p w:rsidR="00197F37" w:rsidRDefault="00E13428">
      <w:pPr>
        <w:pStyle w:val="Nadpis1"/>
        <w:numPr>
          <w:ilvl w:val="0"/>
          <w:numId w:val="1"/>
        </w:numPr>
        <w:tabs>
          <w:tab w:val="left" w:pos="687"/>
          <w:tab w:val="left" w:pos="688"/>
        </w:tabs>
        <w:spacing w:before="181"/>
        <w:ind w:hanging="427"/>
      </w:pPr>
      <w:r>
        <w:t>Doba trvání a zánik</w:t>
      </w:r>
      <w:r>
        <w:rPr>
          <w:spacing w:val="-5"/>
        </w:rPr>
        <w:t xml:space="preserve"> </w:t>
      </w:r>
      <w:r>
        <w:t>Smlouvy</w:t>
      </w: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spacing w:before="42"/>
        <w:ind w:right="102" w:hanging="566"/>
        <w:jc w:val="both"/>
      </w:pPr>
      <w:r>
        <w:t>Smlouva se sjednává na dobu určitou do 31.</w:t>
      </w:r>
      <w:r>
        <w:t>12.2024 a nabývá platnosti dnem jejího podpisu oběma Smluvními stranami a účinnosti dnem uveřejnění v registru smluv dle čl. 8.5. této Smlouvy.</w:t>
      </w:r>
    </w:p>
    <w:p w:rsidR="00197F37" w:rsidRDefault="00197F37">
      <w:pPr>
        <w:pStyle w:val="Zkladntext"/>
        <w:rPr>
          <w:sz w:val="20"/>
        </w:rPr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ind w:right="101" w:hanging="566"/>
        <w:jc w:val="both"/>
      </w:pPr>
      <w:r>
        <w:t>Závazek Poskytovatele plnit povinnosti podle této Smlouvy zaniká dnem ukončení její účinnosti.</w:t>
      </w:r>
    </w:p>
    <w:p w:rsidR="00197F37" w:rsidRDefault="00197F37">
      <w:pPr>
        <w:pStyle w:val="Zkladntext"/>
        <w:spacing w:before="1"/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ind w:right="100" w:hanging="566"/>
        <w:jc w:val="both"/>
      </w:pPr>
      <w:r>
        <w:t>Smlouvu lze uko</w:t>
      </w:r>
      <w:r>
        <w:t>nčit ke kterémukoliv datu písemnou dohodou Smluvních stran. Jednostranně  pak  lze  Smlouvu  ukončit  písemnou  výpovědí   kterékoli  smluvní  strany     s jednoměsíční výpovědní dobou, která počíná běžet prvním dnem měsíce následujícího po měsíci, kdy byl</w:t>
      </w:r>
      <w:r>
        <w:t>a výpověď doručena druhé smluvní</w:t>
      </w:r>
      <w:r>
        <w:rPr>
          <w:spacing w:val="-14"/>
        </w:rPr>
        <w:t xml:space="preserve"> </w:t>
      </w:r>
      <w:r>
        <w:t>straně.</w:t>
      </w:r>
    </w:p>
    <w:p w:rsidR="00197F37" w:rsidRDefault="00197F37">
      <w:pPr>
        <w:pStyle w:val="Zkladntext"/>
        <w:rPr>
          <w:sz w:val="24"/>
        </w:rPr>
      </w:pPr>
    </w:p>
    <w:p w:rsidR="00197F37" w:rsidRDefault="00E13428">
      <w:pPr>
        <w:pStyle w:val="Nadpis1"/>
        <w:numPr>
          <w:ilvl w:val="0"/>
          <w:numId w:val="1"/>
        </w:numPr>
        <w:tabs>
          <w:tab w:val="left" w:pos="687"/>
          <w:tab w:val="left" w:pos="688"/>
        </w:tabs>
        <w:spacing w:before="181"/>
        <w:ind w:hanging="427"/>
      </w:pPr>
      <w:r>
        <w:t>Další</w:t>
      </w:r>
      <w:r>
        <w:rPr>
          <w:spacing w:val="-3"/>
        </w:rPr>
        <w:t xml:space="preserve"> </w:t>
      </w:r>
      <w:r>
        <w:t>ujednání</w:t>
      </w: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spacing w:before="42"/>
        <w:ind w:right="104" w:hanging="566"/>
        <w:jc w:val="both"/>
      </w:pPr>
      <w:r>
        <w:t>Není-li uvedeno jinak, lze Smlouvu měnit nebo doplňovat pouze písemnými dodatky označenými jako Dodatek ke Smlouvě, a potvrzenými oběma Smluvními stranami na téže listině, jinak jsou takové změny nebo doplnění</w:t>
      </w:r>
      <w:r>
        <w:rPr>
          <w:spacing w:val="-16"/>
        </w:rPr>
        <w:t xml:space="preserve"> </w:t>
      </w:r>
      <w:r>
        <w:t>neplatné.</w:t>
      </w:r>
    </w:p>
    <w:p w:rsidR="00197F37" w:rsidRDefault="00197F37">
      <w:pPr>
        <w:pStyle w:val="Zkladntext"/>
        <w:spacing w:before="11"/>
        <w:rPr>
          <w:sz w:val="19"/>
        </w:rPr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ind w:right="102" w:hanging="566"/>
        <w:jc w:val="both"/>
      </w:pPr>
      <w:r>
        <w:t>Žádná ze stran není oprávněna převé</w:t>
      </w:r>
      <w:r>
        <w:t>st účastenství v tomto vztahu, práva a povinnosti plynoucí z této Smlouvy, jejího plnění a porušení, na třetí osobu bez písemného souhlasu druhé smluvní</w:t>
      </w:r>
      <w:r>
        <w:rPr>
          <w:spacing w:val="-3"/>
        </w:rPr>
        <w:t xml:space="preserve"> </w:t>
      </w:r>
      <w:r>
        <w:t>strany.</w:t>
      </w:r>
    </w:p>
    <w:p w:rsidR="00197F37" w:rsidRDefault="00197F37">
      <w:pPr>
        <w:pStyle w:val="Zkladntext"/>
        <w:rPr>
          <w:sz w:val="24"/>
        </w:rPr>
      </w:pPr>
    </w:p>
    <w:p w:rsidR="00197F37" w:rsidRDefault="00197F37">
      <w:pPr>
        <w:pStyle w:val="Zkladntext"/>
        <w:spacing w:before="10"/>
        <w:rPr>
          <w:sz w:val="19"/>
        </w:rPr>
      </w:pPr>
    </w:p>
    <w:p w:rsidR="00197F37" w:rsidRDefault="00E13428">
      <w:pPr>
        <w:pStyle w:val="Nadpis1"/>
        <w:numPr>
          <w:ilvl w:val="0"/>
          <w:numId w:val="1"/>
        </w:numPr>
        <w:tabs>
          <w:tab w:val="left" w:pos="687"/>
          <w:tab w:val="left" w:pos="688"/>
        </w:tabs>
        <w:ind w:hanging="427"/>
      </w:pPr>
      <w:r>
        <w:t>Závěrečná</w:t>
      </w:r>
      <w:r>
        <w:rPr>
          <w:spacing w:val="-6"/>
        </w:rPr>
        <w:t xml:space="preserve"> </w:t>
      </w:r>
      <w:r>
        <w:t>ujednání</w:t>
      </w: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spacing w:before="42"/>
        <w:ind w:right="103" w:hanging="566"/>
        <w:jc w:val="both"/>
      </w:pPr>
      <w:r>
        <w:t>Smluvní strany shodně prohlašují, že mezi nimi došlo k dohodě o celém rozsahu této Smlouvy.</w:t>
      </w:r>
    </w:p>
    <w:p w:rsidR="00197F37" w:rsidRDefault="00197F37">
      <w:pPr>
        <w:pStyle w:val="Zkladntext"/>
        <w:spacing w:before="11"/>
        <w:rPr>
          <w:sz w:val="19"/>
        </w:rPr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ind w:right="104" w:hanging="566"/>
        <w:jc w:val="both"/>
      </w:pPr>
      <w:r>
        <w:t>Tato Smlouva  je  vyhotovena  ve  dvou  číslovaných  výtiscích,  každý  s  platností  originálu, z nichž každá ze Smluvních stran obdrží po jednom vyhotovení. V př</w:t>
      </w:r>
      <w:r>
        <w:t>ípadě elektronicky podepsaných smluv je Smlouva vyhotovena v jednom originále s platnými elektronickými podpisy obou Smluvních</w:t>
      </w:r>
      <w:r>
        <w:rPr>
          <w:spacing w:val="-10"/>
        </w:rPr>
        <w:t xml:space="preserve"> </w:t>
      </w:r>
      <w:r>
        <w:t>stran.</w:t>
      </w:r>
    </w:p>
    <w:p w:rsidR="00197F37" w:rsidRDefault="00197F37">
      <w:pPr>
        <w:pStyle w:val="Zkladntext"/>
        <w:spacing w:before="1"/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ind w:right="100" w:hanging="566"/>
        <w:jc w:val="both"/>
      </w:pPr>
      <w:r>
        <w:t>Smluvní strany tímto prohlašují, že si nejsou vědomy žádných věcných ani právních okolností, které by bránily tuto Smlouv</w:t>
      </w:r>
      <w:r>
        <w:t>u uzavřít nebo ji plnit. Dále prohlašují, že si Smlouvu přečetly, jejímu obsahu porozuměly, že její obsah vyjadřuje jejich skutečnou, pravou, vážnou a svobodnou vůli, a že ji nesjednávají v tísni ani za jinak nevýhodných</w:t>
      </w:r>
      <w:r>
        <w:rPr>
          <w:spacing w:val="-18"/>
        </w:rPr>
        <w:t xml:space="preserve"> </w:t>
      </w:r>
      <w:r>
        <w:t>podmínek.</w:t>
      </w:r>
    </w:p>
    <w:p w:rsidR="00197F37" w:rsidRDefault="00197F37">
      <w:pPr>
        <w:pStyle w:val="Zkladntext"/>
        <w:spacing w:before="1"/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ind w:right="99" w:hanging="566"/>
        <w:jc w:val="both"/>
      </w:pPr>
      <w:r>
        <w:t xml:space="preserve">Osobní údaje obsažené v této Smlouvě bude Zdravotnická záchranná služba Moravskoslezského  kraje, příspěvková organizace, (dále jen ZZS MSK), zpracovávat   </w:t>
      </w:r>
      <w:r>
        <w:rPr>
          <w:spacing w:val="15"/>
        </w:rPr>
        <w:t xml:space="preserve"> </w:t>
      </w:r>
      <w:r>
        <w:t>pouze</w:t>
      </w:r>
    </w:p>
    <w:p w:rsidR="00197F37" w:rsidRDefault="00197F37">
      <w:pPr>
        <w:jc w:val="both"/>
        <w:sectPr w:rsidR="00197F37">
          <w:pgSz w:w="11910" w:h="16840"/>
          <w:pgMar w:top="740" w:right="1000" w:bottom="1560" w:left="1000" w:header="295" w:footer="1377" w:gutter="0"/>
          <w:cols w:space="708"/>
        </w:sectPr>
      </w:pPr>
    </w:p>
    <w:p w:rsidR="00197F37" w:rsidRDefault="00197F37">
      <w:pPr>
        <w:pStyle w:val="Zkladntext"/>
        <w:rPr>
          <w:sz w:val="20"/>
        </w:rPr>
      </w:pPr>
    </w:p>
    <w:p w:rsidR="00197F37" w:rsidRDefault="00197F37">
      <w:pPr>
        <w:pStyle w:val="Zkladntext"/>
        <w:spacing w:before="3"/>
        <w:rPr>
          <w:sz w:val="29"/>
        </w:rPr>
      </w:pPr>
    </w:p>
    <w:p w:rsidR="00197F37" w:rsidRDefault="00E13428">
      <w:pPr>
        <w:pStyle w:val="Zkladntext"/>
        <w:spacing w:before="101"/>
        <w:ind w:left="826" w:right="99"/>
        <w:jc w:val="both"/>
      </w:pPr>
      <w:r>
        <w:t xml:space="preserve">pro účely plnění práv a povinností vyplývajících z této Smlouvy; k jiným </w:t>
      </w:r>
      <w:r>
        <w:t xml:space="preserve">účelům nebudou tyto osobní údaje ZZS MSK použity. ZZS MSK při zpracovávání osobních údajů dodržuje právní předpisy. Podrobné informace o ochraně osobních údajů jsou uvedeny na oficiálních stránkách ZZS </w:t>
      </w:r>
      <w:hyperlink r:id="rId10">
        <w:r>
          <w:rPr>
            <w:color w:val="0000FF"/>
            <w:u w:val="single" w:color="0000FF"/>
          </w:rPr>
          <w:t>www.zzsmsk.cz</w:t>
        </w:r>
      </w:hyperlink>
      <w:r>
        <w:t>.</w:t>
      </w:r>
    </w:p>
    <w:p w:rsidR="00197F37" w:rsidRDefault="00197F37">
      <w:pPr>
        <w:pStyle w:val="Zkladntext"/>
        <w:spacing w:before="1"/>
      </w:pPr>
    </w:p>
    <w:p w:rsidR="00197F37" w:rsidRDefault="00E13428">
      <w:pPr>
        <w:pStyle w:val="Odstavecseseznamem"/>
        <w:numPr>
          <w:ilvl w:val="1"/>
          <w:numId w:val="1"/>
        </w:numPr>
        <w:tabs>
          <w:tab w:val="left" w:pos="827"/>
        </w:tabs>
        <w:ind w:right="100" w:hanging="566"/>
        <w:jc w:val="both"/>
      </w:pPr>
      <w:r>
        <w:t>Smluvní strany se dohodly, že tato Smlouva bude uveřejněna v registru smluv v souladu se zákonem č. 340/2015 Sb., o zvláštních podmínkách účinnosti některých smluv, uveřejňování těchto smluv a o registru smluv (zákon o registru smluv), a to v celém její</w:t>
      </w:r>
      <w:r>
        <w:t>m rozsahu. Smlouva se stane účinnou po uveřejnění v registru smluv, které zajistí bez zbytečného odkladu po jejím uzavření Poskytovatel. Obě Smluvní strany prohlašují, že tato Smlouva neobsahuje žádné in</w:t>
      </w:r>
      <w:bookmarkStart w:id="0" w:name="_GoBack"/>
      <w:bookmarkEnd w:id="0"/>
      <w:r>
        <w:t xml:space="preserve">formace spadající do oblasti obchodního tajemství ve </w:t>
      </w:r>
      <w:r>
        <w:t>smyslu</w:t>
      </w:r>
      <w:r>
        <w:rPr>
          <w:spacing w:val="-19"/>
        </w:rPr>
        <w:t xml:space="preserve"> </w:t>
      </w:r>
      <w:r>
        <w:t>ustanovení</w:t>
      </w:r>
    </w:p>
    <w:p w:rsidR="00197F37" w:rsidRDefault="00E13428">
      <w:pPr>
        <w:pStyle w:val="Zkladntext"/>
        <w:spacing w:before="1"/>
        <w:ind w:left="826"/>
        <w:jc w:val="both"/>
      </w:pPr>
      <w:r>
        <w:t>§ 504 občanského zákoníku.</w:t>
      </w:r>
    </w:p>
    <w:p w:rsidR="00197F37" w:rsidRDefault="00197F37">
      <w:pPr>
        <w:pStyle w:val="Zkladntext"/>
        <w:rPr>
          <w:sz w:val="24"/>
        </w:rPr>
      </w:pPr>
    </w:p>
    <w:p w:rsidR="00197F37" w:rsidRDefault="00197F37">
      <w:pPr>
        <w:pStyle w:val="Zkladntext"/>
        <w:spacing w:before="10"/>
        <w:rPr>
          <w:sz w:val="19"/>
        </w:rPr>
      </w:pPr>
    </w:p>
    <w:p w:rsidR="00197F37" w:rsidRDefault="00E13428">
      <w:pPr>
        <w:tabs>
          <w:tab w:val="left" w:pos="5224"/>
        </w:tabs>
        <w:ind w:left="260"/>
        <w:rPr>
          <w:b/>
        </w:rPr>
      </w:pPr>
      <w:r>
        <w:rPr>
          <w:b/>
        </w:rPr>
        <w:t>ZaPoskytovatele</w:t>
      </w:r>
      <w:r>
        <w:rPr>
          <w:b/>
        </w:rPr>
        <w:tab/>
        <w:t>Za</w:t>
      </w:r>
      <w:r>
        <w:rPr>
          <w:b/>
          <w:spacing w:val="-4"/>
        </w:rPr>
        <w:t xml:space="preserve"> </w:t>
      </w:r>
      <w:r>
        <w:rPr>
          <w:b/>
        </w:rPr>
        <w:t>Objednatele</w:t>
      </w:r>
    </w:p>
    <w:p w:rsidR="00197F37" w:rsidRDefault="00197F37">
      <w:pPr>
        <w:pStyle w:val="Zkladntext"/>
        <w:rPr>
          <w:b/>
          <w:sz w:val="24"/>
        </w:rPr>
      </w:pPr>
    </w:p>
    <w:p w:rsidR="00197F37" w:rsidRDefault="00197F37">
      <w:pPr>
        <w:pStyle w:val="Zkladntext"/>
        <w:spacing w:before="9"/>
        <w:rPr>
          <w:b/>
          <w:sz w:val="19"/>
        </w:rPr>
      </w:pPr>
    </w:p>
    <w:p w:rsidR="00197F37" w:rsidRDefault="00E13428">
      <w:pPr>
        <w:pStyle w:val="Zkladntext"/>
        <w:tabs>
          <w:tab w:val="left" w:pos="5224"/>
        </w:tabs>
        <w:spacing w:before="1"/>
        <w:ind w:left="260"/>
      </w:pPr>
      <w:r>
        <w:t>V Ostravě</w:t>
      </w:r>
      <w:r>
        <w:rPr>
          <w:spacing w:val="-4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………………..</w:t>
      </w:r>
      <w:r>
        <w:tab/>
        <w:t>V Ostravě dne</w:t>
      </w:r>
      <w:r>
        <w:rPr>
          <w:spacing w:val="-5"/>
        </w:rPr>
        <w:t xml:space="preserve"> </w:t>
      </w:r>
      <w:r>
        <w:t>…………………</w:t>
      </w:r>
    </w:p>
    <w:p w:rsidR="00197F37" w:rsidRDefault="00197F37">
      <w:pPr>
        <w:pStyle w:val="Zkladntext"/>
        <w:spacing w:before="1"/>
      </w:pPr>
    </w:p>
    <w:p w:rsidR="00197F37" w:rsidRDefault="00E13428">
      <w:pPr>
        <w:pStyle w:val="Zkladntext"/>
        <w:tabs>
          <w:tab w:val="left" w:pos="5224"/>
        </w:tabs>
        <w:spacing w:line="250" w:lineRule="exact"/>
        <w:ind w:left="260"/>
      </w:pPr>
      <w:r>
        <w:t>Zdravotnická</w:t>
      </w:r>
      <w:r>
        <w:rPr>
          <w:spacing w:val="-2"/>
        </w:rPr>
        <w:t xml:space="preserve"> </w:t>
      </w:r>
      <w:r>
        <w:t>záchranná</w:t>
      </w:r>
      <w:r>
        <w:rPr>
          <w:spacing w:val="-4"/>
        </w:rPr>
        <w:t xml:space="preserve"> </w:t>
      </w:r>
      <w:r>
        <w:t>služba</w:t>
      </w:r>
      <w:r>
        <w:tab/>
        <w:t>Městská nemocnice</w:t>
      </w:r>
      <w:r>
        <w:rPr>
          <w:spacing w:val="-6"/>
        </w:rPr>
        <w:t xml:space="preserve"> </w:t>
      </w:r>
      <w:r>
        <w:t>Ostrava,</w:t>
      </w:r>
    </w:p>
    <w:p w:rsidR="00197F37" w:rsidRDefault="00E13428">
      <w:pPr>
        <w:pStyle w:val="Zkladntext"/>
        <w:tabs>
          <w:tab w:val="left" w:pos="5224"/>
        </w:tabs>
        <w:ind w:left="260" w:right="2412"/>
      </w:pPr>
      <w:r>
        <w:t>Moravskoslezského</w:t>
      </w:r>
      <w:r>
        <w:rPr>
          <w:spacing w:val="-2"/>
        </w:rPr>
        <w:t xml:space="preserve"> </w:t>
      </w:r>
      <w:r>
        <w:t>kraje,</w:t>
      </w:r>
      <w:r>
        <w:tab/>
        <w:t>příspěvková</w:t>
      </w:r>
      <w:r>
        <w:rPr>
          <w:spacing w:val="-7"/>
        </w:rPr>
        <w:t xml:space="preserve"> </w:t>
      </w:r>
      <w:r>
        <w:t>organizace</w:t>
      </w:r>
      <w:r>
        <w:t xml:space="preserve"> </w:t>
      </w:r>
      <w:r>
        <w:t>příspěvková</w:t>
      </w:r>
      <w:r>
        <w:rPr>
          <w:spacing w:val="-7"/>
        </w:rPr>
        <w:t xml:space="preserve"> </w:t>
      </w:r>
      <w:r>
        <w:t>organizace</w:t>
      </w:r>
    </w:p>
    <w:p w:rsidR="00197F37" w:rsidRDefault="00197F37">
      <w:pPr>
        <w:pStyle w:val="Zkladntext"/>
        <w:spacing w:before="7"/>
        <w:rPr>
          <w:sz w:val="10"/>
        </w:rPr>
      </w:pPr>
    </w:p>
    <w:p w:rsidR="00197F37" w:rsidRDefault="00197F37">
      <w:pPr>
        <w:rPr>
          <w:sz w:val="10"/>
        </w:rPr>
        <w:sectPr w:rsidR="00197F37">
          <w:pgSz w:w="11910" w:h="16840"/>
          <w:pgMar w:top="740" w:right="1000" w:bottom="1560" w:left="1000" w:header="295" w:footer="1377" w:gutter="0"/>
          <w:cols w:space="708"/>
        </w:sectPr>
      </w:pPr>
    </w:p>
    <w:p w:rsidR="00F66DD1" w:rsidRDefault="00F66DD1" w:rsidP="00F66DD1">
      <w:pPr>
        <w:pStyle w:val="Zkladntext"/>
        <w:spacing w:before="9"/>
      </w:pPr>
    </w:p>
    <w:p w:rsidR="00F66DD1" w:rsidRDefault="00F66DD1" w:rsidP="00F66DD1">
      <w:pPr>
        <w:pStyle w:val="Zkladntext"/>
        <w:spacing w:before="9"/>
      </w:pPr>
    </w:p>
    <w:p w:rsidR="00F66DD1" w:rsidRDefault="00F66DD1" w:rsidP="00F66DD1">
      <w:pPr>
        <w:pStyle w:val="Zkladntext"/>
        <w:spacing w:before="9"/>
      </w:pPr>
    </w:p>
    <w:p w:rsidR="00F66DD1" w:rsidRDefault="00F66DD1" w:rsidP="00F66DD1">
      <w:pPr>
        <w:pStyle w:val="Zkladntext"/>
        <w:spacing w:before="9"/>
      </w:pPr>
    </w:p>
    <w:p w:rsidR="00197F37" w:rsidRPr="00F66DD1" w:rsidRDefault="00F66DD1" w:rsidP="00F66DD1">
      <w:pPr>
        <w:pStyle w:val="Zkladntext"/>
        <w:spacing w:before="9"/>
        <w:rPr>
          <w:rFonts w:ascii="Calibri" w:hAnsi="Calibri"/>
          <w:sz w:val="20"/>
        </w:rPr>
      </w:pPr>
      <w:r>
        <w:t xml:space="preserve">     MUDr. Roman Gřegoř</w:t>
      </w:r>
      <w:r>
        <w:tab/>
      </w:r>
      <w:r>
        <w:tab/>
      </w:r>
      <w:r>
        <w:tab/>
      </w:r>
      <w:r>
        <w:tab/>
        <w:t xml:space="preserve">   </w:t>
      </w:r>
      <w:r w:rsidR="00E13428">
        <w:t>MUDr. Petr</w:t>
      </w:r>
      <w:r w:rsidR="00E13428">
        <w:rPr>
          <w:spacing w:val="-7"/>
        </w:rPr>
        <w:t xml:space="preserve"> </w:t>
      </w:r>
      <w:r w:rsidR="00E13428">
        <w:t>Uhlig</w:t>
      </w:r>
    </w:p>
    <w:p w:rsidR="00197F37" w:rsidRDefault="00E13428">
      <w:pPr>
        <w:pStyle w:val="Zkladntext"/>
        <w:tabs>
          <w:tab w:val="left" w:pos="5224"/>
        </w:tabs>
        <w:ind w:left="260"/>
      </w:pPr>
      <w:r>
        <w:t>ředitel</w:t>
      </w:r>
      <w:r>
        <w:tab/>
        <w:t>ředitel</w:t>
      </w:r>
    </w:p>
    <w:sectPr w:rsidR="00197F37">
      <w:type w:val="continuous"/>
      <w:pgSz w:w="11910" w:h="16840"/>
      <w:pgMar w:top="320" w:right="1000" w:bottom="156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28" w:rsidRDefault="00E13428">
      <w:r>
        <w:separator/>
      </w:r>
    </w:p>
  </w:endnote>
  <w:endnote w:type="continuationSeparator" w:id="0">
    <w:p w:rsidR="00E13428" w:rsidRDefault="00E1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37" w:rsidRDefault="00E1342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2pt;margin-top:762.05pt;width:162.7pt;height:24.65pt;z-index:-6616;mso-position-horizontal-relative:page;mso-position-vertical-relative:page" filled="f" stroked="f">
          <v:textbox inset="0,0,0,0">
            <w:txbxContent>
              <w:p w:rsidR="00197F37" w:rsidRDefault="00E13428">
                <w:pPr>
                  <w:spacing w:before="12"/>
                  <w:ind w:left="20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color w:val="003366"/>
                    <w:sz w:val="20"/>
                  </w:rPr>
                  <w:t>Nemocniční 898/20A</w:t>
                </w:r>
              </w:p>
              <w:p w:rsidR="00197F37" w:rsidRDefault="00E13428">
                <w:pPr>
                  <w:ind w:left="20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color w:val="003366"/>
                    <w:sz w:val="20"/>
                  </w:rPr>
                  <w:t>728 80 Ostrava − Moravská Ostrava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6.75pt;margin-top:785.1pt;width:9.55pt;height:13.15pt;z-index:-6592;mso-position-horizontal-relative:page;mso-position-vertical-relative:page" filled="f" stroked="f">
          <v:textbox inset="0,0,0,0">
            <w:txbxContent>
              <w:p w:rsidR="00197F37" w:rsidRDefault="00E13428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66DD1">
                  <w:rPr>
                    <w:rFonts w:ascii="Arial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28" w:rsidRDefault="00E13428">
      <w:r>
        <w:separator/>
      </w:r>
    </w:p>
  </w:footnote>
  <w:footnote w:type="continuationSeparator" w:id="0">
    <w:p w:rsidR="00E13428" w:rsidRDefault="00E13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37" w:rsidRDefault="00E1342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9pt;margin-top:13.75pt;width:139.25pt;height:25.15pt;z-index:-6568;mso-position-horizontal-relative:page;mso-position-vertical-relative:page" filled="f" stroked="f">
          <v:textbox inset="0,0,0,0">
            <w:txbxContent>
              <w:p w:rsidR="00197F37" w:rsidRDefault="00E13428">
                <w:pPr>
                  <w:spacing w:before="12" w:line="249" w:lineRule="auto"/>
                  <w:ind w:left="20" w:right="-1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3B69"/>
                    <w:sz w:val="20"/>
                  </w:rPr>
                  <w:t>Městská nemocnice Ostrava, příspěvková organizace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4927"/>
    <w:multiLevelType w:val="multilevel"/>
    <w:tmpl w:val="166C9A34"/>
    <w:lvl w:ilvl="0">
      <w:start w:val="1"/>
      <w:numFmt w:val="decimal"/>
      <w:lvlText w:val="%1."/>
      <w:lvlJc w:val="left"/>
      <w:pPr>
        <w:ind w:left="687" w:hanging="42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826" w:hanging="567"/>
        <w:jc w:val="left"/>
      </w:pPr>
      <w:rPr>
        <w:rFonts w:ascii="Georgia" w:eastAsia="Georgia" w:hAnsi="Georgia" w:cs="Georgia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29" w:hanging="567"/>
      </w:pPr>
      <w:rPr>
        <w:rFonts w:hint="default"/>
      </w:rPr>
    </w:lvl>
    <w:lvl w:ilvl="3">
      <w:numFmt w:val="bullet"/>
      <w:lvlText w:val="•"/>
      <w:lvlJc w:val="left"/>
      <w:pPr>
        <w:ind w:left="2839" w:hanging="567"/>
      </w:pPr>
      <w:rPr>
        <w:rFonts w:hint="default"/>
      </w:rPr>
    </w:lvl>
    <w:lvl w:ilvl="4">
      <w:numFmt w:val="bullet"/>
      <w:lvlText w:val="•"/>
      <w:lvlJc w:val="left"/>
      <w:pPr>
        <w:ind w:left="3848" w:hanging="567"/>
      </w:pPr>
      <w:rPr>
        <w:rFonts w:hint="default"/>
      </w:rPr>
    </w:lvl>
    <w:lvl w:ilvl="5">
      <w:numFmt w:val="bullet"/>
      <w:lvlText w:val="•"/>
      <w:lvlJc w:val="left"/>
      <w:pPr>
        <w:ind w:left="4858" w:hanging="567"/>
      </w:pPr>
      <w:rPr>
        <w:rFonts w:hint="default"/>
      </w:rPr>
    </w:lvl>
    <w:lvl w:ilvl="6">
      <w:numFmt w:val="bullet"/>
      <w:lvlText w:val="•"/>
      <w:lvlJc w:val="left"/>
      <w:pPr>
        <w:ind w:left="5868" w:hanging="567"/>
      </w:pPr>
      <w:rPr>
        <w:rFonts w:hint="default"/>
      </w:rPr>
    </w:lvl>
    <w:lvl w:ilvl="7">
      <w:numFmt w:val="bullet"/>
      <w:lvlText w:val="•"/>
      <w:lvlJc w:val="left"/>
      <w:pPr>
        <w:ind w:left="6877" w:hanging="567"/>
      </w:pPr>
      <w:rPr>
        <w:rFonts w:hint="default"/>
      </w:rPr>
    </w:lvl>
    <w:lvl w:ilvl="8">
      <w:numFmt w:val="bullet"/>
      <w:lvlText w:val="•"/>
      <w:lvlJc w:val="left"/>
      <w:pPr>
        <w:ind w:left="788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97F37"/>
    <w:rsid w:val="00197F37"/>
    <w:rsid w:val="00E13428"/>
    <w:rsid w:val="00F6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47169CD-708E-47DE-91E0-8BFCAFB5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eorgia" w:eastAsia="Georgia" w:hAnsi="Georgia" w:cs="Georgia"/>
    </w:rPr>
  </w:style>
  <w:style w:type="paragraph" w:styleId="Nadpis1">
    <w:name w:val="heading 1"/>
    <w:basedOn w:val="Normln"/>
    <w:uiPriority w:val="1"/>
    <w:qFormat/>
    <w:pPr>
      <w:ind w:left="687" w:hanging="42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6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9"/>
      <w:ind w:left="10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zsms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y.fo@mnof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1256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č. 10/2008, Vydání č. 7, Příloha č. 16: Vzorová „Smlouva o dílo“</dc:title>
  <dc:creator>Michaela Janosova</dc:creator>
  <cp:lastModifiedBy>Jan Motyka</cp:lastModifiedBy>
  <cp:revision>2</cp:revision>
  <dcterms:created xsi:type="dcterms:W3CDTF">2023-03-15T07:30:00Z</dcterms:created>
  <dcterms:modified xsi:type="dcterms:W3CDTF">2023-03-15T06:34:00Z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2023-03-15T00:00:00Z</vt:filetime>
  </property>
</Properties>
</file>