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2" w:name="bookmark2"/>
      <w:r>
        <w:rPr>
          <w:rStyle w:val="CharStyle39"/>
        </w:rPr>
        <w:t>Illllllllllllllllllllllll</w:t>
      </w:r>
      <w:bookmarkEnd w:id="2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360" w:firstLine="0"/>
        <w:jc w:val="right"/>
        <w:rPr>
          <w:sz w:val="16"/>
          <w:szCs w:val="16"/>
        </w:rPr>
      </w:pPr>
      <w:r>
        <w:rPr>
          <w:rStyle w:val="CharStyle28"/>
          <w:sz w:val="16"/>
          <w:szCs w:val="16"/>
        </w:rPr>
        <w:t>2023001860</w:t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45"/>
          <w:b/>
          <w:bCs/>
        </w:rPr>
        <w:t>RÁMCOVÁ KUPNÍ SMLOUVA</w:t>
      </w:r>
      <w:bookmarkEnd w:id="4"/>
    </w:p>
    <w:p>
      <w:pPr>
        <w:pStyle w:val="Style46"/>
        <w:keepNext/>
        <w:keepLines/>
        <w:widowControl w:val="0"/>
        <w:shd w:val="clear" w:color="auto" w:fill="auto"/>
        <w:bidi w:val="0"/>
        <w:spacing w:before="0"/>
        <w:ind w:right="0"/>
        <w:jc w:val="both"/>
      </w:pPr>
      <w:bookmarkStart w:id="6" w:name="bookmark6"/>
      <w:r>
        <w:rPr>
          <w:rStyle w:val="CharStyle47"/>
        </w:rPr>
        <w:t>uzavřená v souladu s ustanovením § 2079 a násl. zákona č. 89/2012 Sb., občanský zákoník, mezi níže uvedenými smluvními stranami</w:t>
      </w:r>
      <w:bookmarkEnd w:id="6"/>
    </w:p>
    <w:tbl>
      <w:tblPr>
        <w:tblOverlap w:val="never"/>
        <w:jc w:val="center"/>
        <w:tblLayout w:type="fixed"/>
      </w:tblPr>
      <w:tblGrid>
        <w:gridCol w:w="2986"/>
        <w:gridCol w:w="5856"/>
      </w:tblGrid>
      <w:tr>
        <w:trPr>
          <w:trHeight w:val="23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Jméno: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Sídlo: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Jednající: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Kontaktní osoba: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IČ: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DIČ: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Zápis v OR: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460" w:right="0" w:firstLine="0"/>
              <w:jc w:val="left"/>
            </w:pPr>
            <w:r>
              <w:rPr>
                <w:rStyle w:val="CharStyle49"/>
                <w:b/>
                <w:bCs/>
              </w:rPr>
              <w:t>Zdravotnická záchranná služba Jihomoravského kraje, příspěvková organizace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</w:rPr>
              <w:t>Kamenice 798/1 d, 625 00 Brno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</w:rPr>
              <w:t>MUDr. Hana Albrechtová, ředitelka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  <w:spacing w:val="4"/>
                <w:shd w:val="clear" w:color="auto" w:fill="000000"/>
              </w:rPr>
              <w:t>........</w:t>
            </w:r>
            <w:r>
              <w:rPr>
                <w:rStyle w:val="CharStyle49"/>
                <w:spacing w:val="5"/>
                <w:shd w:val="clear" w:color="auto" w:fill="000000"/>
              </w:rPr>
              <w:t>..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1"/>
                <w:shd w:val="clear" w:color="auto" w:fill="000000"/>
              </w:rPr>
              <w:t>.........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CharStyle49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CharStyle4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8"/>
                <w:shd w:val="clear" w:color="auto" w:fill="000000"/>
              </w:rPr>
              <w:t>...</w:t>
            </w:r>
            <w:r>
              <w:rPr>
                <w:rStyle w:val="CharStyle49"/>
                <w:spacing w:val="9"/>
                <w:shd w:val="clear" w:color="auto" w:fill="000000"/>
              </w:rPr>
              <w:t>..</w:t>
            </w:r>
            <w:r>
              <w:rPr>
                <w:rStyle w:val="CharStyle49"/>
                <w:shd w:val="clear" w:color="auto" w:fill="000000"/>
              </w:rPr>
              <w:t>​.......​</w:t>
            </w:r>
            <w:r>
              <w:rPr>
                <w:rStyle w:val="CharStyle49"/>
                <w:spacing w:val="6"/>
                <w:shd w:val="clear" w:color="auto" w:fill="000000"/>
              </w:rPr>
              <w:t>...</w:t>
            </w:r>
            <w:r>
              <w:rPr>
                <w:rStyle w:val="CharStyle49"/>
                <w:spacing w:val="7"/>
                <w:shd w:val="clear" w:color="auto" w:fill="000000"/>
              </w:rPr>
              <w:t>...</w:t>
            </w:r>
            <w:r>
              <w:rPr>
                <w:rStyle w:val="CharStyle49"/>
                <w:shd w:val="clear" w:color="auto" w:fill="000000"/>
              </w:rPr>
              <w:t>​........​</w:t>
            </w:r>
            <w:r>
              <w:rPr>
                <w:rStyle w:val="CharStyle49"/>
                <w:spacing w:val="6"/>
                <w:shd w:val="clear" w:color="auto" w:fill="000000"/>
              </w:rPr>
              <w:t>....</w:t>
            </w:r>
            <w:r>
              <w:rPr>
                <w:rStyle w:val="CharStyle49"/>
                <w:spacing w:val="7"/>
                <w:shd w:val="clear" w:color="auto" w:fill="000000"/>
              </w:rPr>
              <w:t>....</w:t>
            </w:r>
            <w:r>
              <w:rPr>
                <w:rStyle w:val="CharStyle49"/>
                <w:shd w:val="clear" w:color="auto" w:fill="000000"/>
              </w:rPr>
              <w:t>​.......​.......​......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</w:rPr>
              <w:t>00346292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</w:rPr>
              <w:t>CZ00346292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</w:rPr>
              <w:t>Krajský soud v Brně sp. zn. Pr 1245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460"/>
              <w:jc w:val="left"/>
            </w:pPr>
            <w:r>
              <w:rPr>
                <w:rStyle w:val="CharStyle49"/>
              </w:rPr>
              <w:t>MONETA Money Bank, a.s., č. ú. 117203514/0600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(dále jen „kupující“)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Jméno: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Sídlo: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Jednající: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Kontaktní osoba: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IČO: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DIČ: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Zápis v OR: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  <w:b/>
                <w:bCs/>
              </w:rPr>
              <w:t>Teleflex Medical s.r.o.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</w:rPr>
              <w:t>Pražská třída 209/182, 500 04 Hradec Králové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</w:rPr>
              <w:t>Martin Hlaváček, jednatel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  <w:spacing w:val="1"/>
                <w:shd w:val="clear" w:color="auto" w:fill="000000"/>
              </w:rPr>
              <w:t>..</w:t>
            </w:r>
            <w:r>
              <w:rPr>
                <w:rStyle w:val="CharStyle49"/>
                <w:spacing w:val="2"/>
                <w:shd w:val="clear" w:color="auto" w:fill="000000"/>
              </w:rPr>
              <w:t>....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5"/>
                <w:shd w:val="clear" w:color="auto" w:fill="000000"/>
              </w:rPr>
              <w:t>.........</w:t>
            </w:r>
            <w:r>
              <w:rPr>
                <w:rStyle w:val="CharStyle49"/>
                <w:spacing w:val="6"/>
                <w:shd w:val="clear" w:color="auto" w:fill="000000"/>
              </w:rPr>
              <w:t>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1"/>
                <w:shd w:val="clear" w:color="auto" w:fill="000000"/>
              </w:rPr>
              <w:t>.......</w:t>
            </w:r>
            <w:r>
              <w:rPr>
                <w:rStyle w:val="CharStyle49"/>
                <w:spacing w:val="2"/>
                <w:shd w:val="clear" w:color="auto" w:fill="000000"/>
              </w:rPr>
              <w:t>..........</w:t>
            </w:r>
            <w:r>
              <w:rPr>
                <w:rStyle w:val="CharStyle49"/>
                <w:shd w:val="clear" w:color="auto" w:fill="000000"/>
              </w:rPr>
              <w:t>​.....</w:t>
            </w:r>
            <w:r>
              <w:rPr>
                <w:rStyle w:val="CharStyle49"/>
                <w:spacing w:val="1"/>
                <w:shd w:val="clear" w:color="auto" w:fill="000000"/>
              </w:rPr>
              <w:t>.........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5"/>
                <w:shd w:val="clear" w:color="auto" w:fill="000000"/>
              </w:rPr>
              <w:t>..</w:t>
            </w:r>
            <w:r>
              <w:rPr>
                <w:rStyle w:val="CharStyle49"/>
                <w:spacing w:val="6"/>
                <w:shd w:val="clear" w:color="auto" w:fill="000000"/>
              </w:rPr>
              <w:t>.......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3"/>
                <w:shd w:val="clear" w:color="auto" w:fill="000000"/>
              </w:rPr>
              <w:t>....</w:t>
            </w:r>
            <w:r>
              <w:rPr>
                <w:rStyle w:val="CharStyle49"/>
                <w:spacing w:val="4"/>
                <w:shd w:val="clear" w:color="auto" w:fill="000000"/>
              </w:rPr>
              <w:t>..........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1"/>
                <w:shd w:val="clear" w:color="auto" w:fill="000000"/>
              </w:rPr>
              <w:t>.</w:t>
            </w:r>
            <w:r>
              <w:rPr>
                <w:rStyle w:val="CharStyle49"/>
                <w:spacing w:val="2"/>
                <w:shd w:val="clear" w:color="auto" w:fill="000000"/>
              </w:rPr>
              <w:t>.........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  <w:spacing w:val="3"/>
                <w:shd w:val="clear" w:color="auto" w:fill="000000"/>
              </w:rPr>
              <w:t>..</w:t>
            </w:r>
            <w:r>
              <w:rPr>
                <w:rStyle w:val="CharStyle49"/>
                <w:spacing w:val="4"/>
                <w:shd w:val="clear" w:color="auto" w:fill="000000"/>
              </w:rPr>
              <w:t>.</w:t>
            </w:r>
            <w:r>
              <w:rPr>
                <w:rStyle w:val="CharStyle49"/>
                <w:shd w:val="clear" w:color="auto" w:fill="000000"/>
              </w:rPr>
              <w:t>​</w:t>
            </w:r>
            <w:r>
              <w:rPr>
                <w:rStyle w:val="CharStyle49"/>
                <w:spacing w:val="3"/>
                <w:shd w:val="clear" w:color="auto" w:fill="000000"/>
              </w:rPr>
              <w:t>..</w:t>
            </w:r>
            <w:r>
              <w:rPr>
                <w:rStyle w:val="CharStyle49"/>
                <w:spacing w:val="4"/>
                <w:shd w:val="clear" w:color="auto" w:fill="000000"/>
              </w:rPr>
              <w:t>......</w:t>
            </w:r>
            <w:r>
              <w:rPr>
                <w:rStyle w:val="CharStyle49"/>
                <w:u w:val="single"/>
                <w:shd w:val="clear" w:color="auto" w:fill="000000"/>
                <w:lang w:val="en-US" w:eastAsia="en-US" w:bidi="en-US"/>
              </w:rPr>
              <w:t>​...</w:t>
            </w:r>
            <w:r>
              <w:rPr>
                <w:rStyle w:val="CharStyle49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.............................................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  <w:spacing w:val="8"/>
                <w:shd w:val="clear" w:color="auto" w:fill="000000"/>
              </w:rPr>
              <w:t>...</w:t>
            </w:r>
            <w:r>
              <w:rPr>
                <w:rStyle w:val="CharStyle49"/>
                <w:spacing w:val="9"/>
                <w:shd w:val="clear" w:color="auto" w:fill="000000"/>
              </w:rPr>
              <w:t>..</w:t>
            </w:r>
            <w:r>
              <w:rPr>
                <w:rStyle w:val="CharStyle49"/>
                <w:shd w:val="clear" w:color="auto" w:fill="000000"/>
              </w:rPr>
              <w:t>​....</w:t>
            </w:r>
            <w:r>
              <w:rPr>
                <w:rStyle w:val="CharStyle49"/>
                <w:spacing w:val="1"/>
                <w:shd w:val="clear" w:color="auto" w:fill="000000"/>
              </w:rPr>
              <w:t>.....</w:t>
            </w:r>
            <w:r>
              <w:rPr>
                <w:rStyle w:val="CharStyle49"/>
                <w:shd w:val="clear" w:color="auto" w:fill="000000"/>
              </w:rPr>
              <w:t>​.......​.......​......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</w:rPr>
              <w:t>288 49 809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</w:rPr>
              <w:t>CZ28849809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rStyle w:val="CharStyle49"/>
              </w:rPr>
              <w:t>společnost zapsána u Krajského soudu v Hradci Králové, oddíl C, spisová značka 30847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</w:rPr>
              <w:t>Unicredit Bank Czech Republic and Slovakia, a.s.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49"/>
              </w:rPr>
              <w:t>Č. účtu: 2107845037/2700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</w:pPr>
      <w:r>
        <w:rPr>
          <w:rStyle w:val="CharStyle3"/>
        </w:rPr>
        <w:t>(dále jen „prodávající")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20" w:right="0" w:hanging="420"/>
        <w:jc w:val="both"/>
      </w:pPr>
      <w:r>
        <w:rPr>
          <w:rStyle w:val="CharStyle3"/>
        </w:rPr>
        <w:t>Prodávající je oprávněn na základě svého vlastnického práva nakládat se zbožím ve formě pomůcek pro koniopunkci, jejichž specifikace, včetně jejich jednotkových cen,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20" w:right="0" w:hanging="42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kupujícího prodávajícímu,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 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20" w:right="0" w:hanging="420"/>
        <w:jc w:val="both"/>
      </w:pPr>
      <w:r>
        <w:rPr>
          <w:rStyle w:val="CharStyle3"/>
        </w:rPr>
        <w:t>Součástí dodávky zboží podle čl. 2 této smlouvy je rovněž dodání dokladů, které se k dodávanému zboží vztahují a návody k použití v českém jazyce.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40" w:lineRule="auto"/>
        <w:ind w:left="420" w:right="0" w:hanging="42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5-ti pracovních dní </w:t>
      </w:r>
      <w:r>
        <w:rPr>
          <w:rStyle w:val="CharStyle3"/>
        </w:rPr>
        <w:t>ode dne účinnosti příslušné dílčí kupní smlouvy. Tento závazek se bude považovat za splněný po předání a převzetí příslušného zboží. Místem dodání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380" w:right="0" w:hanging="380"/>
        <w:jc w:val="both"/>
      </w:pPr>
      <w:r>
        <w:rPr>
          <w:rStyle w:val="CharStyle3"/>
        </w:rPr>
        <w:t>Kupující se zavazuje zaplatit prodávajícímu za předmět koupě a prodeje podle čl. 1 této smlouvy kupní cenu ve výši součinu počtu odebraných jednotek příslušného zboží a jednotkových cen tohoto zboží. Jednotkové ceny zboží jsou uvedeny v ceníku, který je jako příloha č. 1 nedílnou součástí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Faktura/daňový doklad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7AA7DF"/>
          <w:u w:val="single"/>
          <w:lang w:val="en-US" w:eastAsia="en-US" w:bidi="en-US"/>
        </w:rPr>
        <w:t>.</w:t>
      </w:r>
      <w:r>
        <w:rPr>
          <w:rStyle w:val="CharStyle3"/>
          <w:color w:val="7AA7DF"/>
          <w:lang w:val="en-US" w:eastAsia="en-US" w:bidi="en-US"/>
        </w:rPr>
        <w:t xml:space="preserve"> </w:t>
      </w:r>
      <w:r>
        <w:rPr>
          <w:rStyle w:val="CharStyle3"/>
        </w:rPr>
        <w:t xml:space="preserve">Na faktuře/daňovém dokladu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P23V00000687.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S převodem zboží je podle čl. 1 této smlouvy spojena záruka za jeho jakost v trvání doby použitelnosti vyznačené na zboží, nejméně však v trvání minimálně 12 měsíců ode dne dodání příslušného zboží. V rámci záruky se prodávající zavazuje, že zboží podle čl. 1 této smlouvy bude dodáno nové, s řádným označením a v neporušením balení a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vyskytnou. Vzhledem k povaze příslušného zboží lze provést odstranění reklamované vady jen výměnou vadného zboží za nové bezvadné, a to nejpozději do 5-ti pracovních dní od doručení příslušné reklamace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420" w:line="240" w:lineRule="auto"/>
        <w:ind w:left="380" w:right="0" w:hanging="38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0,1 % z kupní ceny zboží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59" w:lineRule="auto"/>
        <w:ind w:left="400" w:right="0" w:hanging="400"/>
        <w:jc w:val="both"/>
      </w:pPr>
      <w:r>
        <w:rPr>
          <w:rStyle w:val="CharStyle3"/>
        </w:rPr>
        <w:t>Tato smlouva nabývá účinnosti po jejím podpisu oběma smluvními stranami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rStyle w:val="CharStyle3"/>
        </w:rPr>
        <w:t>Tato smlouva se uzavírá na dobu určitou do 31. 12.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540" w:line="259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558" w:val="left"/>
        </w:tabs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73" w:right="1627" w:bottom="1933" w:left="1403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12700</wp:posOffset>
                </wp:positionV>
                <wp:extent cx="1106170" cy="14922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61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9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600000000000009pt;margin-top:1.pt;width:87.100000000000009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81610" distB="0" distL="114300" distR="3195955" simplePos="0" relativeHeight="125829380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margin">
                  <wp:posOffset>5697220</wp:posOffset>
                </wp:positionV>
                <wp:extent cx="1978025" cy="4787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8025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.....​......​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..​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8"/>
                                <w:szCs w:val="18"/>
                                <w:shd w:val="clear" w:color="auto" w:fill="000000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8"/>
                                <w:szCs w:val="18"/>
                                <w:shd w:val="clear" w:color="auto" w:fill="000000"/>
                                <w:vertAlign w:val="subscript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​..................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16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6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bookmarkStart w:id="0" w:name="bookmark0"/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z w:val="19"/>
                                <w:szCs w:val="19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100000000000009pt;margin-top:448.60000000000002pt;width:155.75pt;height:37.700000000000003pt;z-index:-125829373;mso-wrap-distance-left:9.pt;mso-wrap-distance-top:14.300000000000001pt;mso-wrap-distance-right:251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.....​......​</w:t>
                      </w:r>
                      <w:r>
                        <w:rPr>
                          <w:rStyle w:val="CharStyle5"/>
                          <w:b/>
                          <w:bCs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b/>
                          <w:bCs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</w:rPr>
                        <w:t xml:space="preserve"> </w:t>
                      </w: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..​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  <w:shd w:val="clear" w:color="auto" w:fill="000000"/>
                          <w:vertAlign w:val="subscript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8"/>
                          <w:szCs w:val="18"/>
                          <w:shd w:val="clear" w:color="auto" w:fill="000000"/>
                          <w:vertAlign w:val="subscript"/>
                        </w:rPr>
                        <w:t>...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8"/>
                          <w:szCs w:val="18"/>
                          <w:shd w:val="clear" w:color="auto" w:fill="000000"/>
                          <w:vertAlign w:val="subscript"/>
                        </w:rPr>
                        <w:t>......</w:t>
                      </w:r>
                      <w:r>
                        <w:rPr>
                          <w:rStyle w:val="CharStyle5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6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6"/>
                          <w:spacing w:val="1"/>
                          <w:shd w:val="clear" w:color="auto" w:fill="000000"/>
                        </w:rPr>
                        <w:t>...........</w:t>
                      </w:r>
                      <w:bookmarkStart w:id="0" w:name="bookmark0"/>
                      <w:r>
                        <w:rPr>
                          <w:rStyle w:val="CharStyle16"/>
                          <w:rFonts w:ascii="Arial" w:eastAsia="Arial" w:hAnsi="Arial" w:cs="Arial"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6"/>
                          <w:rFonts w:ascii="Arial" w:eastAsia="Arial" w:hAnsi="Arial" w:cs="Arial"/>
                          <w:spacing w:val="10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6"/>
                          <w:rFonts w:ascii="Arial" w:eastAsia="Arial" w:hAnsi="Arial" w:cs="Arial"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6"/>
                          <w:rFonts w:ascii="Arial" w:eastAsia="Arial" w:hAnsi="Arial" w:cs="Arial"/>
                          <w:sz w:val="19"/>
                          <w:szCs w:val="19"/>
                          <w:shd w:val="clear" w:color="auto" w:fill="000000"/>
                          <w:vertAlign w:val="superscript"/>
                        </w:rPr>
                        <w:t>..</w:t>
                      </w:r>
                      <w:r>
                        <w:rPr>
                          <w:rStyle w:val="CharStyle16"/>
                          <w:rFonts w:ascii="Arial" w:eastAsia="Arial" w:hAnsi="Arial" w:cs="Arial"/>
                          <w:spacing w:val="1"/>
                          <w:sz w:val="19"/>
                          <w:szCs w:val="19"/>
                          <w:shd w:val="clear" w:color="auto" w:fill="000000"/>
                          <w:vertAlign w:val="superscript"/>
                        </w:rPr>
                        <w:t>..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286385" distL="3436620" distR="1214755" simplePos="0" relativeHeight="125829382" behindDoc="0" locked="0" layoutInCell="1" allowOverlap="1">
                <wp:simplePos x="0" y="0"/>
                <wp:positionH relativeFrom="page">
                  <wp:posOffset>4225290</wp:posOffset>
                </wp:positionH>
                <wp:positionV relativeFrom="margin">
                  <wp:posOffset>5629910</wp:posOffset>
                </wp:positionV>
                <wp:extent cx="636905" cy="25908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4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2.69999999999999pt;margin-top:443.30000000000001pt;width:50.149999999999999pt;height:20.400000000000002pt;z-index:-125829371;mso-wrap-distance-left:270.60000000000002pt;mso-wrap-distance-top:9.pt;mso-wrap-distance-right:95.650000000000006pt;mso-wrap-distance-bottom:22.5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4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4"/>
                          <w:spacing w:val="1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3190" distB="271145" distL="4308475" distR="114300" simplePos="0" relativeHeight="125829384" behindDoc="0" locked="0" layoutInCell="1" allowOverlap="1">
                <wp:simplePos x="0" y="0"/>
                <wp:positionH relativeFrom="page">
                  <wp:posOffset>5097145</wp:posOffset>
                </wp:positionH>
                <wp:positionV relativeFrom="margin">
                  <wp:posOffset>5638800</wp:posOffset>
                </wp:positionV>
                <wp:extent cx="865505" cy="2654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8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28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8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1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8"/>
                              </w:rPr>
                              <w:t xml:space="preserve"> 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8"/>
                                <w:spacing w:val="4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8"/>
                                <w:spacing w:val="2"/>
                                <w:shd w:val="clear" w:color="auto" w:fill="000000"/>
                              </w:rPr>
                              <w:t>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1.35000000000002pt;margin-top:444.pt;width:68.150000000000006pt;height:20.900000000000002pt;z-index:-125829369;mso-wrap-distance-left:339.25pt;mso-wrap-distance-top:9.7000000000000011pt;mso-wrap-distance-right:9.pt;mso-wrap-distance-bottom:21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8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8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8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1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8"/>
                        </w:rPr>
                        <w:t xml:space="preserve"> 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8"/>
                          <w:spacing w:val="4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8"/>
                          <w:spacing w:val="2"/>
                          <w:shd w:val="clear" w:color="auto" w:fill="000000"/>
                        </w:rPr>
                        <w:t>.............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91795" distB="24130" distL="3439795" distR="199390" simplePos="0" relativeHeight="125829386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margin">
                  <wp:posOffset>5907405</wp:posOffset>
                </wp:positionV>
                <wp:extent cx="1649095" cy="2438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8"/>
                                <w:spacing w:val="1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2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28"/>
                              </w:rPr>
                              <w:t xml:space="preserve"> 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2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8"/>
                                <w:spacing w:val="2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8"/>
                                <w:spacing w:val="1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8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8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8"/>
                                <w:shd w:val="clear" w:color="auto" w:fill="000000"/>
                              </w:rPr>
                              <w:t>​...............</w:t>
                            </w:r>
                            <w:r>
                              <w:rPr>
                                <w:rStyle w:val="CharStyle28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2.94999999999999pt;margin-top:465.15000000000003pt;width:129.84999999999999pt;height:19.199999999999999pt;z-index:-125829367;mso-wrap-distance-left:270.85000000000002pt;mso-wrap-distance-top:30.850000000000001pt;mso-wrap-distance-right:15.700000000000001pt;mso-wrap-distance-bottom:1.9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8"/>
                          <w:spacing w:val="1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2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28"/>
                        </w:rPr>
                        <w:t xml:space="preserve"> 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2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8"/>
                          <w:spacing w:val="2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1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8"/>
                          <w:spacing w:val="1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8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8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8"/>
                          <w:shd w:val="clear" w:color="auto" w:fill="000000"/>
                        </w:rPr>
                        <w:t>​...............</w:t>
                      </w:r>
                      <w:r>
                        <w:rPr>
                          <w:rStyle w:val="CharStyle28"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3"/>
        </w:rPr>
        <w:t>V Hradci Králové dne</w:t>
        <w:tab/>
      </w:r>
    </w:p>
    <w:p>
      <w:pPr>
        <w:widowControl w:val="0"/>
        <w:spacing w:line="44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43" w:right="0" w:bottom="550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12700</wp:posOffset>
                </wp:positionV>
                <wp:extent cx="923290" cy="43878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3290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Martin Hlaváček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60000000000002pt;margin-top:1.pt;width:72.700000000000003pt;height:34.550000000000004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Martin Hlaváček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b/>
          <w:bCs/>
        </w:rPr>
        <w:t>Kupující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Specifikace, ceník</w:t>
      </w:r>
    </w:p>
    <w:p>
      <w:pPr>
        <w:pStyle w:val="Style7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1"/>
          <w:b/>
          <w:bCs/>
        </w:rPr>
        <w:t>Quicktrach - pro děti</w:t>
      </w:r>
    </w:p>
    <w:tbl>
      <w:tblPr>
        <w:tblOverlap w:val="never"/>
        <w:jc w:val="center"/>
        <w:tblLayout w:type="fixed"/>
      </w:tblPr>
      <w:tblGrid>
        <w:gridCol w:w="4622"/>
        <w:gridCol w:w="4368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b/>
                <w:bCs/>
                <w:i/>
                <w:iCs/>
              </w:rPr>
              <w:t>120600-000020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b/>
                <w:bCs/>
              </w:rPr>
              <w:t>Výrobce: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</w:pPr>
            <w:r>
              <w:rPr>
                <w:rStyle w:val="CharStyle49"/>
                <w:b/>
                <w:bCs/>
                <w:i/>
                <w:iCs/>
              </w:rPr>
              <w:t>VBM Medizintechnik GmbH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b/>
                <w:bCs/>
              </w:rPr>
              <w:t>Interní číslo kupujícího: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</w:pPr>
            <w:r>
              <w:rPr>
                <w:rStyle w:val="CharStyle49"/>
                <w:b/>
                <w:bCs/>
                <w:i/>
                <w:iCs/>
              </w:rPr>
              <w:t>24228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b/>
                <w:bCs/>
              </w:rPr>
              <w:t>Jednotková cena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</w:pPr>
            <w:r>
              <w:rPr>
                <w:rStyle w:val="CharStyle49"/>
                <w:b/>
                <w:bCs/>
                <w:i/>
                <w:iCs/>
              </w:rPr>
              <w:t>2 569,50 Kč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b/>
                <w:bCs/>
              </w:rPr>
              <w:t>Jednotková cena vč.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</w:pPr>
            <w:r>
              <w:rPr>
                <w:rStyle w:val="CharStyle49"/>
                <w:b/>
                <w:bCs/>
                <w:i/>
                <w:iCs/>
              </w:rPr>
              <w:t>3 109,10 Kč</w:t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06"/>
        <w:gridCol w:w="5366"/>
        <w:gridCol w:w="2746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EFECA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CA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CA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b/>
                <w:bCs/>
              </w:rPr>
              <w:t>Účastníkem nabízená hodnota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9"/>
              </w:rPr>
              <w:t>Sada pro koniopunkci - quicktrach na jedno použití, sterilní.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i/>
                <w:iCs/>
              </w:rPr>
              <w:t>ANO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9"/>
              </w:rPr>
              <w:t>Průměr I.D. pro dítě 2,0 mm.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i/>
                <w:iCs/>
              </w:rPr>
              <w:t>ANO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9"/>
              </w:rPr>
              <w:t>Baleno sterilně po jednom kusu v pevném plastovém obalu.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i/>
                <w:iCs/>
              </w:rPr>
              <w:t>ANO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9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9"/>
              </w:rPr>
              <w:t xml:space="preserve">Evidence kódem v číselníku VZP a jsou pojišťovnou </w:t>
            </w:r>
            <w:r>
              <w:rPr>
                <w:rStyle w:val="CharStyle49"/>
                <w:b/>
                <w:bCs/>
              </w:rPr>
              <w:t xml:space="preserve">plně hrazeny </w:t>
            </w:r>
            <w:r>
              <w:rPr>
                <w:rStyle w:val="CharStyle49"/>
              </w:rPr>
              <w:t>z tohoto veřejného zdravotního pojištění.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  <w:i/>
                <w:iCs/>
              </w:rPr>
              <w:t>37971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243" w:right="1296" w:bottom="5505" w:left="147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9975850</wp:posOffset>
              </wp:positionV>
              <wp:extent cx="3209290" cy="946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0929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41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zakazka 1 r_2023: Pomacky pro koniopunkci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049999999999997pt;margin-top:785.5pt;width:252.70000000000002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zakazka 1 r_2023: Pomacky pro koniopunkci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6">
    <w:name w:val="Nadpis #2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4">
    <w:name w:val="Základní text (4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9">
    <w:name w:val="Nadpis #1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41">
    <w:name w:val="Záhlaví nebo zápatí (2)_"/>
    <w:basedOn w:val="DefaultParagraphFont"/>
    <w:link w:val="Styl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5">
    <w:name w:val="Nadpis #3_"/>
    <w:basedOn w:val="DefaultParagraphFont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">
    <w:name w:val="Nadpis #4_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9">
    <w:name w:val="Jiné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1">
    <w:name w:val="Titulek tabulky_"/>
    <w:basedOn w:val="DefaultParagraphFont"/>
    <w:link w:val="Style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line="14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auto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3">
    <w:name w:val="Základní text (4)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8">
    <w:name w:val="Nadpis #1"/>
    <w:basedOn w:val="Normal"/>
    <w:link w:val="CharStyle39"/>
    <w:pPr>
      <w:widowControl w:val="0"/>
      <w:shd w:val="clear" w:color="auto" w:fill="auto"/>
      <w:spacing w:after="1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40">
    <w:name w:val="Záhlaví nebo zápatí (2)"/>
    <w:basedOn w:val="Normal"/>
    <w:link w:val="CharStyle4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4">
    <w:name w:val="Nadpis #3"/>
    <w:basedOn w:val="Normal"/>
    <w:link w:val="CharStyle45"/>
    <w:pPr>
      <w:widowControl w:val="0"/>
      <w:shd w:val="clear" w:color="auto" w:fill="auto"/>
      <w:spacing w:after="26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6">
    <w:name w:val="Nadpis #4"/>
    <w:basedOn w:val="Normal"/>
    <w:link w:val="CharStyle47"/>
    <w:pPr>
      <w:widowControl w:val="0"/>
      <w:shd w:val="clear" w:color="auto" w:fill="auto"/>
      <w:spacing w:after="460" w:line="257" w:lineRule="auto"/>
      <w:ind w:left="2020" w:hanging="128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8">
    <w:name w:val="Jiné"/>
    <w:basedOn w:val="Normal"/>
    <w:link w:val="CharStyle49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0">
    <w:name w:val="Titulek tabulky"/>
    <w:basedOn w:val="Normal"/>
    <w:link w:val="CharStyle7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