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C5" w:rsidRDefault="000B372B">
      <w:pPr>
        <w:pStyle w:val="Nadpis10"/>
        <w:keepNext/>
        <w:keepLines/>
        <w:framePr w:w="1738" w:h="1061" w:wrap="none" w:vAnchor="text" w:hAnchor="page" w:x="1633" w:y="21"/>
        <w:shd w:val="clear" w:color="auto" w:fill="auto"/>
        <w:spacing w:after="0"/>
        <w:ind w:left="380"/>
      </w:pPr>
      <w:bookmarkStart w:id="0" w:name="bookmark0"/>
      <w:r>
        <w:t>LOADING</w:t>
      </w:r>
      <w:bookmarkEnd w:id="0"/>
    </w:p>
    <w:p w:rsidR="00DC77C5" w:rsidRDefault="000B372B">
      <w:pPr>
        <w:pStyle w:val="Nadpis10"/>
        <w:keepNext/>
        <w:keepLines/>
        <w:framePr w:w="1738" w:h="1061" w:wrap="none" w:vAnchor="text" w:hAnchor="page" w:x="1633" w:y="21"/>
        <w:shd w:val="clear" w:color="auto" w:fill="auto"/>
        <w:spacing w:after="160" w:line="218" w:lineRule="auto"/>
        <w:ind w:left="0"/>
      </w:pPr>
      <w:bookmarkStart w:id="1" w:name="bookmark1"/>
      <w:r>
        <w:t>) SYSTEMS</w:t>
      </w:r>
      <w:bookmarkEnd w:id="1"/>
    </w:p>
    <w:p w:rsidR="00DC77C5" w:rsidRDefault="000B372B">
      <w:pPr>
        <w:pStyle w:val="Zkladntext20"/>
        <w:framePr w:w="1738" w:h="1061" w:wrap="none" w:vAnchor="text" w:hAnchor="page" w:x="1633" w:y="21"/>
        <w:shd w:val="clear" w:color="auto" w:fill="auto"/>
      </w:pPr>
      <w:r>
        <w:t>DADING SYSTEMS CZ</w:t>
      </w:r>
    </w:p>
    <w:p w:rsidR="00DC77C5" w:rsidRDefault="000B372B">
      <w:pPr>
        <w:pStyle w:val="Zkladntext1"/>
        <w:framePr w:w="4579" w:h="269" w:wrap="none" w:vAnchor="text" w:hAnchor="page" w:x="6323" w:y="351"/>
        <w:shd w:val="clear" w:color="auto" w:fill="auto"/>
        <w:spacing w:line="240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NAKLÁDACÍ TECHNIKA &amp; PRŮMYSLOVÁ VRATA</w:t>
      </w:r>
    </w:p>
    <w:p w:rsidR="00DC77C5" w:rsidRDefault="00DC77C5">
      <w:pPr>
        <w:spacing w:line="360" w:lineRule="exact"/>
      </w:pPr>
    </w:p>
    <w:p w:rsidR="00DC77C5" w:rsidRDefault="00DC77C5">
      <w:pPr>
        <w:spacing w:after="687" w:line="14" w:lineRule="exact"/>
      </w:pPr>
    </w:p>
    <w:p w:rsidR="00DC77C5" w:rsidRDefault="00DC77C5">
      <w:pPr>
        <w:spacing w:line="14" w:lineRule="exact"/>
        <w:sectPr w:rsidR="00DC77C5">
          <w:footerReference w:type="default" r:id="rId8"/>
          <w:footerReference w:type="first" r:id="rId9"/>
          <w:pgSz w:w="11900" w:h="16840"/>
          <w:pgMar w:top="961" w:right="999" w:bottom="1048" w:left="1061" w:header="0" w:footer="3" w:gutter="0"/>
          <w:pgNumType w:start="1"/>
          <w:cols w:space="720"/>
          <w:noEndnote/>
          <w:titlePg/>
          <w:docGrid w:linePitch="360"/>
        </w:sectPr>
      </w:pPr>
    </w:p>
    <w:p w:rsidR="00DC77C5" w:rsidRDefault="00DC77C5">
      <w:pPr>
        <w:spacing w:line="240" w:lineRule="exact"/>
        <w:rPr>
          <w:sz w:val="19"/>
          <w:szCs w:val="19"/>
        </w:rPr>
      </w:pPr>
    </w:p>
    <w:p w:rsidR="00DC77C5" w:rsidRDefault="00DC77C5">
      <w:pPr>
        <w:spacing w:before="3" w:after="3" w:line="240" w:lineRule="exact"/>
        <w:rPr>
          <w:sz w:val="19"/>
          <w:szCs w:val="19"/>
        </w:rPr>
      </w:pPr>
    </w:p>
    <w:p w:rsidR="00DC77C5" w:rsidRDefault="00DC77C5">
      <w:pPr>
        <w:spacing w:line="14" w:lineRule="exact"/>
        <w:sectPr w:rsidR="00DC77C5">
          <w:type w:val="continuous"/>
          <w:pgSz w:w="11900" w:h="16840"/>
          <w:pgMar w:top="1314" w:right="0" w:bottom="1372" w:left="0" w:header="0" w:footer="3" w:gutter="0"/>
          <w:cols w:space="720"/>
          <w:noEndnote/>
          <w:docGrid w:linePitch="360"/>
        </w:sectPr>
      </w:pPr>
    </w:p>
    <w:p w:rsidR="00DC77C5" w:rsidRDefault="000B372B">
      <w:pPr>
        <w:pStyle w:val="Zkladntext1"/>
        <w:shd w:val="clear" w:color="auto" w:fill="auto"/>
        <w:spacing w:after="180"/>
        <w:ind w:left="3180" w:right="328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Smlouva o dílo č. MD-58565-22 o poskytování prací a služeb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78"/>
        </w:tabs>
        <w:spacing w:line="240" w:lineRule="auto"/>
        <w:ind w:left="3980"/>
      </w:pPr>
      <w:bookmarkStart w:id="2" w:name="bookmark2"/>
      <w:r>
        <w:t>Smluvní strany</w:t>
      </w:r>
      <w:bookmarkEnd w:id="2"/>
    </w:p>
    <w:p w:rsidR="00DC77C5" w:rsidRDefault="000B372B">
      <w:pPr>
        <w:pStyle w:val="Zkladntext1"/>
        <w:shd w:val="clear" w:color="auto" w:fill="auto"/>
        <w:spacing w:line="257" w:lineRule="auto"/>
        <w:ind w:right="16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155190" distL="114300" distR="1531620" simplePos="0" relativeHeight="125829378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12700</wp:posOffset>
                </wp:positionV>
                <wp:extent cx="956945" cy="1765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1.1 Objednatel: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3.549999999999997pt;margin-top:1.pt;width:75.349999999999994pt;height:13.9pt;z-index:-125829375;mso-wrap-distance-left:9.pt;mso-wrap-distance-right:120.59999999999999pt;mso-wrap-distance-bottom:169.6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1.1 Objednatel: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225" distB="1228090" distL="1397635" distR="114300" simplePos="0" relativeHeight="125829380" behindDoc="0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161925</wp:posOffset>
                </wp:positionV>
                <wp:extent cx="1090930" cy="95377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 xml:space="preserve">se sídlem: </w:t>
                            </w:r>
                            <w:r>
                              <w:t>zastoupený: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4.59999999999999pt;margin-top:12.75pt;width:85.900000000000006pt;height:75.099999999999994pt;z-index:-125829373;mso-wrap-distance-left:110.05pt;mso-wrap-distance-top:11.75pt;mso-wrap-distance-right:9.pt;mso-wrap-distance-bottom:96.70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zastoupený: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8090" distB="938530" distL="117475" distR="1595755" simplePos="0" relativeHeight="125829382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1240790</wp:posOffset>
                </wp:positionV>
                <wp:extent cx="890270" cy="16446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1.2. Zhotovitel: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3.799999999999997pt;margin-top:97.700000000000003pt;width:70.099999999999994pt;height:12.949999999999999pt;z-index:-125829371;mso-wrap-distance-left:9.25pt;mso-wrap-distance-top:96.700000000000003pt;mso-wrap-distance-right:125.65000000000001pt;mso-wrap-distance-bottom:73.90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1.2. 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3190" distB="0" distL="1391285" distR="144780" simplePos="0" relativeHeight="125829384" behindDoc="0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1405890</wp:posOffset>
                </wp:positionV>
                <wp:extent cx="1066800" cy="93853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se sídlem: zastoupený: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</w:pPr>
                            <w:r>
                              <w:t>Bankovní spojení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54.09999999999999pt;margin-top:110.7pt;width:84.pt;height:73.900000000000006pt;z-index:-125829369;mso-wrap-distance-left:109.55pt;mso-wrap-distance-top:109.7pt;mso-wrap-distance-right:11.4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zastoupený: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Výzkumný ústav rostlinné výroby, </w:t>
      </w:r>
      <w:proofErr w:type="spellStart"/>
      <w:r>
        <w:t>v.v.i</w:t>
      </w:r>
      <w:proofErr w:type="spellEnd"/>
      <w:r>
        <w:t xml:space="preserve">. Drnovská 507/73,16100 Praha 6 - Ruzyně RNDr. Mikuláš Madaras, </w:t>
      </w:r>
      <w:proofErr w:type="gramStart"/>
      <w:r>
        <w:t>Ph.D. , ředitel</w:t>
      </w:r>
      <w:proofErr w:type="gramEnd"/>
      <w:r>
        <w:t xml:space="preserve"> 00</w:t>
      </w:r>
      <w:r>
        <w:t>027006</w:t>
      </w:r>
    </w:p>
    <w:p w:rsidR="00DC77C5" w:rsidRDefault="000B372B">
      <w:pPr>
        <w:pStyle w:val="Zkladntext1"/>
        <w:shd w:val="clear" w:color="auto" w:fill="auto"/>
        <w:spacing w:line="257" w:lineRule="auto"/>
        <w:jc w:val="left"/>
      </w:pPr>
      <w:r>
        <w:t>CZ00027006</w:t>
      </w:r>
    </w:p>
    <w:p w:rsidR="00DC77C5" w:rsidRDefault="000B372B">
      <w:pPr>
        <w:pStyle w:val="Zkladntext1"/>
        <w:shd w:val="clear" w:color="auto" w:fill="auto"/>
        <w:spacing w:line="257" w:lineRule="auto"/>
        <w:jc w:val="left"/>
      </w:pPr>
      <w:r>
        <w:t>Komerční banka</w:t>
      </w:r>
    </w:p>
    <w:p w:rsidR="00DC77C5" w:rsidRDefault="000B372B">
      <w:pPr>
        <w:pStyle w:val="Zkladntext1"/>
        <w:shd w:val="clear" w:color="auto" w:fill="auto"/>
        <w:spacing w:after="220" w:line="257" w:lineRule="auto"/>
        <w:jc w:val="left"/>
      </w:pPr>
      <w:r>
        <w:t>25635061/0100</w:t>
      </w:r>
    </w:p>
    <w:p w:rsidR="00DC77C5" w:rsidRDefault="000B372B">
      <w:pPr>
        <w:pStyle w:val="Nadpis30"/>
        <w:keepNext/>
        <w:keepLines/>
        <w:shd w:val="clear" w:color="auto" w:fill="auto"/>
        <w:spacing w:after="0" w:line="257" w:lineRule="auto"/>
        <w:ind w:left="0"/>
      </w:pPr>
      <w:bookmarkStart w:id="3" w:name="bookmark3"/>
      <w:proofErr w:type="spellStart"/>
      <w:r>
        <w:t>Tyros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Systems CZ s.r.o.</w:t>
      </w:r>
      <w:bookmarkEnd w:id="3"/>
    </w:p>
    <w:p w:rsidR="00DC77C5" w:rsidRDefault="000B372B">
      <w:pPr>
        <w:pStyle w:val="Zkladntext1"/>
        <w:shd w:val="clear" w:color="auto" w:fill="auto"/>
        <w:spacing w:line="257" w:lineRule="auto"/>
        <w:ind w:right="1660"/>
        <w:jc w:val="left"/>
      </w:pPr>
      <w:r>
        <w:t>Nad strouhou 126/6, 147 00 Praha 4 ing. Ivem Luňákem, jednatelem 27119009</w:t>
      </w:r>
    </w:p>
    <w:p w:rsidR="00DC77C5" w:rsidRDefault="000B372B">
      <w:pPr>
        <w:pStyle w:val="Zkladntext1"/>
        <w:shd w:val="clear" w:color="auto" w:fill="auto"/>
        <w:spacing w:line="257" w:lineRule="auto"/>
        <w:ind w:right="1660"/>
        <w:jc w:val="left"/>
      </w:pPr>
      <w:r>
        <w:t>CZ27119009 ČSOB, a.s.</w:t>
      </w:r>
    </w:p>
    <w:p w:rsidR="00DC77C5" w:rsidRDefault="000B372B">
      <w:pPr>
        <w:pStyle w:val="Zkladntext1"/>
        <w:shd w:val="clear" w:color="auto" w:fill="auto"/>
        <w:spacing w:line="257" w:lineRule="auto"/>
        <w:jc w:val="left"/>
      </w:pPr>
      <w:r>
        <w:t>221535762/0300</w:t>
      </w:r>
    </w:p>
    <w:p w:rsidR="00DC77C5" w:rsidRDefault="000B372B">
      <w:pPr>
        <w:pStyle w:val="Zkladntext1"/>
        <w:shd w:val="clear" w:color="auto" w:fill="auto"/>
        <w:spacing w:after="220" w:line="257" w:lineRule="auto"/>
        <w:ind w:left="2060" w:right="760"/>
        <w:jc w:val="left"/>
      </w:pPr>
      <w:r>
        <w:t xml:space="preserve">Registrovaný v obchodním rejstříku vedeném Městským soudem v </w:t>
      </w:r>
      <w:r>
        <w:t>Praze, oddíl C, vložka 97693.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83"/>
        </w:tabs>
        <w:spacing w:line="257" w:lineRule="auto"/>
        <w:ind w:left="3980"/>
      </w:pPr>
      <w:bookmarkStart w:id="4" w:name="bookmark4"/>
      <w:r>
        <w:t>Předmět plnění</w:t>
      </w:r>
      <w:bookmarkEnd w:id="4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4"/>
        </w:tabs>
        <w:spacing w:line="257" w:lineRule="auto"/>
        <w:ind w:left="360" w:hanging="360"/>
      </w:pPr>
      <w:r>
        <w:t>Zhotovitel se zavazuje provádět pro objednatele následující práce a výkony na zařízeních, která jsou ve vlastnictví objednatele a která jsou nainstalována v objektech objednatele a specifikována v příloze č. 1 t</w:t>
      </w:r>
      <w:r>
        <w:t>éto smlouvy:</w:t>
      </w:r>
    </w:p>
    <w:p w:rsidR="00DC77C5" w:rsidRDefault="000B372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line="257" w:lineRule="auto"/>
        <w:ind w:left="700" w:hanging="340"/>
      </w:pPr>
      <w:r>
        <w:t xml:space="preserve">Servisní prohlídky, tj. pravidelné kontroly zařízení zahrnující údržbu a drobné opravy. Údržbou se pro potřeby této smlouvy rozumí vyčištění, seřízení a nastavení, které jsou předepsané výrobcem pro spolehlivý provoz zařízení. Drobnou opravou </w:t>
      </w:r>
      <w:r>
        <w:t>je oprava, která nevyžaduje použití náhradního dílu.</w:t>
      </w:r>
    </w:p>
    <w:p w:rsidR="00DC77C5" w:rsidRDefault="000B372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line="257" w:lineRule="auto"/>
        <w:ind w:left="700" w:hanging="340"/>
      </w:pPr>
      <w:r>
        <w:t>Opravy zařízení. Opravou se rozumí taková činnost zhotovitele, při které je k odstranění závady nebo zajištění spolehlivého provozu nezbytná výměna porouchané součástky nebo dodání nového dílu.</w:t>
      </w:r>
    </w:p>
    <w:p w:rsidR="00DC77C5" w:rsidRDefault="000B372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after="240" w:line="257" w:lineRule="auto"/>
        <w:ind w:left="700" w:hanging="340"/>
      </w:pPr>
      <w:r>
        <w:t>Konzultace a poradenství ohledně bezpečnosti a právních norem týkajících se dodaného zařízení.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38"/>
        </w:tabs>
        <w:spacing w:line="257" w:lineRule="auto"/>
        <w:ind w:left="3440"/>
      </w:pPr>
      <w:bookmarkStart w:id="5" w:name="bookmark5"/>
      <w:r>
        <w:t>Cena a platební podmínky</w:t>
      </w:r>
      <w:bookmarkEnd w:id="5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4"/>
        </w:tabs>
        <w:spacing w:line="257" w:lineRule="auto"/>
        <w:ind w:left="360" w:hanging="360"/>
      </w:pPr>
      <w:r>
        <w:t xml:space="preserve">Objednatel se zavazuje uhradit zhotoviteli smluvní cenu, určenou dohodou smluvních stran, která se skládá z ceny výkonů a ceny dodaných </w:t>
      </w:r>
      <w:r>
        <w:t>náhradních dílů, a to takto:</w:t>
      </w:r>
    </w:p>
    <w:p w:rsidR="00DC77C5" w:rsidRDefault="000B372B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line="257" w:lineRule="auto"/>
        <w:ind w:left="560" w:hanging="120"/>
      </w:pPr>
      <w:r>
        <w:t>Z ceny za výkony dle článku 2.1a) za každou sjednanou servisní prohlídku všech zařízení. Výše této ceny je uvedena v příloze č. 1.</w:t>
      </w:r>
    </w:p>
    <w:p w:rsidR="00DC77C5" w:rsidRDefault="000B372B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120" w:line="257" w:lineRule="auto"/>
        <w:ind w:left="560" w:hanging="120"/>
      </w:pPr>
      <w:r>
        <w:t>Z ceny za výkony a náhradní díly použité při opravě dle čl. 2.1b) podle platného ceníku zhotovit</w:t>
      </w:r>
      <w:r>
        <w:t>ele. O ceně takového zásahu bude objednatel předem informován formou zápisu v pracovním (servisním) listu a tato cena musí být objednatelem odsouhlasena.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3"/>
        </w:tabs>
        <w:spacing w:after="160"/>
        <w:ind w:left="440" w:hanging="440"/>
      </w:pPr>
      <w:r>
        <w:t>Smluvní cena je hrazena na základě daňového dokladu zhotovitele. Daňovým dokladem se rozumí faktura zh</w:t>
      </w:r>
      <w:r>
        <w:t>otovitele, jejíž přílohou je kopie pracovního (servisního) listu potvrzená odpovědným pracovníkem objednatele (technik objektu). Úhrada za provedené práce, výkony a náhradní díly je splatná do 14 dní od obdržení daňového dokladu (faktury) objednatelem. Ter</w:t>
      </w:r>
      <w:r>
        <w:t>mín splatnosti je dodržen připsáním účtované částky na účet zhotovitele.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45"/>
        </w:tabs>
        <w:ind w:left="3620" w:firstLine="20"/>
      </w:pPr>
      <w:bookmarkStart w:id="6" w:name="bookmark6"/>
      <w:r>
        <w:t>Čas provádění výkonů</w:t>
      </w:r>
      <w:bookmarkEnd w:id="6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01"/>
        </w:tabs>
        <w:spacing w:line="252" w:lineRule="auto"/>
        <w:ind w:left="360" w:hanging="360"/>
      </w:pPr>
      <w:r>
        <w:t xml:space="preserve">Servisní prohlídky dle čl. 2.1a) se zhotovitel zavazuje provádět podle přílohy č. 1 této smlouvy. Zhotovitel sjedná s odpovědným zástupcem objednatele přesné </w:t>
      </w:r>
      <w:r>
        <w:t>datum a časové rozmezí pro provedení sjednané servisní prohlídky nebo opravy v dostatečném předstihu.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5"/>
        </w:tabs>
        <w:spacing w:after="240" w:line="252" w:lineRule="auto"/>
        <w:ind w:left="360" w:hanging="360"/>
      </w:pPr>
      <w:r>
        <w:t xml:space="preserve">V případě, že při servisním zásahu zjistí zhotovitel, že k zabránění poruch je žádoucí provést výměnu některé součástky, uvede zhotovitel tuto skutečnost </w:t>
      </w:r>
      <w:r>
        <w:t xml:space="preserve">v pracovním (servisním) listu, ve kterém současně uvede nutnost nezbytných opatření k zabezpečení ochrany zdraví a majetku objednatele, vyžaduje-li předpokládaný </w:t>
      </w:r>
      <w:r>
        <w:lastRenderedPageBreak/>
        <w:t>servisní úkon spojený s výměnou součástky takové opatření.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45"/>
        </w:tabs>
        <w:ind w:left="3620" w:firstLine="20"/>
      </w:pPr>
      <w:bookmarkStart w:id="7" w:name="bookmark7"/>
      <w:r>
        <w:t>Odpovědnost za vady</w:t>
      </w:r>
      <w:bookmarkEnd w:id="7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2"/>
        </w:tabs>
        <w:ind w:left="360" w:hanging="360"/>
      </w:pPr>
      <w:r>
        <w:t>Zhotovitel posk</w:t>
      </w:r>
      <w:r>
        <w:t>ytuje záruku 6 měsíců na provedené práce a 12 měsíců na náhradní díly jím dodané, na základě této smlouvy. Podmínkou záruky je dodržování návodu k obsluze a údržbě, který má objednatel ve svém držení. Záruční doba počne běžet dnem uvedeným v pracovním list</w:t>
      </w:r>
      <w:r>
        <w:t>u, servisním listu či předávacím protokolu jako den převzetí díla objednatelem. Tzn., že zhotovitel zaručuje bezporuchový chod zařízení po dobu 6 měsíců. Jestliže se na zařízení v této době vyskytne porucha bez zjevné příčiny (zjevnou příčinou je např. poš</w:t>
      </w:r>
      <w:r>
        <w:t>kození nabouráním nebo opotřebením či z důvodů vzniklých na straně objednatele, jako je např. vadné či nevhodné nakládání se zařízením), bude taková oprava posuzována jako záruční.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after="240"/>
        <w:ind w:left="360" w:hanging="360"/>
      </w:pPr>
      <w:r>
        <w:t>Objednatel je povinen reklamovat zjevné vady kvality a rozsahu služeb a pra</w:t>
      </w:r>
      <w:r>
        <w:t>cí dodaných a provedených dle této smlouvy, neprodleně po jejich zjištění. Zhotovitel je povinen v záruční době na vlastní náklady z titulu odpovědnosti za vady díla odstranit právem reklamovanou vadu práce, služby nebo náhradního dílu jím použitého.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0"/>
        </w:tabs>
        <w:ind w:left="3280"/>
      </w:pPr>
      <w:bookmarkStart w:id="8" w:name="bookmark8"/>
      <w:r>
        <w:t>Práva</w:t>
      </w:r>
      <w:r>
        <w:t xml:space="preserve"> a povinnosti účastníků</w:t>
      </w:r>
      <w:bookmarkEnd w:id="8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6"/>
        </w:tabs>
        <w:spacing w:line="257" w:lineRule="auto"/>
        <w:ind w:left="360" w:hanging="360"/>
      </w:pPr>
      <w:r>
        <w:t>Zhotovitel odpovídá objednateli:</w:t>
      </w:r>
    </w:p>
    <w:p w:rsidR="00DC77C5" w:rsidRDefault="000B372B">
      <w:pPr>
        <w:pStyle w:val="Zkladntext1"/>
        <w:shd w:val="clear" w:color="auto" w:fill="auto"/>
        <w:spacing w:line="257" w:lineRule="auto"/>
        <w:ind w:left="560" w:hanging="120"/>
        <w:jc w:val="left"/>
      </w:pPr>
      <w:r>
        <w:t>-za kvalitu, všeobecnou a odbornou správnost poskytovaných prací a služeb,</w:t>
      </w:r>
    </w:p>
    <w:p w:rsidR="00DC77C5" w:rsidRDefault="000B372B">
      <w:pPr>
        <w:pStyle w:val="Zkladntext1"/>
        <w:shd w:val="clear" w:color="auto" w:fill="auto"/>
        <w:spacing w:line="257" w:lineRule="auto"/>
        <w:ind w:left="560" w:hanging="120"/>
        <w:jc w:val="left"/>
      </w:pPr>
      <w:r>
        <w:t>-za škody na majetku objednavatele, vzniklé porušením povinností zhotovitele, jeho pracovníků nebo</w:t>
      </w:r>
    </w:p>
    <w:p w:rsidR="00DC77C5" w:rsidRDefault="000B372B">
      <w:pPr>
        <w:pStyle w:val="Zkladntext1"/>
        <w:shd w:val="clear" w:color="auto" w:fill="auto"/>
        <w:spacing w:line="257" w:lineRule="auto"/>
        <w:ind w:left="560"/>
      </w:pPr>
      <w:r>
        <w:t xml:space="preserve">osob, které použil při </w:t>
      </w:r>
      <w:r>
        <w:t>splnění svého závazku, zejména porušením předpisů, technických norem či nedůsledným provedením pravidelné prohlídky,</w:t>
      </w:r>
    </w:p>
    <w:p w:rsidR="00DC77C5" w:rsidRDefault="000B372B">
      <w:pPr>
        <w:pStyle w:val="Zkladntext1"/>
        <w:shd w:val="clear" w:color="auto" w:fill="auto"/>
        <w:spacing w:line="257" w:lineRule="auto"/>
        <w:ind w:left="560" w:hanging="120"/>
        <w:jc w:val="left"/>
      </w:pPr>
      <w:r>
        <w:t>-za včasnost provedených prací.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line="257" w:lineRule="auto"/>
        <w:ind w:left="360" w:hanging="360"/>
      </w:pPr>
      <w:r>
        <w:t>Objednatel se zavazuje:</w:t>
      </w:r>
    </w:p>
    <w:p w:rsidR="00DC77C5" w:rsidRDefault="000B372B">
      <w:pPr>
        <w:pStyle w:val="Zkladntext1"/>
        <w:shd w:val="clear" w:color="auto" w:fill="auto"/>
        <w:spacing w:line="257" w:lineRule="auto"/>
        <w:ind w:left="560" w:hanging="120"/>
        <w:jc w:val="left"/>
      </w:pPr>
      <w:r>
        <w:t xml:space="preserve">-vytvořit pracovníkům zhotovitele veškeré podmínky potřebné pro řádný výkon jejich </w:t>
      </w:r>
      <w:r>
        <w:t>práce v souvislosti s plněním dle této smlouvy,</w:t>
      </w:r>
    </w:p>
    <w:p w:rsidR="00DC77C5" w:rsidRDefault="000B372B">
      <w:pPr>
        <w:pStyle w:val="Zkladntext1"/>
        <w:shd w:val="clear" w:color="auto" w:fill="auto"/>
        <w:spacing w:line="257" w:lineRule="auto"/>
        <w:ind w:left="560" w:hanging="120"/>
        <w:jc w:val="left"/>
      </w:pPr>
      <w:r>
        <w:t>-uhradit zhotoviteli včas jeho fakturu,</w:t>
      </w:r>
    </w:p>
    <w:p w:rsidR="00DC77C5" w:rsidRDefault="000B372B">
      <w:pPr>
        <w:pStyle w:val="Zkladntext1"/>
        <w:shd w:val="clear" w:color="auto" w:fill="auto"/>
        <w:spacing w:after="240" w:line="257" w:lineRule="auto"/>
        <w:ind w:left="560" w:hanging="120"/>
        <w:jc w:val="left"/>
      </w:pPr>
      <w:r>
        <w:t>-vrátit zhotoviteli fakturu nesplňující náležitosti ze zákona a této smlouvy bez zbytečného odkladu.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60"/>
        </w:tabs>
        <w:ind w:left="4060"/>
      </w:pPr>
      <w:bookmarkStart w:id="9" w:name="bookmark9"/>
      <w:r>
        <w:t>Vady a reklamace</w:t>
      </w:r>
      <w:bookmarkEnd w:id="9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6"/>
        </w:tabs>
        <w:spacing w:line="262" w:lineRule="auto"/>
        <w:ind w:left="440" w:hanging="440"/>
        <w:jc w:val="left"/>
      </w:pPr>
      <w:r>
        <w:t xml:space="preserve">Vada je definována jako jakákoliv událost na </w:t>
      </w:r>
      <w:r>
        <w:t>zařízení zhotovitele, která zabraňuje v užívání tohoto zařízení nebo snižuje jeho funkčnost.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after="220" w:line="262" w:lineRule="auto"/>
        <w:ind w:left="440" w:hanging="440"/>
        <w:jc w:val="left"/>
      </w:pPr>
      <w:r>
        <w:t>Předmětem reklamace se stává taková důvodná a oprávněná vada, která vyhovuje definici záruky v záručním listu zařízení.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40"/>
        </w:tabs>
        <w:ind w:left="4140"/>
      </w:pPr>
      <w:bookmarkStart w:id="10" w:name="bookmark10"/>
      <w:r>
        <w:t>Ostatní ujednání</w:t>
      </w:r>
      <w:bookmarkEnd w:id="10"/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392"/>
        </w:tabs>
        <w:ind w:left="360" w:hanging="360"/>
      </w:pPr>
      <w:r>
        <w:t>Obě strany se zavazují v p</w:t>
      </w:r>
      <w:r>
        <w:t>růběhu platnosti smlouvy spolupracovat při realizaci jejího předmětu plnění. K tomuto účelu určují osoby odpovědné za řešení a vyřizování běžných záležitostí vyplývajících ze vzájemné součinnosti. Seznam odpovědných osob obou smluvních stran je uveden v př</w:t>
      </w:r>
      <w:r>
        <w:t>íloze číslo 1.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ind w:left="360" w:hanging="360"/>
      </w:pPr>
      <w:r>
        <w:t>Obě strany se zavazují nejpozději při ukončení platnosti a účinnosti smlouvy vrátit druhé straně veškeré písemnosti, které jí náleží. Rovněž se zavazují utajit znalosti a informace z oblasti druhé smluvní strany, a to jak během trvání smlouv</w:t>
      </w:r>
      <w:r>
        <w:t>y, tak i po jejím skončení.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ind w:left="360" w:hanging="360"/>
        <w:sectPr w:rsidR="00DC77C5">
          <w:type w:val="continuous"/>
          <w:pgSz w:w="11900" w:h="16840"/>
          <w:pgMar w:top="1314" w:right="997" w:bottom="1372" w:left="1011" w:header="0" w:footer="3" w:gutter="0"/>
          <w:cols w:space="720"/>
          <w:noEndnote/>
          <w:docGrid w:linePitch="360"/>
        </w:sectPr>
      </w:pPr>
      <w:r>
        <w:t>Objednatel nesmí po dobu trvání této smlouvy jakkoliv zasahovat do zařízení, na kterých je prováděno plnění podle přílohy č. 1 této smlouvy. To se netýká běžných zásahů, které uživatel koná při obsluze za</w:t>
      </w:r>
      <w:r>
        <w:t xml:space="preserve">řízení a které podle návodu k obsluze může učinit bez jakéhokoliv nebezpečí, nebo případů, kdy tak musí objednatel učinit z důvodů ochrany zdraví, života nebo majetku ve velkém </w:t>
      </w:r>
    </w:p>
    <w:p w:rsidR="00DC77C5" w:rsidRDefault="000B372B">
      <w:pPr>
        <w:pStyle w:val="Zkladntext1"/>
        <w:shd w:val="clear" w:color="auto" w:fill="auto"/>
        <w:tabs>
          <w:tab w:val="left" w:pos="420"/>
        </w:tabs>
        <w:ind w:left="360"/>
      </w:pPr>
      <w:r>
        <w:lastRenderedPageBreak/>
        <w:t>rozsahu. V případě zjištěného neoprávněného zásahu ze strany objednatele nepře</w:t>
      </w:r>
      <w:r>
        <w:t>jímá zhotovitel odpovědnost za vzniklé škody.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380" w:hanging="380"/>
      </w:pPr>
      <w:r>
        <w:t>Případné spory obou stran se budou řešit přednostně dohodou.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8"/>
        </w:tabs>
        <w:ind w:left="380" w:hanging="380"/>
      </w:pPr>
      <w:r>
        <w:t xml:space="preserve">V případě, že zhotovitel opakovaně nebo na opakovanou výzvu neplní řádně a včas své povinnosti, ke kterým se touto smlouvou zavázal, je objednatel </w:t>
      </w:r>
      <w:r>
        <w:t>oprávněn od smlouvy odstoupit. Účinky odstoupení nastávají dnem, kterým je zhotoviteli doručen projev vůle objednatele od smlouvy odstoupit.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8"/>
        </w:tabs>
        <w:ind w:left="380" w:hanging="380"/>
      </w:pPr>
      <w:r>
        <w:t xml:space="preserve">V případě, že objednatel opakovaně nebo na opakovanou výzvu neumožní provedení kontroly či opravy zařízení </w:t>
      </w:r>
      <w:proofErr w:type="spellStart"/>
      <w:r>
        <w:t>podie</w:t>
      </w:r>
      <w:proofErr w:type="spellEnd"/>
      <w:r>
        <w:t xml:space="preserve"> té</w:t>
      </w:r>
      <w:r>
        <w:t>to smlouvy, je zhotovitel oprávněn od smlouvy odstoupit. Účinky odstoupení nastávají dnem, kterým je objednateli doručen projev vůle zhotovitele od smlouvy odstoupit.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8"/>
        </w:tabs>
        <w:ind w:left="380" w:hanging="380"/>
      </w:pPr>
      <w:r>
        <w:t>Dodavatel má možnost upravit ceny jednou ročně podle míry inflace vyhlášené CNB nebo kdyk</w:t>
      </w:r>
      <w:r>
        <w:t xml:space="preserve">oliv v průběhu kalendářního roku v případě změn cen médií, maziv a paliv a dodávaných náhradních dílů. Oznámení o </w:t>
      </w:r>
      <w:r>
        <w:lastRenderedPageBreak/>
        <w:t>zvýšení cen musí zhotovitel prokazatelně sdělit objednateli nejpozději do 30 dnů ode dne, kdy tato situace nastala. Pokud objednatel do 30 dnů</w:t>
      </w:r>
      <w:r>
        <w:t xml:space="preserve"> ode dne, kdy mu bylo doručeno oznámení o zvýšení cen podle předchozí věty, neoznámí zhotoviteli, že v důsledku takového zvýšení cen odstupuje od smlouvy, platí, že nové ceny akceptoval.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8"/>
        </w:tabs>
        <w:ind w:left="380" w:hanging="380"/>
      </w:pPr>
      <w:r>
        <w:t>Tuto smlouvu je možné vypovědět písemně s tříměsíční výpovědní lhůtou</w:t>
      </w:r>
      <w:r>
        <w:t xml:space="preserve"> bez uvedení důvodu, přičemž výpovědní lhůta počíná běžet prvním dnem měsíce následujícího po doručení písemné výpovědi druhé straně.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418"/>
        </w:tabs>
        <w:ind w:left="380" w:hanging="380"/>
      </w:pPr>
      <w:r>
        <w:t>Tato smlouva nabývá účinnosti dnem podpisu obou smluvních stran a uzavírá se na dobu neurčitou. Instituty, práva a povinno</w:t>
      </w:r>
      <w:r>
        <w:t>sti touto smlouvou výslovně neupravené se řídí příslušnými ustanoveními občanského zákoníku.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684"/>
        </w:tabs>
        <w:ind w:left="380" w:hanging="38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vyhotoveních, z nichž 1 obdrží objednatel a 1 zhotovitel, a je ji možno měnit pouze písemně odsouhlasenými dodatky.</w:t>
      </w:r>
    </w:p>
    <w:p w:rsidR="00DC77C5" w:rsidRDefault="000B372B">
      <w:pPr>
        <w:pStyle w:val="Zkladntext1"/>
        <w:numPr>
          <w:ilvl w:val="1"/>
          <w:numId w:val="1"/>
        </w:numPr>
        <w:shd w:val="clear" w:color="auto" w:fill="auto"/>
        <w:tabs>
          <w:tab w:val="left" w:pos="684"/>
        </w:tabs>
        <w:spacing w:after="460"/>
        <w:ind w:left="380" w:hanging="380"/>
      </w:pPr>
      <w:r>
        <w:t>Smluvní strany v</w:t>
      </w:r>
      <w:r>
        <w:t>ýslovně potvrzují, že příloha č. 1 tak, jak je označena v článku 9., je nedílnou součástí této smlouvy</w:t>
      </w:r>
    </w:p>
    <w:p w:rsidR="00DC77C5" w:rsidRDefault="000B372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34"/>
        </w:tabs>
        <w:spacing w:after="260" w:line="240" w:lineRule="auto"/>
        <w:ind w:left="4040"/>
      </w:pPr>
      <w:bookmarkStart w:id="11" w:name="bookmark11"/>
      <w:r>
        <w:t>Seznam příloh</w:t>
      </w:r>
      <w:bookmarkEnd w:id="11"/>
    </w:p>
    <w:p w:rsidR="00DC77C5" w:rsidRDefault="000B372B">
      <w:pPr>
        <w:pStyle w:val="Zkladntext1"/>
        <w:shd w:val="clear" w:color="auto" w:fill="auto"/>
        <w:spacing w:after="1740" w:line="240" w:lineRule="auto"/>
        <w:ind w:left="380" w:hanging="380"/>
      </w:pPr>
      <w:r>
        <w:t>Příloha č. 1 Popis prací</w:t>
      </w:r>
    </w:p>
    <w:p w:rsidR="00DC77C5" w:rsidRDefault="000B372B">
      <w:pPr>
        <w:jc w:val="center"/>
        <w:rPr>
          <w:sz w:val="2"/>
          <w:szCs w:val="2"/>
        </w:rPr>
      </w:pPr>
      <w:r>
        <w:br w:type="page"/>
      </w:r>
    </w:p>
    <w:p w:rsidR="00DC77C5" w:rsidRDefault="000B372B">
      <w:pPr>
        <w:pStyle w:val="Nadpis10"/>
        <w:keepNext/>
        <w:keepLines/>
        <w:shd w:val="clear" w:color="auto" w:fill="auto"/>
        <w:spacing w:after="0" w:line="360" w:lineRule="auto"/>
        <w:jc w:val="center"/>
      </w:pPr>
      <w:bookmarkStart w:id="12" w:name="bookmark12"/>
      <w:r>
        <w:lastRenderedPageBreak/>
        <w:t xml:space="preserve">Příloha č. 1 k smlouvě o dílo č. </w:t>
      </w:r>
      <w:r>
        <w:rPr>
          <w:smallCaps/>
        </w:rPr>
        <w:t>md-58565-22</w:t>
      </w:r>
      <w:bookmarkEnd w:id="12"/>
    </w:p>
    <w:p w:rsidR="00DC77C5" w:rsidRDefault="000B372B">
      <w:pPr>
        <w:pStyle w:val="Zkladntext1"/>
        <w:shd w:val="clear" w:color="auto" w:fill="auto"/>
        <w:spacing w:after="460" w:line="360" w:lineRule="auto"/>
        <w:ind w:left="4420" w:hanging="200"/>
        <w:jc w:val="left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381000</wp:posOffset>
                </wp:positionV>
                <wp:extent cx="2807335" cy="135001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 Cena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Počet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05"/>
                              </w:tabs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zařízení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Kategorie (ks)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2"/>
                                <w:tab w:val="left" w:pos="3979"/>
                              </w:tabs>
                              <w:spacing w:line="240" w:lineRule="auto"/>
                            </w:pPr>
                            <w:r>
                              <w:t>sekční vrata</w:t>
                            </w:r>
                            <w:r>
                              <w:tab/>
                              <w:t>SV E1</w:t>
                            </w:r>
                            <w:r>
                              <w:tab/>
                            </w:r>
                            <w:r>
                              <w:t>14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Celková cena za prohlídku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zařízení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Doprava na servisní prohlídku</w:t>
                            </w:r>
                          </w:p>
                          <w:p w:rsidR="00DC77C5" w:rsidRDefault="000B372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Celková cena za prohlídku včetně dopravy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0.299999999999997pt;margin-top:30.pt;width:221.05000000000001pt;height:106.3pt;z-index:-125829367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 Cena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0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zařízení</w:t>
                        <w:tab/>
                        <w:t>Kategorie (ks)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  <w:tab w:pos="397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sekční vrata</w:t>
                        <w:tab/>
                        <w:t>SV E1</w:t>
                        <w:tab/>
                        <w:t>14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cena za prohlídku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zařízení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 na servisní prohlídku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cena za prohlídku včetně dopravy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Popis prací</w:t>
      </w:r>
    </w:p>
    <w:p w:rsidR="00DC77C5" w:rsidRDefault="000B372B">
      <w:pPr>
        <w:pStyle w:val="Nadpis30"/>
        <w:keepNext/>
        <w:keepLines/>
        <w:shd w:val="clear" w:color="auto" w:fill="auto"/>
        <w:tabs>
          <w:tab w:val="left" w:pos="2462"/>
        </w:tabs>
        <w:spacing w:after="0" w:line="240" w:lineRule="auto"/>
        <w:ind w:left="200" w:firstLine="20"/>
        <w:jc w:val="both"/>
      </w:pPr>
      <w:bookmarkStart w:id="13" w:name="bookmark13"/>
      <w:r>
        <w:t>Jednotková</w:t>
      </w:r>
      <w:r>
        <w:tab/>
      </w:r>
      <w:proofErr w:type="spellStart"/>
      <w:r>
        <w:t>Jednotková</w:t>
      </w:r>
      <w:bookmarkEnd w:id="13"/>
      <w:proofErr w:type="spellEnd"/>
    </w:p>
    <w:p w:rsidR="00DC77C5" w:rsidRDefault="000B372B">
      <w:pPr>
        <w:pStyle w:val="Zkladntext1"/>
        <w:shd w:val="clear" w:color="auto" w:fill="auto"/>
        <w:spacing w:line="240" w:lineRule="auto"/>
        <w:ind w:left="480"/>
      </w:pPr>
      <w:r>
        <w:rPr>
          <w:b/>
          <w:bCs/>
        </w:rPr>
        <w:t>cena Sleva cena po slevě Celková cena</w:t>
      </w:r>
    </w:p>
    <w:p w:rsidR="00DC77C5" w:rsidRDefault="000B372B">
      <w:pPr>
        <w:pStyle w:val="Zkladntext1"/>
        <w:shd w:val="clear" w:color="auto" w:fill="auto"/>
        <w:tabs>
          <w:tab w:val="left" w:pos="2870"/>
        </w:tabs>
        <w:spacing w:after="200" w:line="290" w:lineRule="auto"/>
        <w:ind w:left="480"/>
      </w:pPr>
      <w:r>
        <w:t>1 250 Kč 0%</w:t>
      </w:r>
      <w:r>
        <w:tab/>
        <w:t>1 090 Kč 15 260 KČ</w:t>
      </w:r>
    </w:p>
    <w:p w:rsidR="00DC77C5" w:rsidRDefault="000B372B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636"/>
        </w:tabs>
        <w:spacing w:after="0" w:line="290" w:lineRule="auto"/>
        <w:ind w:left="4420" w:hanging="200"/>
      </w:pPr>
      <w:bookmarkStart w:id="14" w:name="bookmark14"/>
      <w:r>
        <w:t>260 Kč 1 000 Kč</w:t>
      </w:r>
      <w:bookmarkEnd w:id="14"/>
    </w:p>
    <w:p w:rsidR="00DC77C5" w:rsidRDefault="000B372B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636"/>
        </w:tabs>
        <w:spacing w:after="520" w:line="290" w:lineRule="auto"/>
        <w:ind w:left="4420" w:hanging="200"/>
      </w:pPr>
      <w:bookmarkStart w:id="15" w:name="bookmark15"/>
      <w:r>
        <w:t>260 Kč</w:t>
      </w:r>
      <w:bookmarkEnd w:id="15"/>
    </w:p>
    <w:p w:rsidR="00DC77C5" w:rsidRDefault="000B372B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4"/>
        </w:tabs>
        <w:spacing w:after="280" w:line="240" w:lineRule="auto"/>
        <w:ind w:left="0"/>
      </w:pPr>
      <w:bookmarkStart w:id="16" w:name="bookmark16"/>
      <w:r>
        <w:t xml:space="preserve">Servisní prohlídky </w:t>
      </w:r>
      <w:r>
        <w:t>budou prováděny pravidelně po 12 měsících.</w:t>
      </w:r>
      <w:bookmarkEnd w:id="16"/>
    </w:p>
    <w:p w:rsidR="00DC77C5" w:rsidRDefault="000B372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  <w:tab w:val="left" w:pos="4709"/>
        </w:tabs>
        <w:spacing w:line="240" w:lineRule="auto"/>
        <w:jc w:val="left"/>
      </w:pPr>
      <w:r>
        <w:rPr>
          <w:b/>
          <w:bCs/>
        </w:rPr>
        <w:t>Seznam servisovaného zařízení v areálu:</w:t>
      </w:r>
      <w:r>
        <w:rPr>
          <w:b/>
          <w:bCs/>
        </w:rPr>
        <w:tab/>
      </w: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(VÚRV, </w:t>
      </w:r>
      <w:proofErr w:type="spellStart"/>
      <w:r>
        <w:t>v.v.i</w:t>
      </w:r>
      <w:proofErr w:type="spellEnd"/>
      <w:r>
        <w:t>.)</w:t>
      </w:r>
    </w:p>
    <w:p w:rsidR="00DC77C5" w:rsidRDefault="000B372B">
      <w:pPr>
        <w:pStyle w:val="Zkladntext1"/>
        <w:shd w:val="clear" w:color="auto" w:fill="auto"/>
        <w:spacing w:after="280" w:line="240" w:lineRule="auto"/>
        <w:ind w:left="4740"/>
        <w:jc w:val="left"/>
      </w:pPr>
      <w:r>
        <w:t>Šlechtitelů 29/892, 783 71 Olomouc</w:t>
      </w:r>
    </w:p>
    <w:p w:rsidR="00DC77C5" w:rsidRDefault="000B372B">
      <w:pPr>
        <w:pStyle w:val="Titulektabulky0"/>
        <w:shd w:val="clear" w:color="auto" w:fill="auto"/>
        <w:ind w:left="5030"/>
      </w:pPr>
      <w:r>
        <w:t>Délka Šířka Výška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661"/>
        <w:gridCol w:w="1013"/>
        <w:gridCol w:w="1123"/>
        <w:gridCol w:w="1171"/>
        <w:gridCol w:w="1747"/>
      </w:tblGrid>
      <w:tr w:rsidR="00DC77C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Název zařízení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right="200"/>
              <w:jc w:val="center"/>
            </w:pPr>
            <w:r>
              <w:rPr>
                <w:b/>
                <w:bCs/>
              </w:rPr>
              <w:t>Kategorie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(mm)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rPr>
                <w:b/>
                <w:bCs/>
              </w:rPr>
              <w:t>(mm)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(mm)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right="20"/>
              <w:jc w:val="center"/>
            </w:pPr>
            <w:r>
              <w:rPr>
                <w:b/>
                <w:bCs/>
              </w:rPr>
              <w:t>Čárový kód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 xml:space="preserve">sekční vrata </w:t>
            </w:r>
            <w:r>
              <w:t xml:space="preserve">- </w:t>
            </w:r>
            <w:proofErr w:type="spellStart"/>
            <w:r>
              <w:t>Powerdoor</w:t>
            </w:r>
            <w:proofErr w:type="spellEnd"/>
            <w:r>
              <w:t xml:space="preserve"> 601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3600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right="20"/>
              <w:jc w:val="center"/>
            </w:pPr>
            <w:r>
              <w:t>451200011805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 xml:space="preserve">sekční vrata - </w:t>
            </w:r>
            <w:proofErr w:type="spellStart"/>
            <w:r>
              <w:t>Powerdoor</w:t>
            </w:r>
            <w:proofErr w:type="spellEnd"/>
            <w:r>
              <w:t xml:space="preserve"> 601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3600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right="20"/>
              <w:jc w:val="center"/>
            </w:pPr>
            <w:r>
              <w:t>451200011804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3250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shd w:val="clear" w:color="auto" w:fill="FFFFFF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  <w:tr w:rsidR="00DC77C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sekční vrata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200"/>
              <w:jc w:val="center"/>
            </w:pPr>
            <w:r>
              <w:t>SV E1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t>3500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3300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DC77C5" w:rsidRDefault="000B372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</w:t>
            </w:r>
          </w:p>
        </w:tc>
      </w:tr>
    </w:tbl>
    <w:p w:rsidR="00DC77C5" w:rsidRDefault="00DC77C5">
      <w:pPr>
        <w:spacing w:after="106" w:line="14" w:lineRule="exact"/>
      </w:pPr>
    </w:p>
    <w:p w:rsidR="00DC77C5" w:rsidRDefault="000B372B">
      <w:pPr>
        <w:pStyle w:val="Zkladntext1"/>
        <w:shd w:val="clear" w:color="auto" w:fill="auto"/>
        <w:spacing w:line="257" w:lineRule="auto"/>
        <w:ind w:left="200" w:firstLine="20"/>
      </w:pPr>
      <w:r>
        <w:rPr>
          <w:u w:val="single"/>
        </w:rPr>
        <w:t>Na prohlídku zapůjčí objednatel zhotoviteli plošinu nebo vysokozdvižný vozík s dosahem do 9 m</w:t>
      </w:r>
    </w:p>
    <w:p w:rsidR="00DC77C5" w:rsidRDefault="000B372B">
      <w:pPr>
        <w:pStyle w:val="Zkladntext1"/>
        <w:shd w:val="clear" w:color="auto" w:fill="auto"/>
        <w:spacing w:line="257" w:lineRule="auto"/>
        <w:ind w:left="200" w:firstLine="20"/>
      </w:pPr>
      <w:r>
        <w:rPr>
          <w:u w:val="single"/>
        </w:rPr>
        <w:t>(k pružinám nad vraty). Pokud nebude k dispozici, bude zhotovitel účtovat příplatek dle aktuálního</w:t>
      </w:r>
    </w:p>
    <w:p w:rsidR="00DC77C5" w:rsidRDefault="000B372B">
      <w:pPr>
        <w:pStyle w:val="Zkladntext1"/>
        <w:shd w:val="clear" w:color="auto" w:fill="auto"/>
        <w:spacing w:after="100" w:line="257" w:lineRule="auto"/>
        <w:ind w:left="200" w:firstLine="20"/>
      </w:pPr>
      <w:r>
        <w:rPr>
          <w:u w:val="single"/>
        </w:rPr>
        <w:t>ceníku za pronájem plošiny nebo pojízdného lešení.</w:t>
      </w:r>
    </w:p>
    <w:p w:rsidR="00DC77C5" w:rsidRDefault="000B372B">
      <w:pPr>
        <w:pStyle w:val="Zkladntext1"/>
        <w:numPr>
          <w:ilvl w:val="0"/>
          <w:numId w:val="6"/>
        </w:numPr>
        <w:shd w:val="clear" w:color="auto" w:fill="auto"/>
        <w:tabs>
          <w:tab w:val="left" w:pos="534"/>
        </w:tabs>
        <w:spacing w:line="259" w:lineRule="auto"/>
        <w:ind w:left="200" w:right="240" w:firstLine="20"/>
      </w:pPr>
      <w:r>
        <w:t>ceně pravi</w:t>
      </w:r>
      <w:r>
        <w:t>delné servisní prohlídky jsou obsažena veškerá použitá mazadla používaná pro údržbu dříků, ložisek a kluzných částí. Cena rovněž zahrnuje doplnění hydraulického oleje do hydraulických agregátů</w:t>
      </w:r>
    </w:p>
    <w:p w:rsidR="00DC77C5" w:rsidRDefault="000B372B">
      <w:pPr>
        <w:pStyle w:val="Zkladntext1"/>
        <w:shd w:val="clear" w:color="auto" w:fill="auto"/>
        <w:spacing w:after="100" w:line="259" w:lineRule="auto"/>
        <w:ind w:left="200" w:firstLine="20"/>
      </w:pPr>
      <w:r>
        <w:t xml:space="preserve">a drobný spojovací materiál (šrouby, nýty, matice, podložky </w:t>
      </w:r>
      <w:r>
        <w:t>atd.).</w:t>
      </w:r>
    </w:p>
    <w:p w:rsidR="00DC77C5" w:rsidRDefault="000B372B">
      <w:pPr>
        <w:pStyle w:val="Zkladntext1"/>
        <w:shd w:val="clear" w:color="auto" w:fill="auto"/>
        <w:spacing w:after="100" w:line="257" w:lineRule="auto"/>
        <w:ind w:left="200" w:right="240" w:firstLine="20"/>
      </w:pPr>
      <w:r>
        <w:t xml:space="preserve">Ostatní opravy zařízení - mimozáruční servisní zásahy (v pracovní dny) budou účtovány hodinovou sazbou </w:t>
      </w:r>
      <w:r>
        <w:rPr>
          <w:b/>
          <w:bCs/>
        </w:rPr>
        <w:t xml:space="preserve">740,-Kč/technik, </w:t>
      </w:r>
      <w:r>
        <w:t xml:space="preserve">jízdné sazbou </w:t>
      </w:r>
      <w:r>
        <w:rPr>
          <w:b/>
          <w:bCs/>
        </w:rPr>
        <w:t xml:space="preserve">2000,-Kč/výjezd. </w:t>
      </w:r>
      <w:r>
        <w:t>Náhradní díly budou účtovány dle aktuálního ceníku ND. V případě rozsáhlejší opravy předloží zhoto</w:t>
      </w:r>
      <w:r>
        <w:t>vitel objednateli cenovou nabídku na provedení.</w:t>
      </w:r>
    </w:p>
    <w:p w:rsidR="00DC77C5" w:rsidRDefault="000B372B">
      <w:pPr>
        <w:pStyle w:val="Zkladntext1"/>
        <w:shd w:val="clear" w:color="auto" w:fill="auto"/>
        <w:spacing w:line="257" w:lineRule="auto"/>
        <w:ind w:left="200" w:firstLine="20"/>
      </w:pPr>
      <w:r>
        <w:rPr>
          <w:u w:val="single"/>
        </w:rPr>
        <w:t>Servisní zásahy mimo pracovní dobu, která je ve všední dny od 8.00 do 16.30 hod.:</w:t>
      </w:r>
    </w:p>
    <w:p w:rsidR="00DC77C5" w:rsidRDefault="000B372B">
      <w:pPr>
        <w:pStyle w:val="Zkladntext1"/>
        <w:shd w:val="clear" w:color="auto" w:fill="auto"/>
        <w:spacing w:line="257" w:lineRule="auto"/>
        <w:ind w:left="200" w:firstLine="20"/>
      </w:pPr>
      <w:r>
        <w:rPr>
          <w:b/>
          <w:bCs/>
        </w:rPr>
        <w:t xml:space="preserve">tel. 602 44 83 99. </w:t>
      </w:r>
      <w:r>
        <w:t>Servisní pohotovost je pouze v rámci uzavřené servisní smlouvy.</w:t>
      </w:r>
    </w:p>
    <w:p w:rsidR="00DC77C5" w:rsidRDefault="000B372B">
      <w:pPr>
        <w:pStyle w:val="Zkladntext1"/>
        <w:shd w:val="clear" w:color="auto" w:fill="auto"/>
        <w:spacing w:line="257" w:lineRule="auto"/>
        <w:ind w:left="200" w:right="240" w:firstLine="20"/>
      </w:pPr>
      <w:r>
        <w:t>Mimozáruční servisní zásahy mimo pracovní d</w:t>
      </w:r>
      <w:r>
        <w:t>obu budou účtovány dvojnásobnou hodinovou sazbou, pohotovostním příplatkem 4500 Kč + jízdným.</w:t>
      </w:r>
    </w:p>
    <w:p w:rsidR="00DC77C5" w:rsidRDefault="000B372B">
      <w:pPr>
        <w:pStyle w:val="Zkladntext1"/>
        <w:shd w:val="clear" w:color="auto" w:fill="auto"/>
        <w:spacing w:line="257" w:lineRule="auto"/>
        <w:ind w:left="200" w:firstLine="20"/>
      </w:pPr>
      <w:r>
        <w:t>Záruční servisní zásahy mimo pracovní dobu budou účtovány pohotovostní sazbou 4500,-Kč.</w:t>
      </w:r>
    </w:p>
    <w:p w:rsidR="00DC77C5" w:rsidRDefault="000B372B">
      <w:pPr>
        <w:pStyle w:val="Zkladntext1"/>
        <w:numPr>
          <w:ilvl w:val="0"/>
          <w:numId w:val="6"/>
        </w:numPr>
        <w:shd w:val="clear" w:color="auto" w:fill="auto"/>
        <w:tabs>
          <w:tab w:val="left" w:pos="554"/>
        </w:tabs>
        <w:spacing w:after="120" w:line="257" w:lineRule="auto"/>
        <w:ind w:left="200" w:firstLine="20"/>
      </w:pPr>
      <w:proofErr w:type="gramStart"/>
      <w:r>
        <w:t>případě</w:t>
      </w:r>
      <w:proofErr w:type="gramEnd"/>
      <w:r>
        <w:t xml:space="preserve"> podepsání pohotovostní doložky platí podmínky tam uvedené.</w:t>
      </w:r>
      <w:r>
        <w:br w:type="page"/>
      </w:r>
    </w:p>
    <w:p w:rsidR="00DC77C5" w:rsidRDefault="000B372B">
      <w:pPr>
        <w:pStyle w:val="Nadpis30"/>
        <w:keepNext/>
        <w:keepLines/>
        <w:shd w:val="clear" w:color="auto" w:fill="auto"/>
        <w:spacing w:line="240" w:lineRule="auto"/>
        <w:ind w:left="0"/>
        <w:jc w:val="both"/>
      </w:pPr>
      <w:bookmarkStart w:id="17" w:name="bookmark17"/>
      <w:r>
        <w:lastRenderedPageBreak/>
        <w:t>4. Sez</w:t>
      </w:r>
      <w:r>
        <w:t>nam kontaktních osob:</w:t>
      </w:r>
      <w:bookmarkEnd w:id="17"/>
    </w:p>
    <w:p w:rsidR="00DC77C5" w:rsidRDefault="000B372B">
      <w:pPr>
        <w:pStyle w:val="Zkladntext1"/>
        <w:shd w:val="clear" w:color="auto" w:fill="auto"/>
        <w:tabs>
          <w:tab w:val="left" w:pos="5455"/>
        </w:tabs>
        <w:spacing w:after="240" w:line="252" w:lineRule="auto"/>
        <w:ind w:left="1940" w:hanging="1640"/>
        <w:jc w:val="left"/>
      </w:pPr>
      <w:r>
        <w:rPr>
          <w:u w:val="single"/>
        </w:rPr>
        <w:t>Za zhotovitele</w:t>
      </w:r>
      <w:r>
        <w:t xml:space="preserve">: </w:t>
      </w:r>
      <w:proofErr w:type="spellStart"/>
      <w:r>
        <w:t>Tyros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Systems CZ s.r.o. tel.: 241 767 854 Dispečink</w:t>
      </w:r>
      <w:r>
        <w:tab/>
        <w:t>tel.: 773 202 039</w:t>
      </w:r>
    </w:p>
    <w:p w:rsidR="00DC77C5" w:rsidRDefault="000B372B">
      <w:pPr>
        <w:pStyle w:val="Zkladntext1"/>
        <w:shd w:val="clear" w:color="auto" w:fill="auto"/>
        <w:spacing w:line="252" w:lineRule="auto"/>
        <w:ind w:left="300"/>
      </w:pPr>
      <w:r>
        <w:t>V případě poruchy zařízení dejte vždy písemnou e-mailovou zprávu na dispečink společnosti:</w:t>
      </w:r>
    </w:p>
    <w:p w:rsidR="00DC77C5" w:rsidRDefault="000B372B">
      <w:pPr>
        <w:pStyle w:val="Zkladntext1"/>
        <w:shd w:val="clear" w:color="auto" w:fill="auto"/>
        <w:spacing w:after="240" w:line="252" w:lineRule="auto"/>
        <w:ind w:left="300"/>
      </w:pPr>
      <w:hyperlink r:id="rId10" w:history="1">
        <w:r>
          <w:rPr>
            <w:color w:val="1B6996"/>
            <w:u w:val="single"/>
            <w:lang w:val="en-US" w:eastAsia="en-US" w:bidi="en-US"/>
          </w:rPr>
          <w:t>servismorava@loadinq-systems.cz</w:t>
        </w:r>
      </w:hyperlink>
    </w:p>
    <w:p w:rsidR="00DC77C5" w:rsidRDefault="000B372B">
      <w:pPr>
        <w:pStyle w:val="Zkladntext1"/>
        <w:shd w:val="clear" w:color="auto" w:fill="auto"/>
        <w:spacing w:after="220" w:line="266" w:lineRule="auto"/>
        <w:ind w:left="300"/>
      </w:pPr>
      <w:r>
        <w:t>Ve zprávě je nutné co nejpodrobněji závadu specifikovat a uvést kontaktní osobu objednatele včetně spojení.</w:t>
      </w:r>
    </w:p>
    <w:p w:rsidR="00DC77C5" w:rsidRDefault="000B372B">
      <w:pPr>
        <w:pStyle w:val="Zkladntext1"/>
        <w:shd w:val="clear" w:color="auto" w:fill="auto"/>
        <w:spacing w:after="220" w:line="266" w:lineRule="auto"/>
      </w:pPr>
      <w:r>
        <w:rPr>
          <w:u w:val="single"/>
        </w:rPr>
        <w:t>Za objednatele</w:t>
      </w:r>
      <w:r>
        <w:t>:</w:t>
      </w:r>
    </w:p>
    <w:p w:rsidR="00DC77C5" w:rsidRDefault="00DC77C5">
      <w:pPr>
        <w:pStyle w:val="Zkladntext1"/>
        <w:shd w:val="clear" w:color="auto" w:fill="auto"/>
        <w:spacing w:line="266" w:lineRule="auto"/>
      </w:pPr>
    </w:p>
    <w:p w:rsidR="00DC77C5" w:rsidRDefault="005B5C1D">
      <w:pPr>
        <w:pStyle w:val="Zkladntext1"/>
        <w:shd w:val="clear" w:color="auto" w:fill="auto"/>
        <w:spacing w:line="266" w:lineRule="auto"/>
      </w:pPr>
      <w:r>
        <w:t xml:space="preserve">Tel.: </w:t>
      </w:r>
    </w:p>
    <w:p w:rsidR="00DC77C5" w:rsidRDefault="00DC77C5">
      <w:pPr>
        <w:pStyle w:val="Zkladntext1"/>
        <w:shd w:val="clear" w:color="auto" w:fill="auto"/>
        <w:spacing w:after="460" w:line="266" w:lineRule="auto"/>
      </w:pPr>
    </w:p>
    <w:p w:rsidR="00DC77C5" w:rsidRDefault="000B372B">
      <w:pPr>
        <w:pStyle w:val="Nadpis30"/>
        <w:keepNext/>
        <w:keepLines/>
        <w:shd w:val="clear" w:color="auto" w:fill="auto"/>
        <w:spacing w:line="259" w:lineRule="auto"/>
        <w:ind w:left="0"/>
        <w:jc w:val="both"/>
      </w:pPr>
      <w:bookmarkStart w:id="18" w:name="bookmark18"/>
      <w:r>
        <w:t>Práce prováděné při servisních prohlídkách:</w:t>
      </w:r>
      <w:bookmarkEnd w:id="18"/>
    </w:p>
    <w:p w:rsidR="00DC77C5" w:rsidRDefault="000B372B">
      <w:pPr>
        <w:pStyle w:val="Zkladntext1"/>
        <w:shd w:val="clear" w:color="auto" w:fill="auto"/>
        <w:spacing w:line="259" w:lineRule="auto"/>
        <w:sectPr w:rsidR="00DC77C5">
          <w:footerReference w:type="default" r:id="rId11"/>
          <w:type w:val="continuous"/>
          <w:pgSz w:w="11900" w:h="16840"/>
          <w:pgMar w:top="1314" w:right="997" w:bottom="1372" w:left="1011" w:header="886" w:footer="3" w:gutter="0"/>
          <w:cols w:space="720"/>
          <w:noEndnote/>
          <w:docGrid w:linePitch="360"/>
        </w:sectPr>
      </w:pPr>
      <w:r>
        <w:rPr>
          <w:u w:val="single"/>
        </w:rPr>
        <w:t>Na sekčních vratech:</w:t>
      </w:r>
      <w:r>
        <w:t xml:space="preserve"> Kontrola stavu lanek, jejich usazení a navíjení, kontrola stavu vedení, rolen a pantů sekcí, seřízení vůlí, promazání dříků rolen, kontrola napnutí torzních pružin - </w:t>
      </w:r>
      <w:proofErr w:type="spellStart"/>
      <w:r>
        <w:t>dopružení</w:t>
      </w:r>
      <w:proofErr w:type="spellEnd"/>
      <w:r>
        <w:t>, seřízení vyvážení vrat, seřízení koncových poloh, kontrola funkce vrat a přísl</w:t>
      </w:r>
      <w:r>
        <w:t>ušenství, bezpečnostních a jistících prvků.</w:t>
      </w:r>
    </w:p>
    <w:p w:rsidR="00DC77C5" w:rsidRDefault="00DC77C5">
      <w:pPr>
        <w:spacing w:before="23" w:after="23" w:line="240" w:lineRule="exact"/>
        <w:rPr>
          <w:sz w:val="19"/>
          <w:szCs w:val="19"/>
        </w:rPr>
      </w:pPr>
    </w:p>
    <w:p w:rsidR="00DC77C5" w:rsidRDefault="00DC77C5">
      <w:pPr>
        <w:spacing w:line="14" w:lineRule="exact"/>
        <w:sectPr w:rsidR="00DC77C5">
          <w:type w:val="continuous"/>
          <w:pgSz w:w="11900" w:h="16840"/>
          <w:pgMar w:top="1503" w:right="0" w:bottom="1009" w:left="0" w:header="0" w:footer="3" w:gutter="0"/>
          <w:cols w:space="720"/>
          <w:noEndnote/>
          <w:docGrid w:linePitch="360"/>
        </w:sectPr>
      </w:pPr>
    </w:p>
    <w:p w:rsidR="00DC77C5" w:rsidRDefault="000B372B">
      <w:pPr>
        <w:pStyle w:val="Zkladntext1"/>
        <w:framePr w:w="490" w:h="269" w:wrap="none" w:vAnchor="text" w:hAnchor="page" w:x="3059" w:y="327"/>
        <w:shd w:val="clear" w:color="auto" w:fill="auto"/>
        <w:spacing w:line="240" w:lineRule="auto"/>
        <w:jc w:val="left"/>
      </w:pPr>
      <w:r>
        <w:t>dne:</w:t>
      </w:r>
    </w:p>
    <w:p w:rsidR="00DC77C5" w:rsidRDefault="000B372B">
      <w:pPr>
        <w:pStyle w:val="Nadpis20"/>
        <w:keepNext/>
        <w:keepLines/>
        <w:framePr w:w="1114" w:h="350" w:wrap="none" w:vAnchor="text" w:hAnchor="page" w:x="4144" w:y="92"/>
        <w:shd w:val="clear" w:color="auto" w:fill="auto"/>
        <w:spacing w:line="240" w:lineRule="auto"/>
        <w:ind w:left="0"/>
      </w:pPr>
      <w:bookmarkStart w:id="19" w:name="bookmark19"/>
      <w:r>
        <w:t>3. 03. 2023</w:t>
      </w:r>
      <w:bookmarkEnd w:id="19"/>
    </w:p>
    <w:p w:rsidR="00DC77C5" w:rsidRDefault="000B372B">
      <w:pPr>
        <w:pStyle w:val="Nadpis20"/>
        <w:keepNext/>
        <w:keepLines/>
        <w:framePr w:w="4128" w:h="1032" w:wrap="none" w:vAnchor="text" w:hAnchor="page" w:x="6275" w:y="21"/>
        <w:shd w:val="clear" w:color="auto" w:fill="auto"/>
        <w:spacing w:line="240" w:lineRule="auto"/>
        <w:ind w:left="1800"/>
      </w:pPr>
      <w:bookmarkStart w:id="20" w:name="bookmark20"/>
      <w:r>
        <w:t>- 7 -03- 2023</w:t>
      </w:r>
      <w:bookmarkEnd w:id="20"/>
    </w:p>
    <w:p w:rsidR="00DC77C5" w:rsidRDefault="000B372B">
      <w:pPr>
        <w:pStyle w:val="Zkladntext1"/>
        <w:framePr w:w="4128" w:h="1032" w:wrap="none" w:vAnchor="text" w:hAnchor="page" w:x="6275" w:y="21"/>
        <w:shd w:val="clear" w:color="auto" w:fill="auto"/>
        <w:tabs>
          <w:tab w:val="left" w:leader="dot" w:pos="2693"/>
          <w:tab w:val="left" w:leader="dot" w:pos="3542"/>
        </w:tabs>
        <w:spacing w:line="252" w:lineRule="auto"/>
      </w:pPr>
      <w:r>
        <w:t xml:space="preserve">V Praze dne: </w:t>
      </w:r>
      <w:r>
        <w:tab/>
        <w:t xml:space="preserve"> </w:t>
      </w:r>
      <w:r>
        <w:tab/>
      </w:r>
    </w:p>
    <w:p w:rsidR="00DC77C5" w:rsidRDefault="000B372B">
      <w:pPr>
        <w:pStyle w:val="Nadpis20"/>
        <w:keepNext/>
        <w:keepLines/>
        <w:framePr w:w="4128" w:h="1032" w:wrap="none" w:vAnchor="text" w:hAnchor="page" w:x="6275" w:y="21"/>
        <w:shd w:val="clear" w:color="auto" w:fill="auto"/>
        <w:tabs>
          <w:tab w:val="left" w:pos="3797"/>
        </w:tabs>
        <w:spacing w:line="185" w:lineRule="auto"/>
        <w:ind w:left="840"/>
        <w:jc w:val="both"/>
      </w:pPr>
      <w:bookmarkStart w:id="21" w:name="bookmark21"/>
      <w:proofErr w:type="spellStart"/>
      <w:r>
        <w:t>Tyroe</w:t>
      </w:r>
      <w:proofErr w:type="spellEnd"/>
      <w:r>
        <w:t xml:space="preserve"> </w:t>
      </w:r>
      <w:proofErr w:type="spellStart"/>
      <w:r>
        <w:t>Loarítng</w:t>
      </w:r>
      <w:proofErr w:type="spellEnd"/>
      <w:r>
        <w:tab/>
        <w:t>' -Q,</w:t>
      </w:r>
      <w:bookmarkEnd w:id="21"/>
    </w:p>
    <w:p w:rsidR="00DC77C5" w:rsidRDefault="00DC77C5" w:rsidP="00C76AF8">
      <w:pPr>
        <w:pStyle w:val="Zkladntext1"/>
        <w:framePr w:w="4128" w:h="1032" w:wrap="none" w:vAnchor="text" w:hAnchor="page" w:x="6275" w:y="21"/>
        <w:shd w:val="clear" w:color="auto" w:fill="auto"/>
        <w:spacing w:line="240" w:lineRule="auto"/>
        <w:jc w:val="left"/>
      </w:pPr>
    </w:p>
    <w:p w:rsidR="00DC77C5" w:rsidRDefault="000B372B">
      <w:pPr>
        <w:pStyle w:val="Zkladntext1"/>
        <w:framePr w:w="2323" w:h="518" w:wrap="none" w:vAnchor="text" w:hAnchor="page" w:x="1053" w:y="1777"/>
        <w:shd w:val="clear" w:color="auto" w:fill="auto"/>
        <w:spacing w:line="252" w:lineRule="auto"/>
        <w:jc w:val="left"/>
      </w:pPr>
      <w:r>
        <w:t>Objednatel</w:t>
      </w:r>
    </w:p>
    <w:p w:rsidR="00DC77C5" w:rsidRDefault="000B372B">
      <w:pPr>
        <w:pStyle w:val="Zkladntext1"/>
        <w:framePr w:w="2323" w:h="518" w:wrap="none" w:vAnchor="text" w:hAnchor="page" w:x="1053" w:y="1777"/>
        <w:shd w:val="clear" w:color="auto" w:fill="auto"/>
        <w:spacing w:line="252" w:lineRule="auto"/>
        <w:jc w:val="left"/>
      </w:pPr>
      <w:r>
        <w:t>RNDr. Mikuláš Madaras</w:t>
      </w:r>
    </w:p>
    <w:p w:rsidR="00DC77C5" w:rsidRDefault="000B372B">
      <w:pPr>
        <w:pStyle w:val="Zkladntext1"/>
        <w:framePr w:w="3974" w:h="1186" w:wrap="none" w:vAnchor="text" w:hAnchor="page" w:x="6275" w:y="1585"/>
        <w:shd w:val="clear" w:color="auto" w:fill="auto"/>
        <w:spacing w:line="252" w:lineRule="auto"/>
        <w:ind w:left="380" w:hanging="60"/>
        <w:jc w:val="left"/>
      </w:pPr>
      <w:r>
        <w:t>g</w:t>
      </w:r>
      <w:r w:rsidR="00C76AF8">
        <w:t>.</w:t>
      </w:r>
      <w:bookmarkStart w:id="22" w:name="_GoBack"/>
      <w:bookmarkEnd w:id="22"/>
    </w:p>
    <w:p w:rsidR="00DC77C5" w:rsidRDefault="000B372B">
      <w:pPr>
        <w:pStyle w:val="Nadpis20"/>
        <w:keepNext/>
        <w:keepLines/>
        <w:framePr w:w="3974" w:h="1186" w:wrap="none" w:vAnchor="text" w:hAnchor="page" w:x="6275" w:y="1585"/>
        <w:shd w:val="clear" w:color="auto" w:fill="auto"/>
        <w:spacing w:line="199" w:lineRule="auto"/>
        <w:ind w:left="1460"/>
      </w:pPr>
      <w:bookmarkStart w:id="23" w:name="bookmark22"/>
      <w:r>
        <w:rPr>
          <w:color w:val="8B8EB3"/>
        </w:rPr>
        <w:t>/</w:t>
      </w:r>
      <w:bookmarkEnd w:id="23"/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line="360" w:lineRule="exact"/>
      </w:pPr>
    </w:p>
    <w:p w:rsidR="00DC77C5" w:rsidRDefault="00DC77C5">
      <w:pPr>
        <w:spacing w:after="466" w:line="14" w:lineRule="exact"/>
      </w:pPr>
    </w:p>
    <w:p w:rsidR="00DC77C5" w:rsidRDefault="00DC77C5">
      <w:pPr>
        <w:spacing w:line="14" w:lineRule="exact"/>
      </w:pPr>
    </w:p>
    <w:sectPr w:rsidR="00DC77C5">
      <w:type w:val="continuous"/>
      <w:pgSz w:w="11900" w:h="16840"/>
      <w:pgMar w:top="1503" w:right="1008" w:bottom="1009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2B" w:rsidRDefault="000B372B">
      <w:r>
        <w:separator/>
      </w:r>
    </w:p>
  </w:endnote>
  <w:endnote w:type="continuationSeparator" w:id="0">
    <w:p w:rsidR="000B372B" w:rsidRDefault="000B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C5" w:rsidRDefault="000B37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9944735</wp:posOffset>
              </wp:positionV>
              <wp:extent cx="601345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7C5" w:rsidRDefault="000B372B">
                          <w:pPr>
                            <w:pStyle w:val="Zhlavnebozpat20"/>
                            <w:shd w:val="clear" w:color="auto" w:fill="auto"/>
                            <w:tabs>
                              <w:tab w:val="right" w:pos="5803"/>
                              <w:tab w:val="right" w:pos="947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Revize: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22.10.2020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lilo č. MD-58565-22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5C1D" w:rsidRPr="005B5C1D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/ celkem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in;margin-top:783.05pt;width:473.5pt;height:7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" filled="f" stroked="f">
              <v:textbox style="mso-fit-shape-to-text:t" inset="0,0,0,0">
                <w:txbxContent>
                  <w:p w:rsidR="00DC77C5" w:rsidRDefault="000B372B">
                    <w:pPr>
                      <w:pStyle w:val="Zhlavnebozpat20"/>
                      <w:shd w:val="clear" w:color="auto" w:fill="auto"/>
                      <w:tabs>
                        <w:tab w:val="right" w:pos="5803"/>
                        <w:tab w:val="right" w:pos="947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Revize: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22.10.2020</w:t>
                    </w:r>
                    <w:proofErr w:type="gram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  <w:t>lilo č. MD-58565-22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5C1D" w:rsidRPr="005B5C1D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/ celkem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9921875</wp:posOffset>
              </wp:positionV>
              <wp:extent cx="64039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39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299999999999997pt;margin-top:781.25pt;width:504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C5" w:rsidRDefault="000B37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9964420</wp:posOffset>
              </wp:positionV>
              <wp:extent cx="601345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7C5" w:rsidRDefault="000B372B">
                          <w:pPr>
                            <w:pStyle w:val="Zhlavnebozpat20"/>
                            <w:shd w:val="clear" w:color="auto" w:fill="auto"/>
                            <w:tabs>
                              <w:tab w:val="right" w:pos="5947"/>
                              <w:tab w:val="right" w:pos="947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Revize: 22,10.2020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03cz tis - 302 VZ Servisní smlouva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5C1D" w:rsidRPr="005B5C1D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/ celkem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2" type="#_x0000_t202" style="position:absolute;margin-left:70.8pt;margin-top:784.6pt;width:473.5pt;height:7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" filled="f" stroked="f">
              <v:textbox style="mso-fit-shape-to-text:t" inset="0,0,0,0">
                <w:txbxContent>
                  <w:p w:rsidR="00DC77C5" w:rsidRDefault="000B372B">
                    <w:pPr>
                      <w:pStyle w:val="Zhlavnebozpat20"/>
                      <w:shd w:val="clear" w:color="auto" w:fill="auto"/>
                      <w:tabs>
                        <w:tab w:val="right" w:pos="5947"/>
                        <w:tab w:val="right" w:pos="947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Revize: 22,10.2020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  <w:t>03cz tis - 302 VZ Servisní smlouva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5C1D" w:rsidRPr="005B5C1D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/ celkem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588645</wp:posOffset>
              </wp:positionH>
              <wp:positionV relativeFrom="page">
                <wp:posOffset>9939655</wp:posOffset>
              </wp:positionV>
              <wp:extent cx="639762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6.350000000000001pt;margin-top:782.64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C5" w:rsidRDefault="000B37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10005695</wp:posOffset>
              </wp:positionV>
              <wp:extent cx="6013450" cy="914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7C5" w:rsidRDefault="000B372B">
                          <w:pPr>
                            <w:pStyle w:val="Zhlavnebozpat20"/>
                            <w:shd w:val="clear" w:color="auto" w:fill="auto"/>
                            <w:tabs>
                              <w:tab w:val="right" w:pos="5808"/>
                              <w:tab w:val="right" w:pos="947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Revize: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22.10.2020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Smlouva o dílo č. MD-58565-22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6AF8" w:rsidRPr="00C76AF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celkem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3" type="#_x0000_t202" style="position:absolute;margin-left:72.75pt;margin-top:787.85pt;width:473.5pt;height: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XzjwEAAB4DAAAOAAAAZHJzL2Uyb0RvYy54bWysUsFOwzAMvSPxD1HurN0Y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" filled="f" stroked="f">
              <v:textbox style="mso-fit-shape-to-text:t" inset="0,0,0,0">
                <w:txbxContent>
                  <w:p w:rsidR="00DC77C5" w:rsidRDefault="000B372B">
                    <w:pPr>
                      <w:pStyle w:val="Zhlavnebozpat20"/>
                      <w:shd w:val="clear" w:color="auto" w:fill="auto"/>
                      <w:tabs>
                        <w:tab w:val="right" w:pos="5808"/>
                        <w:tab w:val="right" w:pos="947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Revize: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22.10.2020</w:t>
                    </w:r>
                    <w:proofErr w:type="gram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  <w:t>Smlouva o dílo č. MD-58565-22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6AF8" w:rsidRPr="00C76AF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celkem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9978390</wp:posOffset>
              </wp:positionV>
              <wp:extent cx="640080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25pt;margin-top:785.70000000000005pt;width:50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2B" w:rsidRDefault="000B372B"/>
  </w:footnote>
  <w:footnote w:type="continuationSeparator" w:id="0">
    <w:p w:rsidR="000B372B" w:rsidRDefault="000B37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F08"/>
    <w:multiLevelType w:val="multilevel"/>
    <w:tmpl w:val="C04E01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20847"/>
    <w:multiLevelType w:val="multilevel"/>
    <w:tmpl w:val="6BF63C2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875C1"/>
    <w:multiLevelType w:val="multilevel"/>
    <w:tmpl w:val="8A36A948"/>
    <w:lvl w:ilvl="0">
      <w:start w:val="1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840A81"/>
    <w:multiLevelType w:val="multilevel"/>
    <w:tmpl w:val="5352D7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4B6EF3"/>
    <w:multiLevelType w:val="multilevel"/>
    <w:tmpl w:val="3B3829A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075761"/>
    <w:multiLevelType w:val="multilevel"/>
    <w:tmpl w:val="D63C513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77C5"/>
    <w:rsid w:val="000B372B"/>
    <w:rsid w:val="005B5C1D"/>
    <w:rsid w:val="00C76AF8"/>
    <w:rsid w:val="00CA1A5E"/>
    <w:rsid w:val="00D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2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54" w:lineRule="auto"/>
      <w:ind w:left="38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8" w:lineRule="auto"/>
      <w:ind w:left="1150"/>
      <w:outlineLvl w:val="1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jc w:val="right"/>
    </w:pPr>
    <w:rPr>
      <w:rFonts w:ascii="Arial" w:eastAsia="Arial" w:hAnsi="Arial" w:cs="Arial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C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2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54" w:lineRule="auto"/>
      <w:ind w:left="38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8" w:lineRule="auto"/>
      <w:ind w:left="1150"/>
      <w:outlineLvl w:val="1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jc w:val="right"/>
    </w:pPr>
    <w:rPr>
      <w:rFonts w:ascii="Arial" w:eastAsia="Arial" w:hAnsi="Arial" w:cs="Arial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C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servismorava@loadinq-system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2023-03-14T14:39:00Z</dcterms:created>
  <dcterms:modified xsi:type="dcterms:W3CDTF">2023-03-14T14:41:00Z</dcterms:modified>
</cp:coreProperties>
</file>