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FAF2" w14:textId="77777777" w:rsidR="007431EB" w:rsidRDefault="0038075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Pr="00F162C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K SMLOUVĚ O POSKYTNUTÍ FINANČNÍHO BONUSU</w:t>
      </w:r>
    </w:p>
    <w:p w14:paraId="37FBFAF3" w14:textId="77777777" w:rsidR="007431EB" w:rsidRDefault="007431E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7FBFAF4" w14:textId="77777777" w:rsidR="007431EB" w:rsidRDefault="0038075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Boston Scientific Česká republika s.r.o.</w:t>
      </w:r>
    </w:p>
    <w:p w14:paraId="37FBFAF5" w14:textId="77777777" w:rsidR="007431EB" w:rsidRDefault="0038075A">
      <w:pPr>
        <w:pStyle w:val="NoSpacing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se sídlem: Praha 5 - Smíchov, Karla Engliše 3219/4, PSČ 150 00</w:t>
      </w:r>
    </w:p>
    <w:p w14:paraId="37FBFAF6" w14:textId="77777777" w:rsidR="007431EB" w:rsidRDefault="0038075A">
      <w:pPr>
        <w:pStyle w:val="NoSpacing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  <w:t>IČO: 25635972</w:t>
      </w:r>
    </w:p>
    <w:p w14:paraId="37FBFAF7" w14:textId="77777777" w:rsidR="007431EB" w:rsidRDefault="0038075A">
      <w:pPr>
        <w:pStyle w:val="NoSpacing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  <w:t>DIČ: CZ25635972</w:t>
      </w:r>
    </w:p>
    <w:p w14:paraId="37FBFAF8" w14:textId="74DBF882" w:rsidR="007431EB" w:rsidRDefault="0038075A">
      <w:pPr>
        <w:ind w:right="-2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b/>
          <w:sz w:val="20"/>
          <w:szCs w:val="20"/>
          <w:lang w:val="cs-CZ" w:eastAsia="cs-CZ"/>
        </w:rPr>
        <w:tab/>
      </w:r>
      <w:r>
        <w:rPr>
          <w:rFonts w:ascii="Arial" w:hAnsi="Arial" w:cs="Arial"/>
          <w:sz w:val="20"/>
          <w:szCs w:val="20"/>
          <w:lang w:val="cs-CZ" w:eastAsia="cs-CZ"/>
        </w:rPr>
        <w:t>zapsaná v obchodním rejstříku vedeném u Městského soudu v Praze, sp. zn. C 56799</w:t>
      </w:r>
    </w:p>
    <w:p w14:paraId="35D983B2" w14:textId="51F7A2B8" w:rsidR="00ED67E5" w:rsidRDefault="00ED67E5">
      <w:pPr>
        <w:ind w:right="-2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ab/>
      </w:r>
      <w:bookmarkStart w:id="0" w:name="_Hlk127545729"/>
      <w:r>
        <w:rPr>
          <w:rFonts w:ascii="Arial" w:hAnsi="Arial" w:cs="Arial"/>
          <w:sz w:val="20"/>
          <w:szCs w:val="20"/>
          <w:lang w:val="cs-CZ" w:eastAsia="cs-CZ"/>
        </w:rPr>
        <w:t>zastoupená: Matějem Sahulou, prokuristou</w:t>
      </w:r>
    </w:p>
    <w:bookmarkEnd w:id="0"/>
    <w:p w14:paraId="37FBFAF9" w14:textId="77777777" w:rsidR="007431EB" w:rsidRDefault="0038075A">
      <w:pPr>
        <w:ind w:right="-2"/>
        <w:jc w:val="both"/>
        <w:rPr>
          <w:rFonts w:ascii="Arial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ab/>
        <w:t>(dále jen „</w:t>
      </w:r>
      <w:r>
        <w:rPr>
          <w:rFonts w:ascii="Arial" w:hAnsi="Arial" w:cs="Arial"/>
          <w:b/>
          <w:sz w:val="20"/>
          <w:szCs w:val="20"/>
          <w:lang w:val="cs-CZ" w:eastAsia="cs-CZ"/>
        </w:rPr>
        <w:t>prodávající</w:t>
      </w:r>
      <w:r>
        <w:rPr>
          <w:rFonts w:ascii="Arial" w:hAnsi="Arial" w:cs="Arial"/>
          <w:sz w:val="20"/>
          <w:szCs w:val="20"/>
          <w:lang w:val="cs-CZ" w:eastAsia="cs-CZ"/>
        </w:rPr>
        <w:t>“)</w:t>
      </w:r>
    </w:p>
    <w:p w14:paraId="37FBFAFA" w14:textId="77777777" w:rsidR="007431EB" w:rsidRDefault="007431E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7FBFAFB" w14:textId="77777777" w:rsidR="007431EB" w:rsidRDefault="0038075A">
      <w:pPr>
        <w:pStyle w:val="NoSpacing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7FBFAFC" w14:textId="77777777" w:rsidR="007431EB" w:rsidRDefault="007431E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7FBFAFD" w14:textId="77777777" w:rsidR="007431EB" w:rsidRDefault="0038075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Oblastní nemocnice Mladá Boleslav, a.s., nemocnice Středočeského kraje</w:t>
      </w:r>
    </w:p>
    <w:p w14:paraId="37FBFAFE" w14:textId="77777777" w:rsidR="007431EB" w:rsidRDefault="0038075A">
      <w:pPr>
        <w:pStyle w:val="NoSpacing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sídlem: Mladá Boleslav, třída Václava Klementa 147, PSČ 29301</w:t>
      </w:r>
    </w:p>
    <w:p w14:paraId="37FBFAFF" w14:textId="77777777" w:rsidR="007431EB" w:rsidRDefault="0038075A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 27256456</w:t>
      </w:r>
    </w:p>
    <w:p w14:paraId="37FBFB00" w14:textId="77777777" w:rsidR="007431EB" w:rsidRDefault="0038075A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DIČ: CZ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>27256456</w:t>
      </w:r>
    </w:p>
    <w:p w14:paraId="37FBFB01" w14:textId="77777777" w:rsidR="007431EB" w:rsidRDefault="0038075A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zapsaná v obchodním rejstříku vedeném u Městského soudu v Praze, sp. zn. B 10019</w:t>
      </w:r>
    </w:p>
    <w:p w14:paraId="37FBFB02" w14:textId="77777777" w:rsidR="007431EB" w:rsidRDefault="0038075A">
      <w:pPr>
        <w:pStyle w:val="NoSpacing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(dále jen „</w:t>
      </w:r>
      <w:r>
        <w:rPr>
          <w:rFonts w:ascii="Arial" w:hAnsi="Arial" w:cs="Arial"/>
          <w:b/>
          <w:sz w:val="20"/>
          <w:szCs w:val="20"/>
          <w:lang w:eastAsia="cs-CZ"/>
        </w:rPr>
        <w:t>kupující</w:t>
      </w:r>
      <w:r>
        <w:rPr>
          <w:rFonts w:ascii="Arial" w:hAnsi="Arial" w:cs="Arial"/>
          <w:sz w:val="20"/>
          <w:szCs w:val="20"/>
          <w:lang w:eastAsia="cs-CZ"/>
        </w:rPr>
        <w:t>“)</w:t>
      </w:r>
    </w:p>
    <w:p w14:paraId="37FBFB03" w14:textId="77777777" w:rsidR="007431EB" w:rsidRDefault="007431EB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7FBFB04" w14:textId="77777777" w:rsidR="007431EB" w:rsidRDefault="0038075A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a kupující společně jako „</w:t>
      </w:r>
      <w:r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</w:t>
      </w:r>
    </w:p>
    <w:p w14:paraId="37FBFB05" w14:textId="77777777" w:rsidR="007431EB" w:rsidRDefault="007431E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FBFB06" w14:textId="77777777" w:rsidR="007431EB" w:rsidRDefault="007431E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FBFB07" w14:textId="77777777" w:rsidR="007431EB" w:rsidRDefault="0038075A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>
        <w:rPr>
          <w:rFonts w:ascii="Arial" w:eastAsiaTheme="minorHAnsi" w:hAnsi="Arial" w:cs="Arial"/>
          <w:sz w:val="20"/>
          <w:lang w:val="cs-CZ" w:eastAsia="en-US"/>
        </w:rPr>
        <w:t>VZHLEDEM K TOMU, ŽE:</w:t>
      </w:r>
    </w:p>
    <w:p w14:paraId="37FBFB08" w14:textId="77777777" w:rsidR="007431EB" w:rsidRDefault="007431EB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7FBFB09" w14:textId="77777777" w:rsidR="007431EB" w:rsidRDefault="0038075A">
      <w:pPr>
        <w:pStyle w:val="ListParagraph"/>
        <w:widowControl w:val="0"/>
        <w:numPr>
          <w:ilvl w:val="0"/>
          <w:numId w:val="3"/>
        </w:numPr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>
        <w:rPr>
          <w:rFonts w:ascii="Arial" w:eastAsiaTheme="minorHAnsi" w:hAnsi="Arial" w:cs="Arial"/>
          <w:sz w:val="20"/>
          <w:lang w:val="cs-CZ" w:eastAsia="en-US"/>
        </w:rPr>
        <w:t>Smluvní strany podepsaly dne 31. 12. 2021 Smlouvu o poskytnutí finančního bonusu (dále jen „</w:t>
      </w:r>
      <w:r>
        <w:rPr>
          <w:rFonts w:ascii="Arial" w:eastAsiaTheme="minorHAnsi" w:hAnsi="Arial" w:cs="Arial"/>
          <w:b/>
          <w:bCs/>
          <w:sz w:val="20"/>
          <w:lang w:val="cs-CZ" w:eastAsia="en-US"/>
        </w:rPr>
        <w:t>smlouva</w:t>
      </w:r>
      <w:r>
        <w:rPr>
          <w:rFonts w:ascii="Arial" w:eastAsiaTheme="minorHAnsi" w:hAnsi="Arial" w:cs="Arial"/>
          <w:sz w:val="20"/>
          <w:lang w:val="cs-CZ" w:eastAsia="en-US"/>
        </w:rPr>
        <w:t xml:space="preserve">“). Smlouva je uzavřena na dobu určitou, a to na 12 měsíců od 1.1.2022; </w:t>
      </w:r>
    </w:p>
    <w:p w14:paraId="37FBFB0A" w14:textId="77777777" w:rsidR="007431EB" w:rsidRDefault="007431EB">
      <w:pPr>
        <w:pStyle w:val="ListParagraph"/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7FBFB0B" w14:textId="77777777" w:rsidR="007431EB" w:rsidRDefault="0038075A">
      <w:pPr>
        <w:pStyle w:val="ListParagraph"/>
        <w:widowControl w:val="0"/>
        <w:numPr>
          <w:ilvl w:val="0"/>
          <w:numId w:val="3"/>
        </w:numPr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>
        <w:rPr>
          <w:rFonts w:ascii="Arial" w:eastAsiaTheme="minorHAnsi" w:hAnsi="Arial" w:cs="Arial"/>
          <w:sz w:val="20"/>
          <w:lang w:val="cs-CZ" w:eastAsia="en-US"/>
        </w:rPr>
        <w:t>Smluvní strany považují smlouvu ke dni podpisu tohoto dodatku za účinnou;</w:t>
      </w:r>
    </w:p>
    <w:p w14:paraId="37FBFB0C" w14:textId="77777777" w:rsidR="007431EB" w:rsidRDefault="007431EB">
      <w:pPr>
        <w:pStyle w:val="ListParagraph"/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7FBFB0D" w14:textId="77777777" w:rsidR="007431EB" w:rsidRDefault="0038075A">
      <w:pPr>
        <w:pStyle w:val="ListParagraph"/>
        <w:widowControl w:val="0"/>
        <w:numPr>
          <w:ilvl w:val="0"/>
          <w:numId w:val="3"/>
        </w:numPr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  <w:r>
        <w:rPr>
          <w:rFonts w:ascii="Arial" w:eastAsiaTheme="minorHAnsi" w:hAnsi="Arial" w:cs="Arial"/>
          <w:sz w:val="20"/>
          <w:lang w:val="cs-CZ" w:eastAsia="en-US"/>
        </w:rPr>
        <w:t>Smluvní strany si přejí tímto dodatkem č. 1 změnit trvání smlouvy;</w:t>
      </w:r>
    </w:p>
    <w:p w14:paraId="37FBFB0E" w14:textId="77777777" w:rsidR="007431EB" w:rsidRDefault="007431EB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7FBFB0F" w14:textId="77777777" w:rsidR="007431EB" w:rsidRDefault="007431EB">
      <w:pPr>
        <w:widowControl w:val="0"/>
        <w:tabs>
          <w:tab w:val="left" w:pos="4500"/>
        </w:tabs>
        <w:ind w:right="-2"/>
        <w:jc w:val="both"/>
        <w:rPr>
          <w:rFonts w:ascii="Arial" w:eastAsiaTheme="minorHAnsi" w:hAnsi="Arial" w:cs="Arial"/>
          <w:sz w:val="20"/>
          <w:lang w:val="cs-CZ" w:eastAsia="en-US"/>
        </w:rPr>
      </w:pPr>
    </w:p>
    <w:p w14:paraId="37FBFB10" w14:textId="77777777" w:rsidR="007431EB" w:rsidRDefault="0038075A">
      <w:pPr>
        <w:widowControl w:val="0"/>
        <w:tabs>
          <w:tab w:val="left" w:pos="4500"/>
        </w:tabs>
        <w:ind w:right="-2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SE SMLUVNÍ STRANY DOHODLY NA UZAVŘENÍ NÁSLEDUJÍCÍHO</w:t>
      </w:r>
    </w:p>
    <w:p w14:paraId="37FBFB11" w14:textId="77777777" w:rsidR="007431EB" w:rsidRDefault="007431EB">
      <w:pPr>
        <w:widowControl w:val="0"/>
        <w:tabs>
          <w:tab w:val="left" w:pos="450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7FBFB12" w14:textId="77777777" w:rsidR="007431EB" w:rsidRDefault="007431EB">
      <w:pPr>
        <w:widowControl w:val="0"/>
        <w:tabs>
          <w:tab w:val="left" w:pos="450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7FBFB13" w14:textId="77777777" w:rsidR="007431EB" w:rsidRDefault="0038075A">
      <w:pPr>
        <w:widowControl w:val="0"/>
        <w:tabs>
          <w:tab w:val="left" w:pos="4500"/>
        </w:tabs>
        <w:ind w:right="-2"/>
        <w:jc w:val="center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Dodatku č. 1 (dále jen „dodatek“)</w:t>
      </w:r>
    </w:p>
    <w:p w14:paraId="37FBFB14" w14:textId="77777777" w:rsidR="007431EB" w:rsidRDefault="007431EB">
      <w:pPr>
        <w:widowControl w:val="0"/>
        <w:tabs>
          <w:tab w:val="left" w:pos="4500"/>
        </w:tabs>
        <w:ind w:right="-2"/>
        <w:jc w:val="center"/>
        <w:rPr>
          <w:rFonts w:ascii="Arial" w:hAnsi="Arial" w:cs="Arial"/>
          <w:b/>
          <w:bCs/>
          <w:sz w:val="20"/>
          <w:lang w:val="cs-CZ"/>
        </w:rPr>
      </w:pPr>
    </w:p>
    <w:p w14:paraId="37FBFB15" w14:textId="77777777" w:rsidR="007431EB" w:rsidRDefault="007431EB">
      <w:pPr>
        <w:widowControl w:val="0"/>
        <w:ind w:right="-2"/>
        <w:jc w:val="both"/>
        <w:rPr>
          <w:rFonts w:ascii="Arial" w:hAnsi="Arial" w:cs="Arial"/>
          <w:sz w:val="20"/>
          <w:lang w:val="cs-CZ"/>
        </w:rPr>
      </w:pPr>
    </w:p>
    <w:p w14:paraId="37FBFB16" w14:textId="77777777" w:rsidR="007431EB" w:rsidRDefault="0038075A">
      <w:pPr>
        <w:widowControl w:val="0"/>
        <w:ind w:right="-2"/>
        <w:jc w:val="center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Článek I.</w:t>
      </w:r>
    </w:p>
    <w:p w14:paraId="37FBFB17" w14:textId="77777777" w:rsidR="007431EB" w:rsidRDefault="0038075A">
      <w:pPr>
        <w:widowControl w:val="0"/>
        <w:ind w:right="-2"/>
        <w:jc w:val="center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Předmět dodatku</w:t>
      </w:r>
    </w:p>
    <w:p w14:paraId="37FBFB18" w14:textId="77777777" w:rsidR="007431EB" w:rsidRDefault="007431EB">
      <w:pPr>
        <w:pStyle w:val="Paragraf"/>
        <w:widowControl w:val="0"/>
        <w:ind w:left="0" w:right="-2" w:firstLine="0"/>
        <w:rPr>
          <w:rFonts w:ascii="Arial" w:hAnsi="Arial" w:cs="Arial"/>
          <w:bCs/>
          <w:sz w:val="20"/>
        </w:rPr>
      </w:pPr>
    </w:p>
    <w:p w14:paraId="37FBFB19" w14:textId="77777777" w:rsidR="007431EB" w:rsidRDefault="0038075A">
      <w:pPr>
        <w:pStyle w:val="NoSpacing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ustanovení odst.4.1. se tímto dodatkem zcela ruší a nahrazuje se novým zněním:</w:t>
      </w:r>
    </w:p>
    <w:p w14:paraId="37FBFB1A" w14:textId="77777777" w:rsidR="007431EB" w:rsidRDefault="007431EB">
      <w:pPr>
        <w:pStyle w:val="NoSpacing"/>
        <w:ind w:left="426"/>
        <w:jc w:val="both"/>
        <w:rPr>
          <w:rFonts w:ascii="Arial" w:hAnsi="Arial" w:cs="Arial"/>
          <w:sz w:val="20"/>
          <w:szCs w:val="20"/>
        </w:rPr>
      </w:pPr>
    </w:p>
    <w:p w14:paraId="37FBFB1B" w14:textId="77777777" w:rsidR="007431EB" w:rsidRDefault="0038075A">
      <w:pPr>
        <w:pStyle w:val="NoSpacing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4.1. Tato smlouva se uzavírá s účinností na dobu určitou, a to do 31. 12. 2023.</w:t>
      </w:r>
      <w:r>
        <w:rPr>
          <w:rFonts w:ascii="Arial" w:hAnsi="Arial" w:cs="Arial"/>
          <w:sz w:val="20"/>
          <w:szCs w:val="20"/>
        </w:rPr>
        <w:t>“</w:t>
      </w:r>
    </w:p>
    <w:p w14:paraId="37FBFB1C" w14:textId="77777777" w:rsidR="007431EB" w:rsidRDefault="007431EB">
      <w:pPr>
        <w:pStyle w:val="ListParagraph"/>
        <w:widowControl w:val="0"/>
        <w:rPr>
          <w:rFonts w:ascii="Arial" w:hAnsi="Arial" w:cs="Arial"/>
          <w:bCs/>
          <w:sz w:val="20"/>
          <w:lang w:val="cs-CZ"/>
        </w:rPr>
      </w:pPr>
    </w:p>
    <w:p w14:paraId="37FBFB1D" w14:textId="77777777" w:rsidR="007431EB" w:rsidRDefault="007431EB">
      <w:pPr>
        <w:widowControl w:val="0"/>
        <w:rPr>
          <w:lang w:val="cs-CZ"/>
        </w:rPr>
      </w:pPr>
    </w:p>
    <w:p w14:paraId="37FBFB1E" w14:textId="77777777" w:rsidR="007431EB" w:rsidRDefault="0038075A">
      <w:pPr>
        <w:pStyle w:val="Heading1"/>
        <w:keepNext w:val="0"/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II. </w:t>
      </w:r>
    </w:p>
    <w:p w14:paraId="37FBFB1F" w14:textId="77777777" w:rsidR="007431EB" w:rsidRDefault="0038075A">
      <w:pPr>
        <w:pStyle w:val="Heading1"/>
        <w:keepNext w:val="0"/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Závěrečná ustanovení</w:t>
      </w:r>
    </w:p>
    <w:p w14:paraId="37FBFB20" w14:textId="77777777" w:rsidR="007431EB" w:rsidRDefault="007431EB">
      <w:pPr>
        <w:pStyle w:val="Paragraf"/>
        <w:widowControl w:val="0"/>
        <w:ind w:left="0" w:right="-2" w:firstLine="0"/>
        <w:rPr>
          <w:rFonts w:ascii="Arial" w:hAnsi="Arial" w:cs="Arial"/>
          <w:sz w:val="20"/>
        </w:rPr>
      </w:pPr>
    </w:p>
    <w:p w14:paraId="37FBFB21" w14:textId="77777777" w:rsidR="007431EB" w:rsidRDefault="0038075A">
      <w:pPr>
        <w:pStyle w:val="Paragraf"/>
        <w:widowControl w:val="0"/>
        <w:numPr>
          <w:ilvl w:val="0"/>
          <w:numId w:val="6"/>
        </w:num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souvislosti s aplikací zákona č.</w:t>
      </w:r>
      <w:r>
        <w:t xml:space="preserve"> </w:t>
      </w:r>
      <w:r>
        <w:rPr>
          <w:rFonts w:ascii="Arial" w:hAnsi="Arial" w:cs="Arial"/>
          <w:sz w:val="20"/>
        </w:rPr>
        <w:t>340/2015 Sb., o zvláštních podmínkách účinnosti některých smluv, uveřejňování těchto smluv a o registru smluv (dále jen „</w:t>
      </w:r>
      <w:r>
        <w:rPr>
          <w:rFonts w:ascii="Arial" w:hAnsi="Arial" w:cs="Arial"/>
          <w:b/>
          <w:bCs/>
          <w:sz w:val="20"/>
        </w:rPr>
        <w:t>zákon o RS</w:t>
      </w:r>
      <w:r>
        <w:rPr>
          <w:rFonts w:ascii="Arial" w:hAnsi="Arial" w:cs="Arial"/>
          <w:sz w:val="20"/>
        </w:rPr>
        <w:t>“) se smluvní strany pro případ povinnosti uveřejnit tento dodatek v registru smluv dohodly na následujícím postupu: smluvní strany souhlasí, že v souladu s ustanovením § 5 odst. 2 zákona o RS zašle správci registru smluv elektronický obraz tohoto dodatku a metadata vyžadovaná zákonem o RS kupující.</w:t>
      </w:r>
    </w:p>
    <w:p w14:paraId="37FBFB22" w14:textId="77777777" w:rsidR="007431EB" w:rsidRDefault="007431EB">
      <w:pPr>
        <w:pStyle w:val="ListParagraph"/>
        <w:widowControl w:val="0"/>
        <w:ind w:right="-2" w:hanging="398"/>
        <w:jc w:val="both"/>
        <w:rPr>
          <w:rFonts w:ascii="Arial" w:hAnsi="Arial" w:cs="Arial"/>
          <w:sz w:val="20"/>
          <w:lang w:val="cs-CZ"/>
        </w:rPr>
      </w:pPr>
    </w:p>
    <w:p w14:paraId="37FBFB23" w14:textId="77777777" w:rsidR="007431EB" w:rsidRDefault="0038075A">
      <w:pPr>
        <w:pStyle w:val="Paragraf"/>
        <w:widowControl w:val="0"/>
        <w:numPr>
          <w:ilvl w:val="0"/>
          <w:numId w:val="6"/>
        </w:numPr>
        <w:ind w:left="284" w:right="-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ustanovení smlouvy tímto dodatkem nedotčená zůstávají beze změn nadále v platnosti.</w:t>
      </w:r>
    </w:p>
    <w:p w14:paraId="37FBFB24" w14:textId="77777777" w:rsidR="007431EB" w:rsidRDefault="0038075A">
      <w:pPr>
        <w:widowControl w:val="0"/>
        <w:tabs>
          <w:tab w:val="left" w:pos="720"/>
        </w:tabs>
        <w:ind w:right="-2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</w:t>
      </w:r>
    </w:p>
    <w:p w14:paraId="37FBFB25" w14:textId="77777777" w:rsidR="007431EB" w:rsidRDefault="0038075A">
      <w:pPr>
        <w:pStyle w:val="Paragraf"/>
        <w:widowControl w:val="0"/>
        <w:numPr>
          <w:ilvl w:val="0"/>
          <w:numId w:val="6"/>
        </w:numPr>
        <w:ind w:left="284" w:right="-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Definice či pojmy používané v tomto dodatku, které byly definovány či uvedeny ve smlouvě, mají stejný význam, který jim byl smluvními stranami přiřazen ve smlouvě.</w:t>
      </w:r>
    </w:p>
    <w:p w14:paraId="37FBFB26" w14:textId="77777777" w:rsidR="007431EB" w:rsidRDefault="007431EB">
      <w:pPr>
        <w:widowControl w:val="0"/>
        <w:tabs>
          <w:tab w:val="left" w:pos="72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7FBFB27" w14:textId="77777777" w:rsidR="007431EB" w:rsidRDefault="0038075A">
      <w:pPr>
        <w:pStyle w:val="Paragraf"/>
        <w:widowControl w:val="0"/>
        <w:numPr>
          <w:ilvl w:val="0"/>
          <w:numId w:val="6"/>
        </w:numPr>
        <w:ind w:left="284" w:right="-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nabývá platnosti a účinnosti dne 1. ledna 2023.</w:t>
      </w:r>
    </w:p>
    <w:p w14:paraId="37FBFB28" w14:textId="77777777" w:rsidR="007431EB" w:rsidRDefault="007431EB">
      <w:pPr>
        <w:widowControl w:val="0"/>
        <w:tabs>
          <w:tab w:val="left" w:pos="720"/>
        </w:tabs>
        <w:ind w:right="-2"/>
        <w:jc w:val="both"/>
        <w:rPr>
          <w:rFonts w:ascii="Arial" w:hAnsi="Arial" w:cs="Arial"/>
          <w:sz w:val="20"/>
          <w:lang w:val="cs-CZ"/>
        </w:rPr>
      </w:pPr>
    </w:p>
    <w:p w14:paraId="37FBFB29" w14:textId="77777777" w:rsidR="007431EB" w:rsidRDefault="0038075A">
      <w:pPr>
        <w:pStyle w:val="Paragraf"/>
        <w:keepNext/>
        <w:widowControl w:val="0"/>
        <w:numPr>
          <w:ilvl w:val="0"/>
          <w:numId w:val="6"/>
        </w:numPr>
        <w:ind w:left="284" w:right="-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se řídí právními předpisy České republiky.</w:t>
      </w:r>
    </w:p>
    <w:p w14:paraId="37FBFB2A" w14:textId="77777777" w:rsidR="007431EB" w:rsidRDefault="007431E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FBFB2B" w14:textId="77777777" w:rsidR="007431EB" w:rsidRDefault="007431EB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7"/>
        <w:gridCol w:w="77"/>
        <w:gridCol w:w="281"/>
        <w:gridCol w:w="4357"/>
      </w:tblGrid>
      <w:tr w:rsidR="007431EB" w14:paraId="37FBFB36" w14:textId="77777777">
        <w:tc>
          <w:tcPr>
            <w:tcW w:w="4434" w:type="dxa"/>
            <w:gridSpan w:val="2"/>
          </w:tcPr>
          <w:p w14:paraId="37FBFB2C" w14:textId="77777777" w:rsidR="007431EB" w:rsidRDefault="0038075A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……………………. Dne: …………………….</w:t>
            </w:r>
          </w:p>
          <w:p w14:paraId="37FBFB2D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7FBFB2E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7FBFB2F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7FBFB30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7FBFB31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81" w:type="dxa"/>
          </w:tcPr>
          <w:p w14:paraId="37FBFB32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357" w:type="dxa"/>
          </w:tcPr>
          <w:p w14:paraId="37FBFB33" w14:textId="643E1592" w:rsidR="007431EB" w:rsidRDefault="0038075A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 </w:t>
            </w:r>
            <w:r w:rsidR="00ED67E5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Praze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Dne: …………………….</w:t>
            </w:r>
          </w:p>
          <w:p w14:paraId="37FBFB34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7FBFB35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7431EB" w14:paraId="37FBFB3A" w14:textId="77777777">
        <w:tc>
          <w:tcPr>
            <w:tcW w:w="4434" w:type="dxa"/>
            <w:gridSpan w:val="2"/>
          </w:tcPr>
          <w:p w14:paraId="37FBFB37" w14:textId="77777777" w:rsidR="007431EB" w:rsidRDefault="007431EB">
            <w:pPr>
              <w:keepNext/>
              <w:pBdr>
                <w:bottom w:val="dotted" w:sz="8" w:space="1" w:color="auto"/>
              </w:pBdr>
              <w:spacing w:line="256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81" w:type="dxa"/>
          </w:tcPr>
          <w:p w14:paraId="37FBFB38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357" w:type="dxa"/>
          </w:tcPr>
          <w:p w14:paraId="37FBFB39" w14:textId="77777777" w:rsidR="007431EB" w:rsidRDefault="007431EB">
            <w:pPr>
              <w:keepNext/>
              <w:pBdr>
                <w:bottom w:val="dotted" w:sz="8" w:space="1" w:color="auto"/>
              </w:pBdr>
              <w:spacing w:line="256" w:lineRule="auto"/>
              <w:rPr>
                <w:rFonts w:ascii="Arial" w:hAnsi="Arial" w:cs="Arial"/>
                <w:lang w:val="cs-CZ"/>
              </w:rPr>
            </w:pPr>
          </w:p>
        </w:tc>
      </w:tr>
      <w:tr w:rsidR="007431EB" w14:paraId="37FBFB47" w14:textId="77777777">
        <w:tc>
          <w:tcPr>
            <w:tcW w:w="4434" w:type="dxa"/>
            <w:gridSpan w:val="2"/>
            <w:hideMark/>
          </w:tcPr>
          <w:p w14:paraId="37FBFB3B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kupujícího</w:t>
            </w:r>
          </w:p>
          <w:p w14:paraId="37FBFB3C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JUDr. Ladislav Řípa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 xml:space="preserve"> </w:t>
            </w:r>
          </w:p>
          <w:p w14:paraId="37FBFB3D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předseda představenstva</w:t>
            </w:r>
          </w:p>
          <w:p w14:paraId="37FBFB3E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Oblastní nemocnice Mladá Boleslav, a.s., nemocnice Středočeského kraje</w:t>
            </w:r>
          </w:p>
        </w:tc>
        <w:tc>
          <w:tcPr>
            <w:tcW w:w="281" w:type="dxa"/>
          </w:tcPr>
          <w:p w14:paraId="37FBFB3F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357" w:type="dxa"/>
          </w:tcPr>
          <w:p w14:paraId="37FBFB40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prodávajícího</w:t>
            </w:r>
          </w:p>
          <w:p w14:paraId="37FBFB41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Matěj Sahula</w:t>
            </w:r>
          </w:p>
          <w:p w14:paraId="37FBFB42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prokurista</w:t>
            </w:r>
          </w:p>
          <w:p w14:paraId="37FBFB43" w14:textId="77777777" w:rsidR="007431EB" w:rsidRDefault="0038075A">
            <w:pPr>
              <w:pStyle w:val="NoSpacing"/>
              <w:spacing w:line="25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Boston Scientific Česká republika s.r.o.</w:t>
            </w:r>
          </w:p>
          <w:p w14:paraId="37FBFB44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37FBFB45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7FBFB46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431EB" w14:paraId="37FBFB49" w14:textId="77777777">
        <w:trPr>
          <w:gridAfter w:val="3"/>
          <w:wAfter w:w="4715" w:type="dxa"/>
        </w:trPr>
        <w:tc>
          <w:tcPr>
            <w:tcW w:w="4357" w:type="dxa"/>
          </w:tcPr>
          <w:p w14:paraId="37FBFB48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431EB" w14:paraId="37FBFB4B" w14:textId="77777777">
        <w:trPr>
          <w:gridAfter w:val="3"/>
          <w:wAfter w:w="4715" w:type="dxa"/>
        </w:trPr>
        <w:tc>
          <w:tcPr>
            <w:tcW w:w="4357" w:type="dxa"/>
          </w:tcPr>
          <w:p w14:paraId="37FBFB4A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431EB" w14:paraId="37FBFB4D" w14:textId="77777777">
        <w:trPr>
          <w:gridAfter w:val="3"/>
          <w:wAfter w:w="4715" w:type="dxa"/>
        </w:trPr>
        <w:tc>
          <w:tcPr>
            <w:tcW w:w="4357" w:type="dxa"/>
          </w:tcPr>
          <w:p w14:paraId="37FBFB4C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431EB" w14:paraId="37FBFB4F" w14:textId="77777777">
        <w:trPr>
          <w:gridAfter w:val="3"/>
          <w:wAfter w:w="4715" w:type="dxa"/>
        </w:trPr>
        <w:tc>
          <w:tcPr>
            <w:tcW w:w="4357" w:type="dxa"/>
          </w:tcPr>
          <w:p w14:paraId="37FBFB4E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431EB" w14:paraId="37FBFB51" w14:textId="77777777">
        <w:trPr>
          <w:gridAfter w:val="3"/>
          <w:wAfter w:w="4715" w:type="dxa"/>
        </w:trPr>
        <w:tc>
          <w:tcPr>
            <w:tcW w:w="4357" w:type="dxa"/>
          </w:tcPr>
          <w:p w14:paraId="37FBFB50" w14:textId="77777777" w:rsidR="007431EB" w:rsidRDefault="007431EB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431EB" w14:paraId="37FBFB53" w14:textId="77777777">
        <w:trPr>
          <w:gridAfter w:val="3"/>
          <w:wAfter w:w="4715" w:type="dxa"/>
        </w:trPr>
        <w:tc>
          <w:tcPr>
            <w:tcW w:w="4357" w:type="dxa"/>
          </w:tcPr>
          <w:p w14:paraId="37FBFB52" w14:textId="77777777" w:rsidR="007431EB" w:rsidRDefault="007431EB">
            <w:pPr>
              <w:keepNext/>
              <w:pBdr>
                <w:bottom w:val="dotted" w:sz="8" w:space="1" w:color="auto"/>
              </w:pBdr>
              <w:spacing w:line="256" w:lineRule="auto"/>
              <w:rPr>
                <w:rFonts w:ascii="Arial" w:hAnsi="Arial" w:cs="Arial"/>
                <w:lang w:val="cs-CZ"/>
              </w:rPr>
            </w:pPr>
          </w:p>
        </w:tc>
      </w:tr>
      <w:tr w:rsidR="007431EB" w14:paraId="37FBFB59" w14:textId="77777777">
        <w:trPr>
          <w:gridAfter w:val="3"/>
          <w:wAfter w:w="4715" w:type="dxa"/>
        </w:trPr>
        <w:tc>
          <w:tcPr>
            <w:tcW w:w="4357" w:type="dxa"/>
          </w:tcPr>
          <w:p w14:paraId="37FBFB54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kupujícího</w:t>
            </w:r>
          </w:p>
          <w:p w14:paraId="37FBFB55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Mgr. Daniel Marek </w:t>
            </w:r>
          </w:p>
          <w:p w14:paraId="37FBFB56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místopředseda představenstva</w:t>
            </w:r>
          </w:p>
          <w:p w14:paraId="37FBFB57" w14:textId="77777777" w:rsidR="007431EB" w:rsidRDefault="0038075A">
            <w:pPr>
              <w:keepNext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Oblastní nemocnice Mladá Boleslav, a.s., nemocnice Středočeského kraje</w:t>
            </w:r>
          </w:p>
          <w:p w14:paraId="37FBFB58" w14:textId="77777777" w:rsidR="007431EB" w:rsidRDefault="007431EB">
            <w:pPr>
              <w:keepNext/>
              <w:spacing w:line="25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37FBFB5A" w14:textId="77777777" w:rsidR="007431EB" w:rsidRDefault="007431E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FBFB5B" w14:textId="77777777" w:rsidR="007431EB" w:rsidRDefault="007431EB">
      <w:pPr>
        <w:pStyle w:val="NoSpacing"/>
        <w:jc w:val="both"/>
      </w:pPr>
    </w:p>
    <w:p w14:paraId="37FBFB5C" w14:textId="77777777" w:rsidR="007431EB" w:rsidRDefault="007431EB">
      <w:pPr>
        <w:rPr>
          <w:lang w:val="cs-CZ"/>
        </w:rPr>
      </w:pPr>
    </w:p>
    <w:sectPr w:rsidR="00743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250" w14:textId="77777777" w:rsidR="005912BF" w:rsidRDefault="005912BF">
      <w:r>
        <w:separator/>
      </w:r>
    </w:p>
  </w:endnote>
  <w:endnote w:type="continuationSeparator" w:id="0">
    <w:p w14:paraId="3AB89DB0" w14:textId="77777777" w:rsidR="005912BF" w:rsidRDefault="005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E46C" w14:textId="77777777" w:rsidR="00D44776" w:rsidRDefault="00D4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A1BB" w14:textId="1D8B9559" w:rsidR="00D44776" w:rsidRPr="00F162C4" w:rsidRDefault="00D44776" w:rsidP="00F162C4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F162C4">
      <w:rPr>
        <w:rFonts w:asciiTheme="minorHAnsi" w:hAnsiTheme="minorHAnsi" w:cstheme="minorHAnsi"/>
        <w:sz w:val="18"/>
        <w:szCs w:val="18"/>
      </w:rPr>
      <w:t>G:\Contracts\Customers\_Contracts since 2018\Hospitals\Oblastni_nemocnice_Mlada_Boleslav\2023\PI_obchodni_1512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4AE" w14:textId="77777777" w:rsidR="00D44776" w:rsidRDefault="00D4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3C1A" w14:textId="77777777" w:rsidR="005912BF" w:rsidRDefault="005912BF">
      <w:r>
        <w:separator/>
      </w:r>
    </w:p>
  </w:footnote>
  <w:footnote w:type="continuationSeparator" w:id="0">
    <w:p w14:paraId="6B375D2E" w14:textId="77777777" w:rsidR="005912BF" w:rsidRDefault="0059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4779" w14:textId="77777777" w:rsidR="00D44776" w:rsidRDefault="00D4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CC09" w14:textId="77777777" w:rsidR="00D44776" w:rsidRDefault="00D44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A0F4" w14:textId="77777777" w:rsidR="00D44776" w:rsidRDefault="00D44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CAD"/>
    <w:multiLevelType w:val="multilevel"/>
    <w:tmpl w:val="4356991E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020608"/>
    <w:multiLevelType w:val="hybridMultilevel"/>
    <w:tmpl w:val="799A8ED0"/>
    <w:lvl w:ilvl="0" w:tplc="311C4B04">
      <w:start w:val="1"/>
      <w:numFmt w:val="lowerLetter"/>
      <w:lvlText w:val="%1."/>
      <w:lvlJc w:val="left"/>
      <w:pPr>
        <w:ind w:left="720" w:hanging="360"/>
      </w:pPr>
      <w:rPr>
        <w:rFonts w:cs="Times New Roman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2682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B51A4A"/>
    <w:multiLevelType w:val="hybridMultilevel"/>
    <w:tmpl w:val="E3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977"/>
    <w:multiLevelType w:val="hybridMultilevel"/>
    <w:tmpl w:val="D0001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401D5"/>
    <w:multiLevelType w:val="hybridMultilevel"/>
    <w:tmpl w:val="F1F4AA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15462">
    <w:abstractNumId w:val="0"/>
  </w:num>
  <w:num w:numId="2" w16cid:durableId="325784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096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2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87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16639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EB"/>
    <w:rsid w:val="002805E6"/>
    <w:rsid w:val="0038075A"/>
    <w:rsid w:val="005912BF"/>
    <w:rsid w:val="007431EB"/>
    <w:rsid w:val="008240F1"/>
    <w:rsid w:val="00A02199"/>
    <w:rsid w:val="00A02ADE"/>
    <w:rsid w:val="00D44776"/>
    <w:rsid w:val="00ED67E5"/>
    <w:rsid w:val="00F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2C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szCs w:val="28"/>
      <w:lang w:val="en-A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1">
    <w:name w:val="Styl1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Header">
    <w:name w:val="header"/>
    <w:basedOn w:val="Normal"/>
    <w:link w:val="HeaderChar"/>
    <w:unhideWhenUsed/>
    <w:pPr>
      <w:keepNext/>
      <w:keepLines/>
      <w:tabs>
        <w:tab w:val="center" w:pos="4536"/>
        <w:tab w:val="right" w:pos="9072"/>
      </w:tabs>
    </w:pPr>
    <w:rPr>
      <w:rFonts w:ascii="Arial" w:hAnsi="Arial"/>
      <w:szCs w:val="20"/>
      <w:lang w:val="cs-CZ" w:eastAsia="en-US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Calibri" w:cs="Calibri"/>
      <w:lang w:eastAsia="cs-CZ"/>
    </w:rPr>
  </w:style>
  <w:style w:type="paragraph" w:customStyle="1" w:styleId="Paragraf">
    <w:name w:val="Paragraf"/>
    <w:basedOn w:val="Normal"/>
    <w:pPr>
      <w:ind w:left="703" w:hanging="703"/>
      <w:jc w:val="both"/>
    </w:pPr>
    <w:rPr>
      <w:szCs w:val="20"/>
      <w:lang w:val="cs-CZ" w:eastAsia="cs-CZ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Cs w:val="28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3BA1BC7AE1C40BD50A84870690FF6" ma:contentTypeVersion="16" ma:contentTypeDescription="Vytvoří nový dokument" ma:contentTypeScope="" ma:versionID="1dbe4f1fc3dc263e978b18d3fe7f9bb6">
  <xsd:schema xmlns:xsd="http://www.w3.org/2001/XMLSchema" xmlns:xs="http://www.w3.org/2001/XMLSchema" xmlns:p="http://schemas.microsoft.com/office/2006/metadata/properties" xmlns:ns2="c8584d24-786c-4b53-98fd-bbadf85a3ce4" xmlns:ns3="b558c166-86ab-412d-968f-c2edc7a500d8" targetNamespace="http://schemas.microsoft.com/office/2006/metadata/properties" ma:root="true" ma:fieldsID="4648f4778b1429bb67c4f7ff35369a9b" ns2:_="" ns3:_="">
    <xsd:import namespace="c8584d24-786c-4b53-98fd-bbadf85a3ce4"/>
    <xsd:import namespace="b558c166-86ab-412d-968f-c2edc7a50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4d24-786c-4b53-98fd-bbadf85a3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4edd9a4-fe7e-45bb-8bfe-0d9413413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c166-86ab-412d-968f-c2edc7a50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1edf9-9718-4429-976a-098e7ca11a94}" ma:internalName="TaxCatchAll" ma:showField="CatchAllData" ma:web="b558c166-86ab-412d-968f-c2edc7a50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8c166-86ab-412d-968f-c2edc7a500d8" xsi:nil="true"/>
    <lcf76f155ced4ddcb4097134ff3c332f xmlns="c8584d24-786c-4b53-98fd-bbadf85a3c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71D6D-87EC-4792-BD0E-07E78367F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ED0A-DED0-4011-9AE0-A91D76F7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4d24-786c-4b53-98fd-bbadf85a3ce4"/>
    <ds:schemaRef ds:uri="b558c166-86ab-412d-968f-c2edc7a50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416DA-9A8D-432C-ABF5-96B104831BC9}">
  <ds:schemaRefs>
    <ds:schemaRef ds:uri="http://schemas.microsoft.com/office/2006/metadata/properties"/>
    <ds:schemaRef ds:uri="http://schemas.microsoft.com/office/infopath/2007/PartnerControls"/>
    <ds:schemaRef ds:uri="b558c166-86ab-412d-968f-c2edc7a500d8"/>
    <ds:schemaRef ds:uri="c8584d24-786c-4b53-98fd-bbadf85a3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2023-02-17T16:00:00Z</dcterms:created>
  <dcterms:modified xsi:type="dcterms:W3CDTF">2023-03-07T11:05:00Z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0x010100ADF3BA1BC7AE1C40BD50A84870690FF6</vt:lpwstr>
  </property>
</Properties>
</file>