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0F" w:rsidRDefault="00282D1C" w:rsidP="003A6C0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1</w:t>
      </w:r>
      <w:r w:rsidR="005A3DD8">
        <w:rPr>
          <w:b/>
          <w:snapToGrid w:val="0"/>
          <w:sz w:val="28"/>
          <w:szCs w:val="28"/>
        </w:rPr>
        <w:t>6</w:t>
      </w:r>
    </w:p>
    <w:p w:rsidR="0007340E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 nájmu prostor slo</w:t>
      </w:r>
      <w:r w:rsidR="0007340E">
        <w:rPr>
          <w:snapToGrid w:val="0"/>
          <w:sz w:val="24"/>
          <w:szCs w:val="24"/>
        </w:rPr>
        <w:t>užících k podnikání č. 963/2006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uzavřené 21.12.2006 mezi smluvními stranami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</w:p>
    <w:p w:rsidR="00474668" w:rsidRPr="008E4B37" w:rsidRDefault="00474668" w:rsidP="003A6C0F">
      <w:pPr>
        <w:jc w:val="center"/>
        <w:rPr>
          <w:snapToGrid w:val="0"/>
          <w:sz w:val="24"/>
          <w:szCs w:val="24"/>
        </w:rPr>
      </w:pPr>
    </w:p>
    <w:p w:rsidR="003A6C0F" w:rsidRDefault="003A6C0F" w:rsidP="003A6C0F">
      <w:pPr>
        <w:rPr>
          <w:b/>
          <w:sz w:val="24"/>
        </w:rPr>
      </w:pPr>
    </w:p>
    <w:p w:rsidR="003A6C0F" w:rsidRDefault="003A6C0F" w:rsidP="003A6C0F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3A6C0F" w:rsidRDefault="0007340E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4123AF">
        <w:rPr>
          <w:sz w:val="24"/>
        </w:rPr>
        <w:t>Statutární orgán:</w:t>
      </w:r>
      <w:r>
        <w:rPr>
          <w:sz w:val="24"/>
        </w:rPr>
        <w:t xml:space="preserve">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ve věcech smluvních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DIČ: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ind w:left="1470"/>
        <w:rPr>
          <w:sz w:val="24"/>
        </w:rPr>
      </w:pPr>
      <w:r>
        <w:rPr>
          <w:sz w:val="24"/>
        </w:rPr>
        <w:t>Povodí Ohře, státní podnik je zapsán v obchodním rejstříku u Krajského soudu   v Ústí nad Labem v oddílu A, vložka č. 13052</w:t>
      </w:r>
    </w:p>
    <w:p w:rsidR="003A6C0F" w:rsidRDefault="003A6C0F" w:rsidP="003A6C0F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3A6C0F" w:rsidRDefault="00474668" w:rsidP="003A6C0F">
      <w:pPr>
        <w:rPr>
          <w:b/>
          <w:sz w:val="22"/>
        </w:rPr>
      </w:pPr>
      <w:r>
        <w:rPr>
          <w:b/>
          <w:sz w:val="22"/>
        </w:rPr>
        <w:t>a</w:t>
      </w:r>
    </w:p>
    <w:p w:rsidR="00474668" w:rsidRDefault="00474668" w:rsidP="003A6C0F">
      <w:pPr>
        <w:rPr>
          <w:b/>
          <w:sz w:val="22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>Petra Drahošová – YES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F35AB3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Petra Drahošová má vydaný živnostenský list Magistrátem města Karlovy </w:t>
      </w:r>
    </w:p>
    <w:p w:rsidR="003A6C0F" w:rsidRDefault="00F35AB3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A6C0F">
        <w:rPr>
          <w:sz w:val="24"/>
        </w:rPr>
        <w:t>Vary,</w:t>
      </w:r>
      <w:r>
        <w:rPr>
          <w:sz w:val="24"/>
        </w:rPr>
        <w:t xml:space="preserve"> </w:t>
      </w:r>
      <w:r w:rsidR="003A6C0F">
        <w:rPr>
          <w:sz w:val="24"/>
        </w:rPr>
        <w:t>odborem obecní živnostenský úřad č.j. ŽÚ/F/01/1070/2004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Bankovní spojení:</w:t>
      </w:r>
      <w:r>
        <w:rPr>
          <w:sz w:val="24"/>
        </w:rPr>
        <w:tab/>
      </w:r>
      <w:r>
        <w:rPr>
          <w:sz w:val="24"/>
        </w:rPr>
        <w:tab/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3A6C0F" w:rsidRDefault="003A6C0F" w:rsidP="003A6C0F">
      <w:pPr>
        <w:widowControl w:val="0"/>
        <w:ind w:left="144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,,nájemce‘‘)</w:t>
      </w:r>
    </w:p>
    <w:p w:rsidR="003A6C0F" w:rsidRDefault="003A6C0F" w:rsidP="003A6C0F">
      <w:pPr>
        <w:widowControl w:val="0"/>
        <w:ind w:left="1440"/>
        <w:rPr>
          <w:sz w:val="24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pStyle w:val="Zkladntext"/>
        <w:jc w:val="both"/>
      </w:pPr>
      <w:r>
        <w:t>Tímto dodatkem se mění ustanovení článku IV., třetí</w:t>
      </w:r>
      <w:r w:rsidR="006D7D80">
        <w:t xml:space="preserve"> a pátá věta </w:t>
      </w:r>
      <w:r w:rsidR="0007340E">
        <w:t xml:space="preserve">odst. č. 1 </w:t>
      </w:r>
      <w:r w:rsidR="006D7D80">
        <w:t>článku V.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</w:p>
    <w:p w:rsidR="003A6C0F" w:rsidRDefault="003A6C0F" w:rsidP="008B0806">
      <w:pPr>
        <w:pStyle w:val="Zkladntext"/>
        <w:jc w:val="center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  <w:r>
        <w:t>Nájem pronajaté plochy nebytových prostor bude v souladu se zákonem č. 235/2004 Sb. o DPH v platném znění považován za plnění od daně osvobozené.</w:t>
      </w:r>
    </w:p>
    <w:p w:rsidR="008E5A5C" w:rsidRDefault="008E5A5C" w:rsidP="003A6C0F">
      <w:pPr>
        <w:pStyle w:val="Zkladntext"/>
        <w:jc w:val="both"/>
      </w:pPr>
      <w:bookmarkStart w:id="0" w:name="_MON_1326106507"/>
      <w:bookmarkStart w:id="1" w:name="_MON_1326188247"/>
      <w:bookmarkStart w:id="2" w:name="_MON_1326516645"/>
      <w:bookmarkStart w:id="3" w:name="_MON_1356159116"/>
      <w:bookmarkStart w:id="4" w:name="_MON_1356160087"/>
      <w:bookmarkStart w:id="5" w:name="_MON_1357098037"/>
      <w:bookmarkStart w:id="6" w:name="_MON_1357098120"/>
      <w:bookmarkStart w:id="7" w:name="_MON_1387794317"/>
      <w:bookmarkStart w:id="8" w:name="_MON_1388992526"/>
      <w:bookmarkStart w:id="9" w:name="_MON_1390026005"/>
      <w:bookmarkStart w:id="10" w:name="_MON_1421039973"/>
      <w:bookmarkStart w:id="11" w:name="_MON_1430709515"/>
      <w:bookmarkStart w:id="12" w:name="_MON_1432965452"/>
      <w:bookmarkStart w:id="13" w:name="_MON_1433129066"/>
      <w:bookmarkStart w:id="14" w:name="_MON_1433129310"/>
      <w:bookmarkStart w:id="15" w:name="_MON_1089525621"/>
      <w:bookmarkStart w:id="16" w:name="_MON_1089525819"/>
      <w:bookmarkStart w:id="17" w:name="_MON_1089526078"/>
      <w:bookmarkStart w:id="18" w:name="_MON_1089526131"/>
      <w:bookmarkStart w:id="19" w:name="_MON_1089526177"/>
      <w:bookmarkStart w:id="20" w:name="_MON_1089526973"/>
      <w:bookmarkStart w:id="21" w:name="_MON_1089527415"/>
      <w:bookmarkStart w:id="22" w:name="_MON_1089527599"/>
      <w:bookmarkStart w:id="23" w:name="_MON_1089527734"/>
      <w:bookmarkStart w:id="24" w:name="_MON_1089528173"/>
      <w:bookmarkStart w:id="25" w:name="_MON_1089528189"/>
      <w:bookmarkStart w:id="26" w:name="_MON_1089528209"/>
      <w:bookmarkStart w:id="27" w:name="_MON_1089528233"/>
      <w:bookmarkStart w:id="28" w:name="_MON_1089528257"/>
      <w:bookmarkStart w:id="29" w:name="_MON_1089528569"/>
      <w:bookmarkStart w:id="30" w:name="_MON_1089528591"/>
      <w:bookmarkStart w:id="31" w:name="_MON_1089528622"/>
      <w:bookmarkStart w:id="32" w:name="_MON_1089528902"/>
      <w:bookmarkStart w:id="33" w:name="_MON_1089528945"/>
      <w:bookmarkStart w:id="34" w:name="_MON_1089529005"/>
      <w:bookmarkStart w:id="35" w:name="_MON_1089530959"/>
      <w:bookmarkStart w:id="36" w:name="_MON_1091424282"/>
      <w:bookmarkStart w:id="37" w:name="_MON_1091425518"/>
      <w:bookmarkStart w:id="38" w:name="_MON_1091425650"/>
      <w:bookmarkStart w:id="39" w:name="_MON_1091425691"/>
      <w:bookmarkStart w:id="40" w:name="_MON_1091425838"/>
      <w:bookmarkStart w:id="41" w:name="_MON_1091425864"/>
      <w:bookmarkStart w:id="42" w:name="_MON_1091427020"/>
      <w:bookmarkStart w:id="43" w:name="_MON_1091435850"/>
      <w:bookmarkStart w:id="44" w:name="_MON_1091436306"/>
      <w:bookmarkStart w:id="45" w:name="_MON_1097912776"/>
      <w:bookmarkStart w:id="46" w:name="_MON_1222661678"/>
      <w:bookmarkStart w:id="47" w:name="_MON_1222661992"/>
      <w:bookmarkStart w:id="48" w:name="_MON_1641369995"/>
      <w:bookmarkStart w:id="49" w:name="_MON_1223124684"/>
      <w:bookmarkStart w:id="50" w:name="_MON_1641640765"/>
      <w:bookmarkStart w:id="51" w:name="_MON_1223277006"/>
      <w:bookmarkStart w:id="52" w:name="_MON_1641810238"/>
      <w:bookmarkStart w:id="53" w:name="_MON_1223277663"/>
      <w:bookmarkStart w:id="54" w:name="_MON_1641888334"/>
      <w:bookmarkStart w:id="55" w:name="_MON_1223277966"/>
      <w:bookmarkStart w:id="56" w:name="_MON_1641892305"/>
      <w:bookmarkStart w:id="57" w:name="_MON_1223279491"/>
      <w:bookmarkStart w:id="58" w:name="_MON_1642392240"/>
      <w:bookmarkStart w:id="59" w:name="_MON_1223279690"/>
      <w:bookmarkStart w:id="60" w:name="_MON_1223279766"/>
      <w:bookmarkStart w:id="61" w:name="_MON_1650104149"/>
      <w:bookmarkStart w:id="62" w:name="_MON_1223279869"/>
      <w:bookmarkStart w:id="63" w:name="_MON_1223279886"/>
      <w:bookmarkStart w:id="64" w:name="_MON_1650781952"/>
      <w:bookmarkStart w:id="65" w:name="_MON_1223722371"/>
      <w:bookmarkStart w:id="66" w:name="_MON_1663387873"/>
      <w:bookmarkStart w:id="67" w:name="_MON_1223723315"/>
      <w:bookmarkStart w:id="68" w:name="_MON_1224062681"/>
      <w:bookmarkStart w:id="69" w:name="_MON_1224063090"/>
      <w:bookmarkStart w:id="70" w:name="_MON_1224302824"/>
      <w:bookmarkStart w:id="71" w:name="_MON_1224317961"/>
      <w:bookmarkStart w:id="72" w:name="_MON_1224318403"/>
      <w:bookmarkStart w:id="73" w:name="_MON_1265688585"/>
      <w:bookmarkStart w:id="74" w:name="_MON_1294045594"/>
      <w:bookmarkStart w:id="75" w:name="_MON_1322649536"/>
      <w:bookmarkStart w:id="76" w:name="_MON_1325327685"/>
      <w:bookmarkStart w:id="77" w:name="_MON_1325327715"/>
      <w:bookmarkStart w:id="78" w:name="_MON_13259199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tbl>
      <w:tblPr>
        <w:tblW w:w="9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113"/>
        <w:gridCol w:w="1113"/>
        <w:gridCol w:w="1113"/>
        <w:gridCol w:w="1113"/>
        <w:gridCol w:w="1073"/>
        <w:gridCol w:w="1004"/>
        <w:gridCol w:w="1143"/>
      </w:tblGrid>
      <w:tr w:rsidR="005A3DD8" w:rsidRPr="005A3DD8" w:rsidTr="005A3DD8">
        <w:trPr>
          <w:trHeight w:val="291"/>
        </w:trPr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  <w:b/>
                <w:bCs/>
              </w:rPr>
            </w:pPr>
            <w:r w:rsidRPr="005A3DD8">
              <w:rPr>
                <w:rFonts w:ascii="Arial CE" w:hAnsi="Arial CE" w:cs="Arial CE"/>
                <w:b/>
                <w:bCs/>
              </w:rPr>
              <w:t>r. 2023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  <w:sz w:val="16"/>
                <w:szCs w:val="16"/>
              </w:rPr>
            </w:pPr>
            <w:r w:rsidRPr="005A3DD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A3DD8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sazba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čtvrtletní úhrada</w:t>
            </w:r>
          </w:p>
        </w:tc>
      </w:tr>
      <w:tr w:rsidR="005A3DD8" w:rsidRPr="005A3DD8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m2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cena 1 m2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roční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čtvrtletní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DPH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DPH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celkem</w:t>
            </w:r>
          </w:p>
        </w:tc>
      </w:tr>
      <w:tr w:rsidR="005A3DD8" w:rsidRPr="005A3DD8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17,00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1 300,00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22 100,00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5 525,00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5 525,00</w:t>
            </w:r>
          </w:p>
        </w:tc>
      </w:tr>
      <w:tr w:rsidR="005A3DD8" w:rsidRPr="005A3DD8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5A3DD8">
              <w:rPr>
                <w:rFonts w:ascii="Arial CE" w:hAnsi="Arial CE" w:cs="Arial CE"/>
              </w:rPr>
              <w:t>teplo,vodné</w:t>
            </w:r>
            <w:proofErr w:type="gramEnd"/>
            <w:r w:rsidRPr="005A3DD8">
              <w:rPr>
                <w:rFonts w:ascii="Arial CE" w:hAnsi="Arial CE" w:cs="Arial CE"/>
              </w:rPr>
              <w:t>,stoč</w:t>
            </w:r>
            <w:proofErr w:type="spellEnd"/>
            <w:r w:rsidRPr="005A3DD8">
              <w:rPr>
                <w:rFonts w:ascii="Arial CE" w:hAnsi="Arial CE" w:cs="Arial CE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17,00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282,00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4 794,00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1 198,50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5A3DD8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119,85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1 318,35</w:t>
            </w:r>
          </w:p>
        </w:tc>
      </w:tr>
      <w:tr w:rsidR="005A3DD8" w:rsidRPr="005A3DD8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služby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17,00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1 105,00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18 785,00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4 696,25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5A3DD8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986,21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5 682,46</w:t>
            </w:r>
          </w:p>
        </w:tc>
      </w:tr>
      <w:tr w:rsidR="005A3DD8" w:rsidRPr="005A3DD8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D8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3DD8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4 223,41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1 055,85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5A3DD8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221,73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1 277,58</w:t>
            </w:r>
          </w:p>
        </w:tc>
      </w:tr>
      <w:tr w:rsidR="005A3DD8" w:rsidRPr="005A3DD8" w:rsidTr="005A3DD8">
        <w:trPr>
          <w:trHeight w:val="306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  <w:b/>
                <w:bCs/>
              </w:rPr>
            </w:pPr>
            <w:r w:rsidRPr="005A3DD8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49 902,41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12 475,60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</w:rPr>
            </w:pPr>
            <w:r w:rsidRPr="005A3DD8">
              <w:rPr>
                <w:rFonts w:ascii="Arial CE" w:hAnsi="Arial CE" w:cs="Arial CE"/>
              </w:rPr>
              <w:t>1 327,7</w:t>
            </w:r>
            <w:r w:rsidR="00E25B7B">
              <w:rPr>
                <w:rFonts w:ascii="Arial CE" w:hAnsi="Arial CE" w:cs="Arial CE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5A3DD8" w:rsidRDefault="005A3DD8" w:rsidP="005A3DD8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5A3DD8">
              <w:rPr>
                <w:rFonts w:ascii="Arial CE" w:hAnsi="Arial CE" w:cs="Arial CE"/>
                <w:b/>
                <w:bCs/>
              </w:rPr>
              <w:t>13 803,39</w:t>
            </w:r>
          </w:p>
        </w:tc>
      </w:tr>
    </w:tbl>
    <w:p w:rsidR="005A3DD8" w:rsidRDefault="005A3DD8" w:rsidP="003A6C0F">
      <w:pPr>
        <w:pStyle w:val="Zkladntext"/>
        <w:jc w:val="both"/>
      </w:pPr>
    </w:p>
    <w:p w:rsidR="008E5A5C" w:rsidRDefault="008E5A5C" w:rsidP="003A6C0F">
      <w:pPr>
        <w:pStyle w:val="Zkladntext"/>
        <w:jc w:val="both"/>
      </w:pPr>
    </w:p>
    <w:p w:rsidR="00864026" w:rsidRDefault="003A6C0F" w:rsidP="003A6C0F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474668" w:rsidRDefault="00474668" w:rsidP="003A6C0F">
      <w:pPr>
        <w:pStyle w:val="Zkladntext"/>
        <w:jc w:val="both"/>
      </w:pPr>
    </w:p>
    <w:p w:rsidR="006D7D80" w:rsidRDefault="006D7D80" w:rsidP="00DD5D76">
      <w:pPr>
        <w:pStyle w:val="Zkladntext"/>
        <w:jc w:val="center"/>
        <w:rPr>
          <w:b/>
        </w:rPr>
      </w:pPr>
      <w:r w:rsidRPr="00236178">
        <w:rPr>
          <w:b/>
        </w:rPr>
        <w:t>V.</w:t>
      </w:r>
      <w:r w:rsidRPr="00236178">
        <w:rPr>
          <w:b/>
        </w:rPr>
        <w:tab/>
        <w:t>Splatnost nájemného a ceny služeb</w:t>
      </w:r>
    </w:p>
    <w:p w:rsidR="0007340E" w:rsidRDefault="0007340E" w:rsidP="006D7D80">
      <w:pPr>
        <w:pStyle w:val="Zkladntext"/>
        <w:jc w:val="both"/>
        <w:rPr>
          <w:b/>
        </w:rPr>
      </w:pPr>
    </w:p>
    <w:p w:rsidR="00E27CA6" w:rsidRPr="00E27CA6" w:rsidRDefault="00E27CA6" w:rsidP="00E27CA6">
      <w:pPr>
        <w:ind w:left="284" w:hanging="284"/>
        <w:jc w:val="both"/>
        <w:rPr>
          <w:sz w:val="24"/>
        </w:rPr>
      </w:pPr>
      <w:r w:rsidRPr="00E27CA6">
        <w:rPr>
          <w:sz w:val="24"/>
        </w:rPr>
        <w:t>Odst. 1, změna třetí a čtvrté věty:</w:t>
      </w:r>
    </w:p>
    <w:p w:rsidR="00E27CA6" w:rsidRPr="00E27CA6" w:rsidRDefault="00E27CA6" w:rsidP="00E27CA6">
      <w:pPr>
        <w:ind w:left="284" w:hanging="284"/>
        <w:jc w:val="both"/>
        <w:rPr>
          <w:sz w:val="24"/>
        </w:rPr>
      </w:pPr>
    </w:p>
    <w:p w:rsidR="00E27CA6" w:rsidRPr="00E27CA6" w:rsidRDefault="00E27CA6" w:rsidP="00E27CA6">
      <w:pPr>
        <w:jc w:val="both"/>
        <w:rPr>
          <w:sz w:val="24"/>
        </w:rPr>
      </w:pPr>
      <w:r w:rsidRPr="00E27CA6">
        <w:rPr>
          <w:sz w:val="24"/>
        </w:rPr>
        <w:t xml:space="preserve">Výše </w:t>
      </w:r>
      <w:r w:rsidR="00431288">
        <w:rPr>
          <w:sz w:val="24"/>
        </w:rPr>
        <w:t>čtvrtletního</w:t>
      </w:r>
      <w:r w:rsidRPr="00E27CA6">
        <w:rPr>
          <w:sz w:val="24"/>
        </w:rPr>
        <w:t xml:space="preserve"> nájemného od 1.1.2023 činí </w:t>
      </w:r>
      <w:r w:rsidR="007A3B65">
        <w:rPr>
          <w:sz w:val="24"/>
        </w:rPr>
        <w:t>13 803.39</w:t>
      </w:r>
      <w:r w:rsidRPr="00E27CA6">
        <w:rPr>
          <w:sz w:val="24"/>
        </w:rPr>
        <w:t xml:space="preserve"> Kč vč. DPH. Vyúčtování doplatku nájemného za 1. čtvrtletí roku 2023 proběhne při vyúčtování nájemného na 2. čtvrtletí roku 2023 podle daňového dokladu a údajů v něm uvedených.</w:t>
      </w:r>
    </w:p>
    <w:p w:rsidR="00E27CA6" w:rsidRPr="00E27CA6" w:rsidRDefault="00E27CA6" w:rsidP="00E27CA6">
      <w:pPr>
        <w:jc w:val="both"/>
        <w:rPr>
          <w:sz w:val="24"/>
        </w:rPr>
      </w:pPr>
    </w:p>
    <w:p w:rsidR="00E27CA6" w:rsidRPr="00E27CA6" w:rsidRDefault="00E27CA6" w:rsidP="00E27CA6">
      <w:pPr>
        <w:jc w:val="both"/>
        <w:rPr>
          <w:sz w:val="24"/>
        </w:rPr>
      </w:pPr>
      <w:r w:rsidRPr="00E27CA6">
        <w:rPr>
          <w:sz w:val="24"/>
        </w:rPr>
        <w:t xml:space="preserve">Nájemné a služby ve výši jednoho měsíčního nájmu vč. DPH bude placeno pronajímateli podle daňového dokladu a údajů v něm uvedených vždy do 15. dne prostředního měsíce předcházejícího čtvrtletí, tj. </w:t>
      </w:r>
    </w:p>
    <w:p w:rsidR="00E27CA6" w:rsidRPr="00E27CA6" w:rsidRDefault="00E27CA6" w:rsidP="00E27CA6">
      <w:pPr>
        <w:ind w:left="284" w:hanging="284"/>
        <w:jc w:val="both"/>
        <w:rPr>
          <w:sz w:val="24"/>
        </w:rPr>
      </w:pPr>
      <w:r w:rsidRPr="00E27CA6">
        <w:rPr>
          <w:sz w:val="24"/>
        </w:rPr>
        <w:tab/>
      </w:r>
      <w:r w:rsidRPr="00E27CA6">
        <w:rPr>
          <w:sz w:val="24"/>
        </w:rPr>
        <w:tab/>
      </w:r>
    </w:p>
    <w:p w:rsidR="00E27CA6" w:rsidRPr="00E27CA6" w:rsidRDefault="00E27CA6" w:rsidP="00E27CA6">
      <w:pPr>
        <w:jc w:val="both"/>
        <w:rPr>
          <w:sz w:val="24"/>
        </w:rPr>
      </w:pPr>
      <w:r w:rsidRPr="00E27CA6">
        <w:rPr>
          <w:sz w:val="24"/>
        </w:rPr>
        <w:t>15. května 2023</w:t>
      </w:r>
      <w:r w:rsidRPr="00E27CA6">
        <w:rPr>
          <w:sz w:val="24"/>
        </w:rPr>
        <w:tab/>
      </w:r>
      <w:r w:rsidRPr="00E27CA6">
        <w:rPr>
          <w:sz w:val="24"/>
        </w:rPr>
        <w:tab/>
      </w:r>
      <w:r w:rsidR="007A3B65">
        <w:rPr>
          <w:sz w:val="24"/>
        </w:rPr>
        <w:t>13 803,39</w:t>
      </w:r>
      <w:r w:rsidRPr="00E27CA6">
        <w:rPr>
          <w:sz w:val="24"/>
        </w:rPr>
        <w:t xml:space="preserve"> Kč vč. DPH (nájemné na 3. čtvrtletí 2023) atd.</w:t>
      </w:r>
    </w:p>
    <w:p w:rsidR="00E27CA6" w:rsidRPr="00E27CA6" w:rsidRDefault="00E27CA6" w:rsidP="00E27CA6">
      <w:pPr>
        <w:contextualSpacing/>
        <w:jc w:val="both"/>
        <w:rPr>
          <w:sz w:val="24"/>
        </w:rPr>
      </w:pPr>
    </w:p>
    <w:p w:rsidR="00E27CA6" w:rsidRPr="00E27CA6" w:rsidRDefault="00E27CA6" w:rsidP="00E27CA6">
      <w:pPr>
        <w:contextualSpacing/>
        <w:jc w:val="both"/>
        <w:rPr>
          <w:sz w:val="24"/>
          <w:szCs w:val="24"/>
        </w:rPr>
      </w:pPr>
      <w:r w:rsidRPr="00E27CA6">
        <w:rPr>
          <w:sz w:val="24"/>
          <w:szCs w:val="24"/>
        </w:rPr>
        <w:t>Odstavec 4, změna celého ujednání:</w:t>
      </w:r>
    </w:p>
    <w:p w:rsidR="00E27CA6" w:rsidRPr="00E27CA6" w:rsidRDefault="00E27CA6" w:rsidP="00E27CA6">
      <w:pPr>
        <w:contextualSpacing/>
        <w:jc w:val="both"/>
        <w:rPr>
          <w:sz w:val="24"/>
          <w:szCs w:val="24"/>
        </w:rPr>
      </w:pPr>
    </w:p>
    <w:p w:rsidR="00E27CA6" w:rsidRPr="00E27CA6" w:rsidRDefault="00E27CA6" w:rsidP="00E27CA6">
      <w:pPr>
        <w:contextualSpacing/>
        <w:jc w:val="both"/>
        <w:rPr>
          <w:sz w:val="24"/>
          <w:szCs w:val="24"/>
        </w:rPr>
      </w:pPr>
      <w:r w:rsidRPr="00E27CA6">
        <w:rPr>
          <w:sz w:val="24"/>
          <w:szCs w:val="24"/>
        </w:rPr>
        <w:t>Za uplynulý rok 2022 je dohodou započtena míra inflace pro rok 2023 ve výši 9,797 %, tzn. roční nájemné je stanoveno pro rok 2023 na 1 300 Kč/m</w:t>
      </w:r>
      <w:r w:rsidRPr="00E27CA6">
        <w:rPr>
          <w:sz w:val="24"/>
          <w:szCs w:val="24"/>
          <w:vertAlign w:val="superscript"/>
        </w:rPr>
        <w:t>2</w:t>
      </w:r>
      <w:r w:rsidRPr="00E27CA6">
        <w:rPr>
          <w:sz w:val="24"/>
          <w:szCs w:val="24"/>
        </w:rPr>
        <w:t>. Od roku 2024 bude výše úhrady nájemného každoročně upravována podle roční míry inflace za předcházející rok, měřené indexem spotřebitelských cen dle Českého statistického úřadu. Tato změna bude realizována o plnou kladnou míru inflace, a to automaticky po vyhlášení indexu ČSÚ, a to zpětně vždy k 1. 1. daného roku, v němž byl index vyhlášen.</w:t>
      </w:r>
    </w:p>
    <w:p w:rsidR="00E27CA6" w:rsidRPr="00E27CA6" w:rsidRDefault="00E27CA6" w:rsidP="00E27CA6">
      <w:pPr>
        <w:rPr>
          <w:bCs/>
          <w:iCs/>
          <w:color w:val="000000"/>
          <w:sz w:val="24"/>
          <w:szCs w:val="24"/>
        </w:rPr>
      </w:pPr>
    </w:p>
    <w:p w:rsidR="00E27CA6" w:rsidRPr="00E27CA6" w:rsidRDefault="00E27CA6" w:rsidP="00E27CA6">
      <w:pPr>
        <w:rPr>
          <w:bCs/>
          <w:iCs/>
          <w:color w:val="000000"/>
          <w:sz w:val="24"/>
          <w:szCs w:val="24"/>
        </w:rPr>
      </w:pPr>
      <w:r w:rsidRPr="00E27CA6"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E27CA6" w:rsidRPr="00E27CA6" w:rsidRDefault="00E27CA6" w:rsidP="00E27CA6">
      <w:pPr>
        <w:jc w:val="both"/>
        <w:rPr>
          <w:b/>
          <w:sz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</w:t>
      </w:r>
      <w:r w:rsidR="00F21846">
        <w:rPr>
          <w:bCs/>
          <w:iCs/>
          <w:color w:val="000000"/>
          <w:sz w:val="24"/>
          <w:szCs w:val="24"/>
        </w:rPr>
        <w:t>6</w:t>
      </w:r>
      <w:r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</w:t>
      </w:r>
      <w:r w:rsidR="00F21846">
        <w:rPr>
          <w:bCs/>
          <w:iCs/>
          <w:color w:val="000000"/>
          <w:sz w:val="24"/>
          <w:szCs w:val="24"/>
        </w:rPr>
        <w:t>6</w:t>
      </w:r>
      <w:r>
        <w:rPr>
          <w:bCs/>
          <w:iCs/>
          <w:color w:val="000000"/>
          <w:sz w:val="24"/>
          <w:szCs w:val="24"/>
        </w:rPr>
        <w:t xml:space="preserve"> smlouvy č. 963/2006 nabývá platnosti dnem jeho podpisu poslední ze smluvních stran a účinnosti zveřejněním v Registru smluv.</w:t>
      </w:r>
    </w:p>
    <w:p w:rsidR="008E5A5C" w:rsidRDefault="008E5A5C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732E7B" w:rsidRDefault="00732E7B" w:rsidP="00732E7B">
      <w:pPr>
        <w:autoSpaceDE w:val="0"/>
        <w:autoSpaceDN w:val="0"/>
        <w:adjustRightInd w:val="0"/>
        <w:rPr>
          <w:rFonts w:ascii="Arial" w:hAnsi="Arial" w:cs="Arial"/>
        </w:rPr>
      </w:pPr>
      <w:bookmarkStart w:id="79" w:name="_Hlk95201356"/>
      <w:bookmarkStart w:id="80" w:name="_GoBack"/>
      <w:bookmarkEnd w:id="80"/>
      <w:r>
        <w:rPr>
          <w:rFonts w:ascii="Arial" w:hAnsi="Arial" w:cs="Arial"/>
        </w:rPr>
        <w:t>Karlovy Vary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Povodí Ohře, státní podnik</w:t>
      </w:r>
      <w:r w:rsidRPr="00BF491C">
        <w:rPr>
          <w:rFonts w:ascii="Arial" w:hAnsi="Arial" w:cs="Arial"/>
        </w:rPr>
        <w:tab/>
        <w:t xml:space="preserve"> </w:t>
      </w:r>
    </w:p>
    <w:p w:rsidR="00732E7B" w:rsidRDefault="00732E7B" w:rsidP="00732E7B">
      <w:pPr>
        <w:jc w:val="both"/>
        <w:rPr>
          <w:sz w:val="24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pronajímatel</w:t>
      </w:r>
    </w:p>
    <w:bookmarkEnd w:id="79"/>
    <w:p w:rsidR="00732E7B" w:rsidRDefault="00732E7B" w:rsidP="00732E7B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</w:p>
    <w:sectPr w:rsidR="00F0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4BC5"/>
    <w:multiLevelType w:val="hybridMultilevel"/>
    <w:tmpl w:val="D8B07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F"/>
    <w:rsid w:val="00007C3F"/>
    <w:rsid w:val="000611E1"/>
    <w:rsid w:val="0007340E"/>
    <w:rsid w:val="00087007"/>
    <w:rsid w:val="00126A04"/>
    <w:rsid w:val="001341B9"/>
    <w:rsid w:val="00144359"/>
    <w:rsid w:val="001A136C"/>
    <w:rsid w:val="0022581C"/>
    <w:rsid w:val="00282D1C"/>
    <w:rsid w:val="00292C7E"/>
    <w:rsid w:val="00306115"/>
    <w:rsid w:val="00322DE4"/>
    <w:rsid w:val="003A6C0F"/>
    <w:rsid w:val="003E2DF4"/>
    <w:rsid w:val="00400FB1"/>
    <w:rsid w:val="004123AF"/>
    <w:rsid w:val="00431288"/>
    <w:rsid w:val="00474668"/>
    <w:rsid w:val="004C12C7"/>
    <w:rsid w:val="00513E15"/>
    <w:rsid w:val="00540443"/>
    <w:rsid w:val="005A0DDA"/>
    <w:rsid w:val="005A3DD8"/>
    <w:rsid w:val="005B3587"/>
    <w:rsid w:val="00650BFB"/>
    <w:rsid w:val="006A7EC8"/>
    <w:rsid w:val="006D7D80"/>
    <w:rsid w:val="00731407"/>
    <w:rsid w:val="00732E7B"/>
    <w:rsid w:val="0075046E"/>
    <w:rsid w:val="00792D57"/>
    <w:rsid w:val="007A3B65"/>
    <w:rsid w:val="007B1042"/>
    <w:rsid w:val="007C60F8"/>
    <w:rsid w:val="007E6F98"/>
    <w:rsid w:val="00805F9E"/>
    <w:rsid w:val="008322D7"/>
    <w:rsid w:val="00864026"/>
    <w:rsid w:val="00893705"/>
    <w:rsid w:val="008A5EB0"/>
    <w:rsid w:val="008B0806"/>
    <w:rsid w:val="008E5A5C"/>
    <w:rsid w:val="008F725C"/>
    <w:rsid w:val="009211AA"/>
    <w:rsid w:val="00953B5D"/>
    <w:rsid w:val="009E4C92"/>
    <w:rsid w:val="00A44A55"/>
    <w:rsid w:val="00A74462"/>
    <w:rsid w:val="00AE6708"/>
    <w:rsid w:val="00B6575F"/>
    <w:rsid w:val="00BC00E4"/>
    <w:rsid w:val="00C43BE1"/>
    <w:rsid w:val="00C521D3"/>
    <w:rsid w:val="00C91720"/>
    <w:rsid w:val="00CE2B8D"/>
    <w:rsid w:val="00D9359C"/>
    <w:rsid w:val="00DC3DDE"/>
    <w:rsid w:val="00DD5D76"/>
    <w:rsid w:val="00E10BF1"/>
    <w:rsid w:val="00E166F9"/>
    <w:rsid w:val="00E25B7B"/>
    <w:rsid w:val="00E27CA6"/>
    <w:rsid w:val="00E43F93"/>
    <w:rsid w:val="00E574E8"/>
    <w:rsid w:val="00E63DAA"/>
    <w:rsid w:val="00E9059D"/>
    <w:rsid w:val="00E94B9D"/>
    <w:rsid w:val="00EB5A97"/>
    <w:rsid w:val="00F03980"/>
    <w:rsid w:val="00F21846"/>
    <w:rsid w:val="00F35AB3"/>
    <w:rsid w:val="00F371DB"/>
    <w:rsid w:val="00F72B2E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CAC0-36CA-4D10-B55A-7A84B81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E4C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E4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7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Parnahajova Iveta</dc:creator>
  <cp:lastModifiedBy>Věra Mikulášková DiS.</cp:lastModifiedBy>
  <cp:revision>2</cp:revision>
  <cp:lastPrinted>2022-01-31T10:23:00Z</cp:lastPrinted>
  <dcterms:created xsi:type="dcterms:W3CDTF">2023-03-13T06:16:00Z</dcterms:created>
  <dcterms:modified xsi:type="dcterms:W3CDTF">2023-03-13T06:16:00Z</dcterms:modified>
</cp:coreProperties>
</file>