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44D8C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C12DF0">
              <w:rPr>
                <w:rFonts w:cs="Georgia"/>
                <w:b/>
                <w:bCs/>
                <w:color w:val="000000"/>
                <w:sz w:val="43"/>
                <w:szCs w:val="43"/>
              </w:rPr>
              <w:t>075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C12DF0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  <w:r w:rsidR="00644D8C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 – </w:t>
            </w:r>
          </w:p>
          <w:p w:rsidR="0098229D" w:rsidRPr="00E34032" w:rsidRDefault="00644D8C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cs="Georgia"/>
                <w:b/>
                <w:bCs/>
                <w:color w:val="000000"/>
                <w:sz w:val="43"/>
                <w:szCs w:val="43"/>
              </w:rPr>
              <w:t>Dodatek č. 1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:rsidR="0098229D" w:rsidRPr="00B4150D" w:rsidRDefault="00B539F2" w:rsidP="00644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3" w:hanging="843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DE" w:rsidRPr="00E24129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318DE" w:rsidRPr="00B539F2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39F2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318DE" w:rsidRPr="00211B21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11B21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7318DE" w:rsidRPr="00211B21" w:rsidRDefault="00C12DF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Georgia"/>
                <w:b/>
                <w:color w:val="000000"/>
              </w:rPr>
              <w:t>Mgr. Martin Kincl</w:t>
            </w:r>
          </w:p>
        </w:tc>
      </w:tr>
      <w:tr w:rsidR="007318DE" w:rsidRPr="00E24129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7318DE" w:rsidRPr="00566F6C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8DE" w:rsidRPr="00EF5B87" w:rsidRDefault="00B01CA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n</w:t>
            </w:r>
            <w:r w:rsidR="007318DE" w:rsidRPr="00EF5B87">
              <w:rPr>
                <w:rFonts w:cs="Georgia"/>
                <w:color w:val="000000"/>
              </w:rPr>
              <w:t>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:rsidR="007318DE" w:rsidRPr="00211B21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11B21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7318DE" w:rsidRPr="00211B21" w:rsidRDefault="00C12DF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Pustá Kamenice 147</w:t>
            </w:r>
          </w:p>
        </w:tc>
      </w:tr>
      <w:tr w:rsidR="007318DE" w:rsidRPr="00E24129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:rsidR="007318DE" w:rsidRPr="00211B21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7318DE" w:rsidRPr="00211B21" w:rsidRDefault="00C12DF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569</w:t>
            </w:r>
            <w:r w:rsidR="007318DE" w:rsidRPr="00211B21">
              <w:rPr>
                <w:rFonts w:cs="Georgia"/>
                <w:color w:val="000000"/>
              </w:rPr>
              <w:t xml:space="preserve"> </w:t>
            </w:r>
            <w:r>
              <w:rPr>
                <w:rFonts w:cs="Georgia"/>
                <w:color w:val="000000"/>
              </w:rPr>
              <w:t>82</w:t>
            </w:r>
            <w:r w:rsidR="007318DE" w:rsidRPr="00211B21">
              <w:rPr>
                <w:rFonts w:cs="Georgia"/>
                <w:color w:val="000000"/>
              </w:rPr>
              <w:t xml:space="preserve"> </w:t>
            </w:r>
            <w:r>
              <w:rPr>
                <w:rFonts w:cs="Georgia"/>
                <w:color w:val="000000"/>
              </w:rPr>
              <w:t>Pustá Kamenice</w:t>
            </w:r>
          </w:p>
        </w:tc>
      </w:tr>
      <w:tr w:rsidR="007318DE" w:rsidRPr="00E24129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8DE" w:rsidRPr="00BC6B0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7318DE" w:rsidRPr="00211B21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11B21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7318DE" w:rsidRPr="00211B21" w:rsidRDefault="00C12DF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t>08107874</w:t>
            </w:r>
          </w:p>
        </w:tc>
      </w:tr>
      <w:tr w:rsidR="007318DE" w:rsidRPr="00E24129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:rsidR="007318DE" w:rsidRPr="00211B21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11B21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7318DE" w:rsidRPr="00211B21" w:rsidRDefault="00C12DF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-</w:t>
            </w:r>
          </w:p>
        </w:tc>
      </w:tr>
      <w:tr w:rsidR="00EF5B87" w:rsidRPr="00E24129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:rsidR="00EF5B87" w:rsidRPr="00211B21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EF5B87" w:rsidRPr="00211B21" w:rsidRDefault="009821E8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Není p</w:t>
            </w:r>
            <w:r w:rsidR="007318DE" w:rsidRPr="00211B21">
              <w:rPr>
                <w:rFonts w:cs="Arial"/>
                <w:b/>
                <w:color w:val="000000"/>
              </w:rPr>
              <w:t>látce DPH</w:t>
            </w:r>
          </w:p>
        </w:tc>
      </w:tr>
      <w:tr w:rsidR="007318DE" w:rsidRPr="00E24129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8DE" w:rsidRPr="00AF7E54" w:rsidRDefault="009D2BE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8DE" w:rsidRPr="00211B21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11B21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7318DE" w:rsidRPr="00211B21" w:rsidRDefault="009D2BE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7318DE" w:rsidRPr="00E24129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DE" w:rsidRPr="00AF7E54" w:rsidRDefault="009D2BE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DE" w:rsidRPr="00211B21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11B21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:rsidR="007318DE" w:rsidRPr="00211B21" w:rsidRDefault="009D2BE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7318DE" w:rsidRPr="00E24129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DE" w:rsidRPr="00AF7E54" w:rsidRDefault="009D2BE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DE" w:rsidRPr="00211B21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11B21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:rsidR="007318DE" w:rsidRPr="00211B21" w:rsidRDefault="009D2BE0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EF5B87" w:rsidRPr="00E24129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B87" w:rsidRPr="000563D1" w:rsidRDefault="009D2BE0" w:rsidP="009D2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B87" w:rsidRPr="00211B21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11B21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:rsidR="00EF5B87" w:rsidRPr="00211B21" w:rsidRDefault="009D2BE0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</w:t>
            </w:r>
          </w:p>
        </w:tc>
      </w:tr>
      <w:tr w:rsidR="00670F35" w:rsidRPr="00E24129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:rsidR="00670F35" w:rsidRPr="005F05D5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F05D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670F35" w:rsidRPr="00BB12DE" w:rsidRDefault="00BB12DE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0"/>
                <w:szCs w:val="20"/>
                <w:highlight w:val="yellow"/>
              </w:rPr>
            </w:pPr>
            <w:r w:rsidRPr="00BB12DE">
              <w:rPr>
                <w:rFonts w:cs="Georgia"/>
                <w:color w:val="000000"/>
                <w:sz w:val="20"/>
                <w:szCs w:val="20"/>
              </w:rPr>
              <w:t xml:space="preserve">Fyzická osoba podnikající dle živnostenského zákona zapsaná v Živnostenském rejstříku </w:t>
            </w:r>
            <w:r w:rsidR="00836E7B">
              <w:rPr>
                <w:rFonts w:cs="Georgia"/>
                <w:color w:val="000000"/>
                <w:sz w:val="20"/>
                <w:szCs w:val="20"/>
              </w:rPr>
              <w:t>MÚ Polička</w:t>
            </w:r>
            <w:r w:rsidRPr="00BB12DE">
              <w:rPr>
                <w:rFonts w:cs="Georg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4A01C8" w:rsidRPr="000F53D1" w:rsidTr="00D00E7A">
        <w:trPr>
          <w:cantSplit/>
          <w:trHeight w:val="907"/>
        </w:trPr>
        <w:tc>
          <w:tcPr>
            <w:tcW w:w="10495" w:type="dxa"/>
            <w:gridSpan w:val="2"/>
            <w:vAlign w:val="bottom"/>
          </w:tcPr>
          <w:p w:rsidR="004A01C8" w:rsidRPr="00957EDD" w:rsidRDefault="0060186B" w:rsidP="0060186B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Předmětem Dodatku č. 1 objednávky č. 075/2023 je úprava (zvýšení) rozsahu řešeného území na základě připravovaného zadání architektonické soutěže záměru </w:t>
            </w:r>
            <w:r>
              <w:rPr>
                <w:rFonts w:cs="Calibri"/>
              </w:rPr>
              <w:t>„Zabezpečení podjezdných výšek na Vltavské vodní cestě – most v ulici Za Elektrárnou“.</w:t>
            </w:r>
            <w:r>
              <w:t xml:space="preserve"> Úprava rozsahu představuje navýšení sjednané odměny o 11.000,00 Kč bez DPH. </w:t>
            </w:r>
          </w:p>
        </w:tc>
      </w:tr>
      <w:tr w:rsidR="004A01C8" w:rsidRPr="000F53D1" w:rsidTr="004A0AF8">
        <w:trPr>
          <w:cantSplit/>
          <w:trHeight w:val="40"/>
        </w:trPr>
        <w:tc>
          <w:tcPr>
            <w:tcW w:w="10495" w:type="dxa"/>
            <w:gridSpan w:val="2"/>
            <w:vAlign w:val="bottom"/>
          </w:tcPr>
          <w:p w:rsidR="004A01C8" w:rsidRPr="00A06319" w:rsidRDefault="0060186B" w:rsidP="004A01C8">
            <w:pPr>
              <w:autoSpaceDE w:val="0"/>
              <w:autoSpaceDN w:val="0"/>
              <w:adjustRightInd w:val="0"/>
              <w:spacing w:before="120" w:after="0" w:line="240" w:lineRule="auto"/>
              <w:ind w:right="108"/>
              <w:jc w:val="both"/>
            </w:pPr>
            <w:r>
              <w:rPr>
                <w:rFonts w:cs="Calibri"/>
              </w:rPr>
              <w:t xml:space="preserve">Navýšení rozsahu </w:t>
            </w:r>
            <w:r w:rsidR="00957EDD">
              <w:rPr>
                <w:rFonts w:cs="Calibri"/>
              </w:rPr>
              <w:t>dendrologického průzkumu</w:t>
            </w:r>
            <w:r>
              <w:rPr>
                <w:rFonts w:cs="Calibri"/>
              </w:rPr>
              <w:t>, resp. komplexní průzkum v zájmovém území,</w:t>
            </w:r>
            <w:r w:rsidR="004A01C8">
              <w:rPr>
                <w:rFonts w:cs="Calibri"/>
              </w:rPr>
              <w:t xml:space="preserve"> je nezbytné pro další projekční činnosti a zejména jako podklad pro zadání architektonické soutěže záměru „Zabezpečení podjezdných výšek na Vltavské vodní cestě – most v ulici Za Elektrárnou“.</w:t>
            </w:r>
          </w:p>
        </w:tc>
      </w:tr>
      <w:tr w:rsidR="0098229D" w:rsidRPr="000F53D1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AF4E6C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AF4E6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AF4E6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AF4E6C">
              <w:rPr>
                <w:rFonts w:cs="Arial"/>
                <w:color w:val="000000"/>
                <w:sz w:val="17"/>
                <w:szCs w:val="17"/>
              </w:rPr>
              <w:t>předávacího protokolu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AF4E6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9D2BE0" w:rsidRPr="009D2BE0">
              <w:rPr>
                <w:rFonts w:cs="Arial"/>
                <w:color w:val="000000"/>
                <w:sz w:val="17"/>
                <w:szCs w:val="17"/>
              </w:rPr>
              <w:t>XXXXXXXXXXXXXXXX</w:t>
            </w:r>
            <w:r w:rsidR="00AF4E6C" w:rsidRPr="00AF4E6C">
              <w:rPr>
                <w:rFonts w:cs="Arial"/>
                <w:color w:val="000000"/>
                <w:sz w:val="17"/>
                <w:szCs w:val="17"/>
              </w:rPr>
              <w:t>, referent, oddělení přípravy</w:t>
            </w:r>
          </w:p>
          <w:p w:rsidR="00AF7E54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644D8C">
              <w:rPr>
                <w:rFonts w:cs="Georgia"/>
                <w:b/>
                <w:color w:val="000000"/>
                <w:sz w:val="24"/>
                <w:szCs w:val="24"/>
              </w:rPr>
              <w:t>původní je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</w:t>
            </w:r>
            <w:r w:rsidR="004A0AF8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4A01C8">
              <w:rPr>
                <w:rFonts w:cs="Georgia"/>
                <w:b/>
                <w:color w:val="000000"/>
                <w:sz w:val="24"/>
                <w:szCs w:val="24"/>
              </w:rPr>
              <w:t>6</w:t>
            </w:r>
            <w:r w:rsidR="009821E8">
              <w:rPr>
                <w:rFonts w:cs="Georgia"/>
                <w:b/>
                <w:color w:val="000000"/>
                <w:sz w:val="24"/>
                <w:szCs w:val="24"/>
              </w:rPr>
              <w:t>6</w:t>
            </w:r>
            <w:r w:rsidR="00AF4E6C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4A01C8">
              <w:rPr>
                <w:rFonts w:cs="Georgia"/>
                <w:b/>
                <w:color w:val="000000"/>
                <w:sz w:val="24"/>
                <w:szCs w:val="24"/>
              </w:rPr>
              <w:t>1</w:t>
            </w:r>
            <w:r w:rsidR="00AF4E6C">
              <w:rPr>
                <w:rFonts w:cs="Georgia"/>
                <w:b/>
                <w:color w:val="000000"/>
                <w:sz w:val="24"/>
                <w:szCs w:val="24"/>
              </w:rPr>
              <w:t>00,00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  <w:r w:rsidR="00F41D93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</w:p>
          <w:p w:rsidR="00644D8C" w:rsidRDefault="00644D8C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>
              <w:rPr>
                <w:rFonts w:cs="Georgia"/>
                <w:b/>
                <w:color w:val="000000"/>
                <w:sz w:val="24"/>
                <w:szCs w:val="24"/>
              </w:rPr>
              <w:t>Navýšení předpokládané ceny je     11.000,00 Kč bez DPH</w:t>
            </w:r>
          </w:p>
          <w:p w:rsidR="00644D8C" w:rsidRPr="002F65ED" w:rsidRDefault="00644D8C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0"/>
                <w:szCs w:val="20"/>
              </w:rPr>
            </w:pPr>
            <w:r>
              <w:rPr>
                <w:rFonts w:cs="Georgia"/>
                <w:b/>
                <w:color w:val="000000"/>
                <w:sz w:val="24"/>
                <w:szCs w:val="24"/>
              </w:rPr>
              <w:t>Předpokládaná cena celkem je         77.100,00 Kč bez DPH</w:t>
            </w:r>
          </w:p>
          <w:p w:rsidR="0098229D" w:rsidRPr="000F53D1" w:rsidRDefault="0098229D" w:rsidP="004A01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:rsidTr="00566F6C">
        <w:trPr>
          <w:cantSplit/>
          <w:trHeight w:val="256"/>
        </w:trPr>
        <w:tc>
          <w:tcPr>
            <w:tcW w:w="2413" w:type="dxa"/>
          </w:tcPr>
          <w:p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:rsidR="0098229D" w:rsidRPr="000F53D1" w:rsidRDefault="005F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převodem</w:t>
            </w:r>
          </w:p>
        </w:tc>
      </w:tr>
      <w:tr w:rsidR="0098229D" w:rsidRPr="000F53D1" w:rsidTr="00566F6C">
        <w:trPr>
          <w:cantSplit/>
          <w:trHeight w:val="241"/>
        </w:trPr>
        <w:tc>
          <w:tcPr>
            <w:tcW w:w="2413" w:type="dxa"/>
            <w:vAlign w:val="bottom"/>
          </w:tcPr>
          <w:p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:rsidR="0098229D" w:rsidRPr="00142CB2" w:rsidRDefault="009821E8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BE3AD2">
              <w:rPr>
                <w:rFonts w:cs="Georgia"/>
                <w:color w:val="000000"/>
                <w:sz w:val="21"/>
                <w:szCs w:val="21"/>
              </w:rPr>
              <w:t>7</w:t>
            </w:r>
            <w:r>
              <w:rPr>
                <w:rFonts w:cs="Georgia"/>
                <w:color w:val="000000"/>
                <w:sz w:val="21"/>
                <w:szCs w:val="21"/>
              </w:rPr>
              <w:t xml:space="preserve">. </w:t>
            </w:r>
            <w:r w:rsidR="00BE3AD2">
              <w:rPr>
                <w:rFonts w:cs="Georgia"/>
                <w:color w:val="000000"/>
                <w:sz w:val="21"/>
                <w:szCs w:val="21"/>
              </w:rPr>
              <w:t>3</w:t>
            </w:r>
            <w:r>
              <w:rPr>
                <w:rFonts w:cs="Georgia"/>
                <w:color w:val="000000"/>
                <w:sz w:val="21"/>
                <w:szCs w:val="21"/>
              </w:rPr>
              <w:t>. 202</w:t>
            </w:r>
            <w:r w:rsidR="00BE3AD2">
              <w:rPr>
                <w:rFonts w:cs="Georgia"/>
                <w:color w:val="000000"/>
                <w:sz w:val="21"/>
                <w:szCs w:val="21"/>
              </w:rPr>
              <w:t>3</w:t>
            </w:r>
            <w:r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98229D" w:rsidRPr="000F53D1" w:rsidTr="00566F6C">
        <w:trPr>
          <w:cantSplit/>
          <w:trHeight w:val="241"/>
        </w:trPr>
        <w:tc>
          <w:tcPr>
            <w:tcW w:w="2413" w:type="dxa"/>
            <w:vAlign w:val="bottom"/>
          </w:tcPr>
          <w:p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:rsidR="0098229D" w:rsidRPr="00142CB2" w:rsidRDefault="00BE3AD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</w:t>
            </w:r>
            <w:r w:rsidR="00504226" w:rsidRPr="00AF4E6C">
              <w:rPr>
                <w:rFonts w:cs="Georgia"/>
                <w:color w:val="000000"/>
                <w:sz w:val="21"/>
                <w:szCs w:val="21"/>
              </w:rPr>
              <w:t>.</w:t>
            </w:r>
            <w:r w:rsidR="00AF4E6C" w:rsidRPr="00AF4E6C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 w:rsidR="00F673D9">
              <w:rPr>
                <w:rFonts w:cs="Georgia"/>
                <w:color w:val="000000"/>
                <w:sz w:val="21"/>
                <w:szCs w:val="21"/>
              </w:rPr>
              <w:t>3</w:t>
            </w:r>
            <w:r w:rsidR="00504226" w:rsidRPr="00AF4E6C">
              <w:rPr>
                <w:rFonts w:cs="Georgia"/>
                <w:color w:val="000000"/>
                <w:sz w:val="21"/>
                <w:szCs w:val="21"/>
              </w:rPr>
              <w:t>.</w:t>
            </w:r>
            <w:r w:rsidR="00AF4E6C" w:rsidRPr="00AF4E6C">
              <w:rPr>
                <w:rFonts w:cs="Georgia"/>
                <w:color w:val="000000"/>
                <w:sz w:val="21"/>
                <w:szCs w:val="21"/>
              </w:rPr>
              <w:t xml:space="preserve"> 202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:rsidTr="00566F6C">
        <w:trPr>
          <w:cantSplit/>
          <w:trHeight w:val="174"/>
        </w:trPr>
        <w:tc>
          <w:tcPr>
            <w:tcW w:w="2413" w:type="dxa"/>
            <w:vAlign w:val="bottom"/>
          </w:tcPr>
          <w:p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5F05D5">
        <w:rPr>
          <w:rFonts w:cs="Calibri"/>
          <w:b/>
          <w:bCs/>
        </w:rPr>
        <w:t>Plnění bude financováno z</w:t>
      </w:r>
      <w:r w:rsidR="005F05D5" w:rsidRPr="00CE67A3">
        <w:rPr>
          <w:rFonts w:cs="Calibri"/>
          <w:b/>
          <w:bCs/>
        </w:rPr>
        <w:t>: SFDI</w:t>
      </w:r>
      <w:r w:rsidR="004C017E" w:rsidRPr="00CE67A3">
        <w:rPr>
          <w:rFonts w:cs="Calibri"/>
          <w:b/>
          <w:bCs/>
        </w:rPr>
        <w:t xml:space="preserve"> </w:t>
      </w:r>
      <w:r w:rsidR="00F41D93">
        <w:rPr>
          <w:rFonts w:cs="Calibri"/>
          <w:b/>
          <w:bCs/>
        </w:rPr>
        <w:t xml:space="preserve">– globální položka „ŘVC – příprava a vypořádání staveb“, číslo ISPROFOND 500 554 0004, položka </w:t>
      </w:r>
      <w:r w:rsidR="000936B7" w:rsidRPr="0061200F">
        <w:rPr>
          <w:rFonts w:cs="Calibri"/>
          <w:b/>
          <w:bCs/>
        </w:rPr>
        <w:t>„</w:t>
      </w:r>
      <w:r w:rsidR="004A01C8">
        <w:rPr>
          <w:rFonts w:cs="Calibri"/>
          <w:b/>
          <w:bCs/>
        </w:rPr>
        <w:t>Zabezpečení podjezdných výšek na Vltavské vodní cestě</w:t>
      </w:r>
      <w:r w:rsidR="000936B7" w:rsidRPr="0061200F">
        <w:rPr>
          <w:rFonts w:cs="Calibri"/>
          <w:b/>
          <w:bCs/>
        </w:rPr>
        <w:t xml:space="preserve">“, číslo </w:t>
      </w:r>
      <w:r w:rsidR="000936B7" w:rsidRPr="004A01C8">
        <w:rPr>
          <w:rFonts w:cs="Calibri"/>
          <w:b/>
          <w:bCs/>
        </w:rPr>
        <w:t>projektu 5</w:t>
      </w:r>
      <w:r w:rsidR="00C33257" w:rsidRPr="004A01C8">
        <w:rPr>
          <w:rFonts w:cs="Calibri"/>
          <w:b/>
          <w:bCs/>
        </w:rPr>
        <w:t>00</w:t>
      </w:r>
      <w:r w:rsidR="000936B7" w:rsidRPr="004A01C8">
        <w:rPr>
          <w:rFonts w:cs="Calibri"/>
          <w:b/>
          <w:bCs/>
        </w:rPr>
        <w:t> 55</w:t>
      </w:r>
      <w:r w:rsidR="00C33257" w:rsidRPr="004A01C8">
        <w:rPr>
          <w:rFonts w:cs="Calibri"/>
          <w:b/>
          <w:bCs/>
        </w:rPr>
        <w:t>1</w:t>
      </w:r>
      <w:r w:rsidR="000936B7" w:rsidRPr="004A01C8">
        <w:rPr>
          <w:rFonts w:cs="Calibri"/>
          <w:b/>
          <w:bCs/>
        </w:rPr>
        <w:t xml:space="preserve"> 00</w:t>
      </w:r>
      <w:r w:rsidR="004A01C8" w:rsidRPr="004A01C8">
        <w:rPr>
          <w:rFonts w:cs="Calibri"/>
          <w:b/>
          <w:bCs/>
        </w:rPr>
        <w:t>0</w:t>
      </w:r>
      <w:r w:rsidR="000936B7" w:rsidRPr="004A01C8">
        <w:rPr>
          <w:rFonts w:cs="Calibri"/>
          <w:b/>
          <w:bCs/>
        </w:rPr>
        <w:t>4.</w:t>
      </w:r>
    </w:p>
    <w:p w:rsidR="008F71D5" w:rsidRPr="0060186B" w:rsidRDefault="008F71D5" w:rsidP="000936B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Calibri"/>
          <w:b/>
          <w:bCs/>
          <w:sz w:val="6"/>
          <w:szCs w:val="6"/>
        </w:rPr>
      </w:pPr>
    </w:p>
    <w:p w:rsidR="003333CB" w:rsidRPr="0060186B" w:rsidRDefault="00566F6C" w:rsidP="0060186B">
      <w:pPr>
        <w:widowControl w:val="0"/>
        <w:autoSpaceDE w:val="0"/>
        <w:autoSpaceDN w:val="0"/>
        <w:adjustRightInd w:val="0"/>
        <w:spacing w:after="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  <w:r w:rsidR="005F05D5">
        <w:rPr>
          <w:rFonts w:cs="Calibri"/>
          <w:b/>
          <w:bCs/>
        </w:rPr>
        <w:t>.</w:t>
      </w:r>
    </w:p>
    <w:p w:rsidR="003333CB" w:rsidRDefault="003333C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9D2BE0" w:rsidRPr="009D2BE0">
        <w:rPr>
          <w:b/>
          <w:bCs/>
        </w:rPr>
        <w:t>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:rsidR="003333CB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7318DE">
        <w:rPr>
          <w:b/>
          <w:bCs/>
        </w:rPr>
        <w:t>OPR</w:t>
      </w:r>
      <w:r>
        <w:rPr>
          <w:b/>
          <w:bCs/>
        </w:rPr>
        <w:tab/>
        <w:t>ředitel ŘVC ČR</w:t>
      </w:r>
    </w:p>
    <w:p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9D2BE0" w:rsidRPr="009D2BE0">
        <w:rPr>
          <w:b/>
          <w:bCs/>
        </w:rPr>
        <w:t>XXXXXXXXXXXXXXXX</w:t>
      </w:r>
    </w:p>
    <w:p w:rsidR="003333CB" w:rsidRDefault="00670F35" w:rsidP="0060186B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:rsidR="000936B7" w:rsidRPr="00816AA2" w:rsidRDefault="000936B7" w:rsidP="000936B7">
      <w:pPr>
        <w:spacing w:after="0"/>
      </w:pPr>
      <w:r w:rsidRPr="00816AA2">
        <w:t>Za dodavatele převzal a akceptuje:</w:t>
      </w:r>
    </w:p>
    <w:p w:rsidR="0060186B" w:rsidRDefault="000936B7" w:rsidP="00957EDD">
      <w:pPr>
        <w:spacing w:after="120"/>
      </w:pPr>
      <w:r w:rsidRPr="00816AA2">
        <w:t>Dne:</w:t>
      </w:r>
    </w:p>
    <w:p w:rsidR="00957EDD" w:rsidRPr="00566F6C" w:rsidRDefault="00957EDD" w:rsidP="000936B7">
      <w:pPr>
        <w:spacing w:after="120"/>
      </w:pPr>
      <w:r w:rsidRPr="0060557E">
        <w:lastRenderedPageBreak/>
        <w:t>Uveřejněno v Registru smluv dne ………………………</w:t>
      </w:r>
      <w:proofErr w:type="gramStart"/>
      <w:r w:rsidRPr="0060557E">
        <w:t>…….</w:t>
      </w:r>
      <w:proofErr w:type="gramEnd"/>
      <w:r w:rsidRPr="0060557E">
        <w:t>.</w:t>
      </w:r>
    </w:p>
    <w:sectPr w:rsidR="00957EDD" w:rsidRPr="00566F6C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87D" w:rsidRDefault="0092287D">
      <w:pPr>
        <w:spacing w:after="0" w:line="240" w:lineRule="auto"/>
      </w:pPr>
      <w:r>
        <w:separator/>
      </w:r>
    </w:p>
  </w:endnote>
  <w:endnote w:type="continuationSeparator" w:id="0">
    <w:p w:rsidR="0092287D" w:rsidRDefault="0092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87D" w:rsidRDefault="0092287D">
      <w:pPr>
        <w:spacing w:after="0" w:line="240" w:lineRule="auto"/>
      </w:pPr>
      <w:r>
        <w:separator/>
      </w:r>
    </w:p>
  </w:footnote>
  <w:footnote w:type="continuationSeparator" w:id="0">
    <w:p w:rsidR="0092287D" w:rsidRDefault="00922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B40E16"/>
    <w:multiLevelType w:val="multilevel"/>
    <w:tmpl w:val="2D8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1D6835"/>
    <w:multiLevelType w:val="hybridMultilevel"/>
    <w:tmpl w:val="24AAE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1925"/>
    <w:multiLevelType w:val="hybridMultilevel"/>
    <w:tmpl w:val="B0460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557772"/>
    <w:multiLevelType w:val="hybridMultilevel"/>
    <w:tmpl w:val="0EA8BB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9755D3"/>
    <w:multiLevelType w:val="hybridMultilevel"/>
    <w:tmpl w:val="10DE8B9E"/>
    <w:lvl w:ilvl="0" w:tplc="3412FB4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CE0297"/>
    <w:multiLevelType w:val="multilevel"/>
    <w:tmpl w:val="0C68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9D5ED3"/>
    <w:multiLevelType w:val="hybridMultilevel"/>
    <w:tmpl w:val="70A02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D07D8"/>
    <w:multiLevelType w:val="hybridMultilevel"/>
    <w:tmpl w:val="33965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37288"/>
    <w:multiLevelType w:val="hybridMultilevel"/>
    <w:tmpl w:val="FCA04BAA"/>
    <w:lvl w:ilvl="0" w:tplc="5C2440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18890">
    <w:abstractNumId w:val="4"/>
  </w:num>
  <w:num w:numId="2" w16cid:durableId="1364474008">
    <w:abstractNumId w:val="0"/>
  </w:num>
  <w:num w:numId="3" w16cid:durableId="1553344605">
    <w:abstractNumId w:val="9"/>
  </w:num>
  <w:num w:numId="4" w16cid:durableId="877399906">
    <w:abstractNumId w:val="3"/>
  </w:num>
  <w:num w:numId="5" w16cid:durableId="12594823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2068837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01888722">
    <w:abstractNumId w:val="5"/>
  </w:num>
  <w:num w:numId="8" w16cid:durableId="552277953">
    <w:abstractNumId w:val="2"/>
  </w:num>
  <w:num w:numId="9" w16cid:durableId="1806846187">
    <w:abstractNumId w:val="10"/>
  </w:num>
  <w:num w:numId="10" w16cid:durableId="281574119">
    <w:abstractNumId w:val="6"/>
  </w:num>
  <w:num w:numId="11" w16cid:durableId="1131289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7413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36B7"/>
    <w:rsid w:val="00096AFA"/>
    <w:rsid w:val="000A0FEC"/>
    <w:rsid w:val="000B02CE"/>
    <w:rsid w:val="000B78F4"/>
    <w:rsid w:val="000D052F"/>
    <w:rsid w:val="000D521B"/>
    <w:rsid w:val="000D7FE8"/>
    <w:rsid w:val="000E1D6A"/>
    <w:rsid w:val="000F432D"/>
    <w:rsid w:val="000F4B74"/>
    <w:rsid w:val="000F53D1"/>
    <w:rsid w:val="001354F5"/>
    <w:rsid w:val="00137D10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0490"/>
    <w:rsid w:val="001E5ECB"/>
    <w:rsid w:val="001F0568"/>
    <w:rsid w:val="001F3008"/>
    <w:rsid w:val="001F3976"/>
    <w:rsid w:val="00211B21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A77E8"/>
    <w:rsid w:val="002A7E84"/>
    <w:rsid w:val="002B5756"/>
    <w:rsid w:val="002D437A"/>
    <w:rsid w:val="002F65ED"/>
    <w:rsid w:val="00302FBA"/>
    <w:rsid w:val="003333CB"/>
    <w:rsid w:val="003347D7"/>
    <w:rsid w:val="0034167F"/>
    <w:rsid w:val="00350D72"/>
    <w:rsid w:val="00360C8B"/>
    <w:rsid w:val="00364DDF"/>
    <w:rsid w:val="00374631"/>
    <w:rsid w:val="003855BE"/>
    <w:rsid w:val="003872C4"/>
    <w:rsid w:val="00387C01"/>
    <w:rsid w:val="0039145E"/>
    <w:rsid w:val="003A64DD"/>
    <w:rsid w:val="003B25AA"/>
    <w:rsid w:val="003E2D12"/>
    <w:rsid w:val="003E5966"/>
    <w:rsid w:val="003F0411"/>
    <w:rsid w:val="003F2364"/>
    <w:rsid w:val="00406178"/>
    <w:rsid w:val="004308AD"/>
    <w:rsid w:val="004336B4"/>
    <w:rsid w:val="00455802"/>
    <w:rsid w:val="0046035B"/>
    <w:rsid w:val="00463B6A"/>
    <w:rsid w:val="00463D83"/>
    <w:rsid w:val="004766FE"/>
    <w:rsid w:val="004A01C8"/>
    <w:rsid w:val="004A0AF8"/>
    <w:rsid w:val="004A151E"/>
    <w:rsid w:val="004A292A"/>
    <w:rsid w:val="004C017E"/>
    <w:rsid w:val="004C4BD3"/>
    <w:rsid w:val="004C54FB"/>
    <w:rsid w:val="004E4929"/>
    <w:rsid w:val="004F1490"/>
    <w:rsid w:val="00504226"/>
    <w:rsid w:val="00505A0C"/>
    <w:rsid w:val="00534A12"/>
    <w:rsid w:val="00535C2D"/>
    <w:rsid w:val="00537CB5"/>
    <w:rsid w:val="00541A3F"/>
    <w:rsid w:val="00542083"/>
    <w:rsid w:val="00542F67"/>
    <w:rsid w:val="00566F6C"/>
    <w:rsid w:val="00567701"/>
    <w:rsid w:val="005716E0"/>
    <w:rsid w:val="00582B3C"/>
    <w:rsid w:val="00585546"/>
    <w:rsid w:val="005928C8"/>
    <w:rsid w:val="005A6748"/>
    <w:rsid w:val="005B0F3B"/>
    <w:rsid w:val="005D474F"/>
    <w:rsid w:val="005F05D5"/>
    <w:rsid w:val="005F16FC"/>
    <w:rsid w:val="005F1E73"/>
    <w:rsid w:val="0060186B"/>
    <w:rsid w:val="00603131"/>
    <w:rsid w:val="00616F9D"/>
    <w:rsid w:val="00625F19"/>
    <w:rsid w:val="00631B68"/>
    <w:rsid w:val="006378B9"/>
    <w:rsid w:val="00644D8C"/>
    <w:rsid w:val="00656ED8"/>
    <w:rsid w:val="00667C66"/>
    <w:rsid w:val="00670F35"/>
    <w:rsid w:val="0068094D"/>
    <w:rsid w:val="00683A1A"/>
    <w:rsid w:val="00690093"/>
    <w:rsid w:val="006B2D53"/>
    <w:rsid w:val="006B5432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318DE"/>
    <w:rsid w:val="00742CFF"/>
    <w:rsid w:val="007571C9"/>
    <w:rsid w:val="00775387"/>
    <w:rsid w:val="00775F44"/>
    <w:rsid w:val="007846C5"/>
    <w:rsid w:val="00785B87"/>
    <w:rsid w:val="00785C31"/>
    <w:rsid w:val="00786073"/>
    <w:rsid w:val="007A4ABD"/>
    <w:rsid w:val="007B4B59"/>
    <w:rsid w:val="007E109B"/>
    <w:rsid w:val="007F333D"/>
    <w:rsid w:val="007F40AB"/>
    <w:rsid w:val="007F5C8C"/>
    <w:rsid w:val="00805997"/>
    <w:rsid w:val="00816AA2"/>
    <w:rsid w:val="0082564F"/>
    <w:rsid w:val="008302CA"/>
    <w:rsid w:val="00836E7B"/>
    <w:rsid w:val="00836EC4"/>
    <w:rsid w:val="00840826"/>
    <w:rsid w:val="00850A1C"/>
    <w:rsid w:val="00852A6D"/>
    <w:rsid w:val="00882612"/>
    <w:rsid w:val="00897D62"/>
    <w:rsid w:val="008C65F9"/>
    <w:rsid w:val="008C6BAA"/>
    <w:rsid w:val="008E2761"/>
    <w:rsid w:val="008E4C60"/>
    <w:rsid w:val="008F71D5"/>
    <w:rsid w:val="0092287D"/>
    <w:rsid w:val="009367A1"/>
    <w:rsid w:val="009532C2"/>
    <w:rsid w:val="00957EDD"/>
    <w:rsid w:val="0096143E"/>
    <w:rsid w:val="0096739E"/>
    <w:rsid w:val="009763D1"/>
    <w:rsid w:val="00976DF8"/>
    <w:rsid w:val="009821E8"/>
    <w:rsid w:val="0098229D"/>
    <w:rsid w:val="0098239C"/>
    <w:rsid w:val="00987E92"/>
    <w:rsid w:val="009936F1"/>
    <w:rsid w:val="00994DDF"/>
    <w:rsid w:val="009B1C38"/>
    <w:rsid w:val="009C08F8"/>
    <w:rsid w:val="009C15B8"/>
    <w:rsid w:val="009D2BE0"/>
    <w:rsid w:val="009E6599"/>
    <w:rsid w:val="009E79E1"/>
    <w:rsid w:val="00A06319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1258"/>
    <w:rsid w:val="00AC4AF0"/>
    <w:rsid w:val="00AC7366"/>
    <w:rsid w:val="00AD0588"/>
    <w:rsid w:val="00AD0A6B"/>
    <w:rsid w:val="00AE6150"/>
    <w:rsid w:val="00AF4E6C"/>
    <w:rsid w:val="00AF7E54"/>
    <w:rsid w:val="00B01CA0"/>
    <w:rsid w:val="00B04813"/>
    <w:rsid w:val="00B203C6"/>
    <w:rsid w:val="00B4150D"/>
    <w:rsid w:val="00B5177B"/>
    <w:rsid w:val="00B539F2"/>
    <w:rsid w:val="00B936BA"/>
    <w:rsid w:val="00B945BF"/>
    <w:rsid w:val="00BB050A"/>
    <w:rsid w:val="00BB12DE"/>
    <w:rsid w:val="00BB50D1"/>
    <w:rsid w:val="00BC1A7F"/>
    <w:rsid w:val="00BC6B04"/>
    <w:rsid w:val="00BD086A"/>
    <w:rsid w:val="00BD2091"/>
    <w:rsid w:val="00BD6EAD"/>
    <w:rsid w:val="00BD6F9B"/>
    <w:rsid w:val="00BE3AD2"/>
    <w:rsid w:val="00C003F8"/>
    <w:rsid w:val="00C10375"/>
    <w:rsid w:val="00C12BCD"/>
    <w:rsid w:val="00C12DF0"/>
    <w:rsid w:val="00C33257"/>
    <w:rsid w:val="00C37BCE"/>
    <w:rsid w:val="00C520CE"/>
    <w:rsid w:val="00C7284B"/>
    <w:rsid w:val="00C72860"/>
    <w:rsid w:val="00C80DFF"/>
    <w:rsid w:val="00C81B08"/>
    <w:rsid w:val="00C851E4"/>
    <w:rsid w:val="00CB4B74"/>
    <w:rsid w:val="00CC0E4F"/>
    <w:rsid w:val="00CC6C4A"/>
    <w:rsid w:val="00CE2CB0"/>
    <w:rsid w:val="00CE67A3"/>
    <w:rsid w:val="00CE6AD6"/>
    <w:rsid w:val="00CF0C82"/>
    <w:rsid w:val="00CF790D"/>
    <w:rsid w:val="00CF7CEF"/>
    <w:rsid w:val="00D00E7A"/>
    <w:rsid w:val="00D042FB"/>
    <w:rsid w:val="00D06AAD"/>
    <w:rsid w:val="00D104CB"/>
    <w:rsid w:val="00D110F7"/>
    <w:rsid w:val="00D11E48"/>
    <w:rsid w:val="00D301A9"/>
    <w:rsid w:val="00D405C7"/>
    <w:rsid w:val="00D42667"/>
    <w:rsid w:val="00D4300B"/>
    <w:rsid w:val="00D43BEC"/>
    <w:rsid w:val="00D670B1"/>
    <w:rsid w:val="00D67FF4"/>
    <w:rsid w:val="00D71F88"/>
    <w:rsid w:val="00D75D03"/>
    <w:rsid w:val="00D91E6F"/>
    <w:rsid w:val="00D925E6"/>
    <w:rsid w:val="00D93E5F"/>
    <w:rsid w:val="00D97030"/>
    <w:rsid w:val="00DA2769"/>
    <w:rsid w:val="00DA3294"/>
    <w:rsid w:val="00DA4087"/>
    <w:rsid w:val="00DA7C89"/>
    <w:rsid w:val="00DB2450"/>
    <w:rsid w:val="00DC200A"/>
    <w:rsid w:val="00DC7D0A"/>
    <w:rsid w:val="00DD0A8E"/>
    <w:rsid w:val="00DD0C46"/>
    <w:rsid w:val="00DD21B3"/>
    <w:rsid w:val="00DD6AFD"/>
    <w:rsid w:val="00DE0DDE"/>
    <w:rsid w:val="00E13208"/>
    <w:rsid w:val="00E14850"/>
    <w:rsid w:val="00E14D68"/>
    <w:rsid w:val="00E20339"/>
    <w:rsid w:val="00E24129"/>
    <w:rsid w:val="00E31742"/>
    <w:rsid w:val="00E34032"/>
    <w:rsid w:val="00E461B9"/>
    <w:rsid w:val="00E510F5"/>
    <w:rsid w:val="00E5744D"/>
    <w:rsid w:val="00E71112"/>
    <w:rsid w:val="00E86BEE"/>
    <w:rsid w:val="00E90B8B"/>
    <w:rsid w:val="00EB75C4"/>
    <w:rsid w:val="00EC6A26"/>
    <w:rsid w:val="00ED13FC"/>
    <w:rsid w:val="00EE2D0D"/>
    <w:rsid w:val="00EE7917"/>
    <w:rsid w:val="00EF5B87"/>
    <w:rsid w:val="00EF79CC"/>
    <w:rsid w:val="00F00EE0"/>
    <w:rsid w:val="00F104F1"/>
    <w:rsid w:val="00F1081C"/>
    <w:rsid w:val="00F237B0"/>
    <w:rsid w:val="00F3345D"/>
    <w:rsid w:val="00F34110"/>
    <w:rsid w:val="00F375A5"/>
    <w:rsid w:val="00F41D93"/>
    <w:rsid w:val="00F54D50"/>
    <w:rsid w:val="00F673D9"/>
    <w:rsid w:val="00F73958"/>
    <w:rsid w:val="00F85F35"/>
    <w:rsid w:val="00F92078"/>
    <w:rsid w:val="00F92A13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2A68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customStyle="1" w:styleId="gmail-m-4493286645821166116msolistparagraph">
    <w:name w:val="gmail-m_-4493286645821166116msolistparagraph"/>
    <w:basedOn w:val="Normln"/>
    <w:rsid w:val="009763D1"/>
    <w:pPr>
      <w:spacing w:before="100" w:beforeAutospacing="1" w:after="100" w:afterAutospacing="1" w:line="240" w:lineRule="auto"/>
    </w:pPr>
    <w:rPr>
      <w:rFonts w:eastAsia="Calibri" w:cs="Calibri"/>
    </w:rPr>
  </w:style>
  <w:style w:type="character" w:customStyle="1" w:styleId="platne1">
    <w:name w:val="platne1"/>
    <w:rsid w:val="00364DDF"/>
  </w:style>
  <w:style w:type="paragraph" w:styleId="Normlnweb">
    <w:name w:val="Normal (Web)"/>
    <w:basedOn w:val="Normln"/>
    <w:uiPriority w:val="99"/>
    <w:unhideWhenUsed/>
    <w:rsid w:val="004A0AF8"/>
    <w:pPr>
      <w:spacing w:before="100" w:beforeAutospacing="1" w:after="100" w:afterAutospacing="1" w:line="240" w:lineRule="auto"/>
    </w:pPr>
    <w:rPr>
      <w:rFonts w:eastAsia="Calibri" w:cs="Calibri"/>
    </w:rPr>
  </w:style>
  <w:style w:type="character" w:styleId="Sledovanodkaz">
    <w:name w:val="FollowedHyperlink"/>
    <w:uiPriority w:val="99"/>
    <w:semiHidden/>
    <w:unhideWhenUsed/>
    <w:rsid w:val="00E5744D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4A01C8"/>
    <w:pPr>
      <w:spacing w:after="0" w:line="240" w:lineRule="auto"/>
      <w:ind w:left="720"/>
    </w:pPr>
    <w:rPr>
      <w:rFonts w:eastAsia="Calibri" w:cs="Calibr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2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64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2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6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2023-03-13T14:59:00Z</dcterms:created>
  <dcterms:modified xsi:type="dcterms:W3CDTF">2023-03-13T14:59:00Z</dcterms:modified>
</cp:coreProperties>
</file>