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120" w:after="0" w:line="298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DODATEK Č. 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o dílo</w:t>
      </w:r>
      <w:bookmarkEnd w:id="0"/>
      <w:bookmarkEnd w:id="1"/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Vypracování projektové dokumentace III/4069 Hodice průtah</w:t>
        <w:br/>
        <w:t>ze dne 29.11. 2022</w:t>
      </w:r>
      <w:bookmarkEnd w:id="2"/>
      <w:bookmarkEnd w:id="3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</w:t>
      </w: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230/2022-KSÚSV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  <w:bookmarkEnd w:id="4"/>
      <w:bookmarkEnd w:id="5"/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bookmarkEnd w:id="6"/>
      <w:bookmarkEnd w:id="7"/>
    </w:p>
    <w:tbl>
      <w:tblPr>
        <w:tblOverlap w:val="never"/>
        <w:jc w:val="left"/>
        <w:tblLayout w:type="fixed"/>
      </w:tblPr>
      <w:tblGrid>
        <w:gridCol w:w="1872"/>
        <w:gridCol w:w="6475"/>
      </w:tblGrid>
      <w:tr>
        <w:trPr>
          <w:trHeight w:val="29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widowControl w:val="0"/>
        <w:spacing w:after="59" w:line="1" w:lineRule="exact"/>
      </w:pPr>
    </w:p>
    <w:p>
      <w:pPr>
        <w:widowControl w:val="0"/>
        <w:spacing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zhotovitele ve věcech smluvních: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tbl>
      <w:tblPr>
        <w:tblOverlap w:val="never"/>
        <w:jc w:val="left"/>
        <w:tblLayout w:type="fixed"/>
      </w:tblPr>
      <w:tblGrid>
        <w:gridCol w:w="1872"/>
        <w:gridCol w:w="6470"/>
      </w:tblGrid>
      <w:tr>
        <w:trPr>
          <w:trHeight w:val="36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1872"/>
        <w:gridCol w:w="4661"/>
      </w:tblGrid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Robert Juřina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Palackého 64/9, 392 01 Soběslav</w:t>
            </w:r>
          </w:p>
        </w:tc>
      </w:tr>
    </w:tbl>
    <w:p>
      <w:pPr>
        <w:widowControl w:val="0"/>
        <w:spacing w:line="1" w:lineRule="exact"/>
      </w:pP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Osoby pověřené jednat jménem zhotovitele ve věcech smluvních: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technických:</w:t>
      </w:r>
    </w:p>
    <w:tbl>
      <w:tblPr>
        <w:tblOverlap w:val="never"/>
        <w:jc w:val="left"/>
        <w:tblLayout w:type="fixed"/>
      </w:tblPr>
      <w:tblGrid>
        <w:gridCol w:w="1872"/>
        <w:gridCol w:w="4661"/>
      </w:tblGrid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880 67 483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  <w:bookmarkEnd w:id="8"/>
      <w:bookmarkEnd w:id="9"/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120" w:line="240" w:lineRule="auto"/>
        <w:ind w:left="720" w:right="0" w:hanging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vzájemně dohodly na změně stávající smlouvy, spočívající ve změně termínu plnění pro vypracování projektové dokumentace sjednaného v Příloze č. 1 (Technické podmínky), jež je nedílnou součástí smlouvy o dílo, a to z důvodu neprovedení kopaných sond objednatelem z důvodu špatných povětrnostních podmínek a nutnosti provádění zimní údržby.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souvislosti s výše uvedenými důvody dochází k úpravě předmětného termínu následovně: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77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Příloze č.1 - Technické podmínky, v části Lhůty plnění:</w:t>
      </w:r>
    </w:p>
    <w:tbl>
      <w:tblPr>
        <w:tblOverlap w:val="never"/>
        <w:jc w:val="center"/>
        <w:tblLayout w:type="fixed"/>
      </w:tblPr>
      <w:tblGrid>
        <w:gridCol w:w="4867"/>
        <w:gridCol w:w="4867"/>
      </w:tblGrid>
      <w:tr>
        <w:trPr>
          <w:trHeight w:val="12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Předání dokončené dokumentace, včetně projednání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 dotčenými orgány státní správy a samosprávy: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75 dnů od předání konceptu dokumentace (nejpozději do 28.2.2023)</w:t>
            </w:r>
          </w:p>
        </w:tc>
      </w:tr>
    </w:tbl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8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novým zněním:</w:t>
      </w:r>
    </w:p>
    <w:p>
      <w:pPr>
        <w:widowControl w:val="0"/>
        <w:spacing w:after="479" w:line="1" w:lineRule="exact"/>
      </w:pP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480" w:line="240" w:lineRule="auto"/>
        <w:ind w:left="14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4058920</wp:posOffset>
                </wp:positionH>
                <wp:positionV relativeFrom="paragraph">
                  <wp:posOffset>139700</wp:posOffset>
                </wp:positionV>
                <wp:extent cx="783590" cy="17081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359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 30.4.2023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9.60000000000002pt;margin-top:11.pt;width:61.700000000000003pt;height:13.4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 30.4.2023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dokončené dokumentace, včetně projednání s dotčenými orgány státní správy a samosprávy: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  <w:br/>
        <w:t>Ostatní ujednání</w:t>
      </w:r>
      <w:bookmarkEnd w:id="12"/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20" w:right="0" w:hanging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objednatele č. 230/2022-KSÚSV v aktuálním znění se nemění a zůstávají v platnosti.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smlouvy v aktuálním znění.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line="240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jeho elektronický originál.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účinný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jeho uveřejnění v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line="240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line="240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9" w:val="left"/>
        </w:tabs>
        <w:bidi w:val="0"/>
        <w:spacing w:before="0" w:after="480" w:line="240" w:lineRule="auto"/>
        <w:ind w:left="720" w:right="0" w:hanging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2240" w:h="15840"/>
          <w:pgMar w:top="1114" w:left="1156" w:right="1288" w:bottom="1724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NEBO: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TOHOTO ODSTAVCE V PŘÍPADĚ FYZICKÉHO PODPISU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Soběslavi, dne: viz podpis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114" w:left="1992" w:right="3422" w:bottom="1796" w:header="0" w:footer="3" w:gutter="0"/>
          <w:cols w:num="2" w:space="720" w:equalWidth="0">
            <w:col w:w="2568" w:space="1930"/>
            <w:col w:w="2328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Jihlavě, dne: viz podpis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3" w:after="7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114" w:left="0" w:right="0" w:bottom="111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1691005</wp:posOffset>
                </wp:positionH>
                <wp:positionV relativeFrom="paragraph">
                  <wp:posOffset>12700</wp:posOffset>
                </wp:positionV>
                <wp:extent cx="850265" cy="14605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26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Robert Juřina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33.15000000000001pt;margin-top:1.pt;width:66.950000000000003pt;height:11.5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Robert Juřina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 Krajská správa a údržba silnic Vysočiny, příspěvková organizace</w:t>
      </w: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1114" w:left="4003" w:right="1286" w:bottom="111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3515360</wp:posOffset>
              </wp:positionH>
              <wp:positionV relativeFrom="page">
                <wp:posOffset>9391015</wp:posOffset>
              </wp:positionV>
              <wp:extent cx="658495" cy="11303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849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276.80000000000001pt;margin-top:739.45000000000005pt;width:51.850000000000001pt;height:8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735330</wp:posOffset>
              </wp:positionH>
              <wp:positionV relativeFrom="page">
                <wp:posOffset>9346565</wp:posOffset>
              </wp:positionV>
              <wp:extent cx="6217920" cy="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179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99999999999999pt;margin-top:735.95000000000005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756920</wp:posOffset>
              </wp:positionH>
              <wp:positionV relativeFrom="page">
                <wp:posOffset>289560</wp:posOffset>
              </wp:positionV>
              <wp:extent cx="2797810" cy="2133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97810" cy="2133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Dodatek č. 1</w:t>
                          </w:r>
                        </w:p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Vypracování projektové dokumentace „III/4069 Hodice průtah“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9.600000000000001pt;margin-top:22.800000000000001pt;width:220.30000000000001pt;height:16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Dodatek č. 1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Vypracování projektové dokumentace „III/4069 Hodice průtah“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735330</wp:posOffset>
              </wp:positionH>
              <wp:positionV relativeFrom="page">
                <wp:posOffset>519430</wp:posOffset>
              </wp:positionV>
              <wp:extent cx="6217920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179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899999999999999pt;margin-top:40.899999999999999pt;width:48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decimal"/>
      <w:lvlText w:val="3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Základní text (3)_"/>
    <w:basedOn w:val="DefaultParagraphFont"/>
    <w:link w:val="Style11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harStyle15">
    <w:name w:val="Nadpis #2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Jiné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Titulek tabulky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8">
    <w:name w:val="Základní text (2)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before="60" w:after="120" w:line="346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FFFFFF"/>
      <w:spacing w:after="230"/>
    </w:pPr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Style14">
    <w:name w:val="Nadpis #2"/>
    <w:basedOn w:val="Normal"/>
    <w:link w:val="CharStyle15"/>
    <w:pPr>
      <w:widowControl w:val="0"/>
      <w:shd w:val="clear" w:color="auto" w:fill="FFFFFF"/>
      <w:spacing w:after="22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Titulek tabulky"/>
    <w:basedOn w:val="Normal"/>
    <w:link w:val="CharStyle20"/>
    <w:pPr>
      <w:widowControl w:val="0"/>
      <w:shd w:val="clear" w:color="auto" w:fill="FFFFFF"/>
      <w:spacing w:line="36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7">
    <w:name w:val="Základní text (2)"/>
    <w:basedOn w:val="Normal"/>
    <w:link w:val="CharStyle28"/>
    <w:pPr>
      <w:widowControl w:val="0"/>
      <w:shd w:val="clear" w:color="auto" w:fill="FFFFFF"/>
      <w:ind w:left="25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