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84" w:rsidRDefault="003C140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65pt;margin-top:0;width:156pt;height:35.3pt;z-index:-25166745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8.8pt;margin-top:11.6pt;width:128.65pt;height:19.6pt;z-index:251650048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6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Nabídka č. 230022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7pt;margin-top:56.4pt;width:177.1pt;height:224.25pt;z-index:251651072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8"/>
                    <w:shd w:val="clear" w:color="auto" w:fill="auto"/>
                  </w:pPr>
                  <w:r>
                    <w:rPr>
                      <w:rStyle w:val="CharStyle9Exact"/>
                    </w:rPr>
                    <w:t>Dodavatel:</w:t>
                  </w:r>
                </w:p>
                <w:p w:rsidR="00B31B84" w:rsidRDefault="00270495">
                  <w:pPr>
                    <w:pStyle w:val="Style10"/>
                    <w:shd w:val="clear" w:color="auto" w:fill="auto"/>
                    <w:spacing w:before="0" w:after="0"/>
                  </w:pPr>
                  <w:r>
                    <w:t xml:space="preserve">Jan </w:t>
                  </w:r>
                  <w:proofErr w:type="spellStart"/>
                  <w:r>
                    <w:t>Saidl</w:t>
                  </w:r>
                  <w:proofErr w:type="spellEnd"/>
                </w:p>
                <w:p w:rsidR="00B31B84" w:rsidRDefault="00270495">
                  <w:pPr>
                    <w:pStyle w:val="Style8"/>
                    <w:shd w:val="clear" w:color="auto" w:fill="auto"/>
                    <w:spacing w:after="252" w:line="298" w:lineRule="exact"/>
                  </w:pPr>
                  <w:r>
                    <w:rPr>
                      <w:rStyle w:val="CharStyle9Exact"/>
                    </w:rPr>
                    <w:t>Jana Zajíce 8 170 00 Praha 7</w:t>
                  </w:r>
                </w:p>
                <w:p w:rsidR="000A31B9" w:rsidRDefault="00270495">
                  <w:pPr>
                    <w:pStyle w:val="Style8"/>
                    <w:shd w:val="clear" w:color="auto" w:fill="auto"/>
                    <w:spacing w:after="0" w:line="283" w:lineRule="exact"/>
                    <w:rPr>
                      <w:rStyle w:val="CharStyle9Exact"/>
                    </w:rPr>
                  </w:pPr>
                  <w:r>
                    <w:rPr>
                      <w:rStyle w:val="CharStyle9Exact"/>
                    </w:rPr>
                    <w:t>Telefon: +</w:t>
                  </w:r>
                  <w:proofErr w:type="spellStart"/>
                  <w:r w:rsidR="000A31B9">
                    <w:rPr>
                      <w:rStyle w:val="CharStyle9Exact"/>
                    </w:rPr>
                    <w:t>xxxxxxxxxxx</w:t>
                  </w:r>
                  <w:proofErr w:type="spellEnd"/>
                  <w:r>
                    <w:rPr>
                      <w:rStyle w:val="CharStyle9Exact"/>
                    </w:rPr>
                    <w:t xml:space="preserve"> </w:t>
                  </w:r>
                </w:p>
                <w:p w:rsidR="000A31B9" w:rsidRDefault="00270495">
                  <w:pPr>
                    <w:pStyle w:val="Style8"/>
                    <w:shd w:val="clear" w:color="auto" w:fill="auto"/>
                    <w:spacing w:after="0" w:line="283" w:lineRule="exact"/>
                    <w:rPr>
                      <w:rStyle w:val="CharStyle9Exact"/>
                    </w:rPr>
                  </w:pPr>
                  <w:r>
                    <w:rPr>
                      <w:rStyle w:val="CharStyle9Exact"/>
                    </w:rPr>
                    <w:t xml:space="preserve">E-mail: </w:t>
                  </w:r>
                  <w:proofErr w:type="spellStart"/>
                  <w:r w:rsidR="000A31B9">
                    <w:rPr>
                      <w:rStyle w:val="CharStyle9Exact"/>
                    </w:rPr>
                    <w:t>xxxxxxxx</w:t>
                  </w:r>
                  <w:proofErr w:type="spellEnd"/>
                  <w:r>
                    <w:rPr>
                      <w:rStyle w:val="CharStyle9Exact"/>
                    </w:rPr>
                    <w:t xml:space="preserve"> </w:t>
                  </w:r>
                </w:p>
                <w:p w:rsidR="000A31B9" w:rsidRDefault="003C1400">
                  <w:pPr>
                    <w:pStyle w:val="Style8"/>
                    <w:shd w:val="clear" w:color="auto" w:fill="auto"/>
                    <w:spacing w:after="0" w:line="283" w:lineRule="exact"/>
                    <w:rPr>
                      <w:rStyle w:val="CharStyle9Exact"/>
                      <w:lang w:val="en-US" w:eastAsia="en-US" w:bidi="en-US"/>
                    </w:rPr>
                  </w:pPr>
                  <w:hyperlink r:id="rId8" w:history="1">
                    <w:r w:rsidR="00270495">
                      <w:rPr>
                        <w:rStyle w:val="CharStyle9Exact"/>
                        <w:lang w:val="en-US" w:eastAsia="en-US" w:bidi="en-US"/>
                      </w:rPr>
                      <w:t>www.air-creative.cz</w:t>
                    </w:r>
                  </w:hyperlink>
                  <w:r w:rsidR="00270495">
                    <w:rPr>
                      <w:rStyle w:val="CharStyle9Exact"/>
                      <w:lang w:val="en-US" w:eastAsia="en-US" w:bidi="en-US"/>
                    </w:rPr>
                    <w:t xml:space="preserve"> </w:t>
                  </w:r>
                </w:p>
                <w:p w:rsidR="00B31B84" w:rsidRDefault="00270495">
                  <w:pPr>
                    <w:pStyle w:val="Style8"/>
                    <w:shd w:val="clear" w:color="auto" w:fill="auto"/>
                    <w:spacing w:after="0" w:line="283" w:lineRule="exact"/>
                  </w:pPr>
                  <w:r>
                    <w:rPr>
                      <w:rStyle w:val="CharStyle9Exact"/>
                    </w:rPr>
                    <w:t xml:space="preserve">Bankovní spojení: </w:t>
                  </w:r>
                  <w:proofErr w:type="spellStart"/>
                  <w:r w:rsidR="000A31B9">
                    <w:rPr>
                      <w:rStyle w:val="CharStyle9Exact"/>
                    </w:rPr>
                    <w:t>xxxxxxxxx</w:t>
                  </w:r>
                  <w:proofErr w:type="spellEnd"/>
                </w:p>
                <w:p w:rsidR="00B31B84" w:rsidRDefault="00270495">
                  <w:pPr>
                    <w:pStyle w:val="Style8"/>
                    <w:shd w:val="clear" w:color="auto" w:fill="auto"/>
                    <w:spacing w:after="302"/>
                  </w:pPr>
                  <w:r>
                    <w:rPr>
                      <w:rStyle w:val="CharStyle9Exact"/>
                    </w:rPr>
                    <w:t xml:space="preserve">Číslo účtu: </w:t>
                  </w:r>
                  <w:proofErr w:type="spellStart"/>
                  <w:r w:rsidR="000A31B9">
                    <w:rPr>
                      <w:rStyle w:val="CharStyle9Exact"/>
                    </w:rPr>
                    <w:t>xxxxxxxx</w:t>
                  </w:r>
                  <w:proofErr w:type="spellEnd"/>
                </w:p>
                <w:p w:rsidR="000A31B9" w:rsidRDefault="00270495">
                  <w:pPr>
                    <w:pStyle w:val="Style8"/>
                    <w:shd w:val="clear" w:color="auto" w:fill="auto"/>
                    <w:spacing w:after="498" w:line="278" w:lineRule="exact"/>
                    <w:rPr>
                      <w:rStyle w:val="CharStyle9Exact"/>
                    </w:rPr>
                  </w:pPr>
                  <w:r>
                    <w:rPr>
                      <w:rStyle w:val="CharStyle9Exact"/>
                    </w:rPr>
                    <w:t>IČO:67668933</w:t>
                  </w:r>
                </w:p>
                <w:p w:rsidR="00B31B84" w:rsidRDefault="00270495">
                  <w:pPr>
                    <w:pStyle w:val="Style8"/>
                    <w:shd w:val="clear" w:color="auto" w:fill="auto"/>
                    <w:spacing w:after="498" w:line="278" w:lineRule="exact"/>
                  </w:pPr>
                  <w:r>
                    <w:rPr>
                      <w:rStyle w:val="CharStyle9Exact"/>
                    </w:rPr>
                    <w:t xml:space="preserve"> DIČ: CZ6907020351</w:t>
                  </w:r>
                </w:p>
                <w:p w:rsidR="00B31B84" w:rsidRDefault="00270495">
                  <w:pPr>
                    <w:pStyle w:val="Style8"/>
                    <w:shd w:val="clear" w:color="auto" w:fill="auto"/>
                    <w:spacing w:after="0"/>
                  </w:pPr>
                  <w:r>
                    <w:rPr>
                      <w:rStyle w:val="CharStyle9Exact"/>
                    </w:rPr>
                    <w:t xml:space="preserve">ŽL vydal ÚMČ Praha 7 pod </w:t>
                  </w:r>
                  <w:proofErr w:type="gramStart"/>
                  <w:r>
                    <w:rPr>
                      <w:rStyle w:val="CharStyle9Exact"/>
                    </w:rPr>
                    <w:t>č.j.</w:t>
                  </w:r>
                  <w:proofErr w:type="gramEnd"/>
                  <w:r>
                    <w:rPr>
                      <w:rStyle w:val="CharStyle9Exact"/>
                    </w:rPr>
                    <w:t xml:space="preserve"> QŽV/0001430/03/Nov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5.45pt;margin-top:56.4pt;width:39.85pt;height:9.7pt;z-index:251652096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8"/>
                    <w:shd w:val="clear" w:color="auto" w:fill="auto"/>
                    <w:spacing w:after="0"/>
                  </w:pPr>
                  <w:r>
                    <w:rPr>
                      <w:rStyle w:val="CharStyle9Exact"/>
                    </w:rPr>
                    <w:t>Odběratel: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62.3pt;margin-top:106.2pt;width:132pt;height:44.65pt;z-index:251653120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10"/>
                    <w:shd w:val="clear" w:color="auto" w:fill="auto"/>
                    <w:spacing w:before="0" w:after="0" w:line="278" w:lineRule="exact"/>
                  </w:pPr>
                  <w:r>
                    <w:t>Domov pro seniory Praha 4 - Háje</w:t>
                  </w:r>
                </w:p>
                <w:p w:rsidR="000A31B9" w:rsidRDefault="00270495">
                  <w:pPr>
                    <w:pStyle w:val="Style12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>K Milíčovu 734</w:t>
                  </w:r>
                </w:p>
                <w:p w:rsidR="00B31B84" w:rsidRDefault="00270495">
                  <w:pPr>
                    <w:pStyle w:val="Style12"/>
                    <w:keepNext/>
                    <w:keepLines/>
                    <w:shd w:val="clear" w:color="auto" w:fill="auto"/>
                  </w:pPr>
                  <w:r>
                    <w:t xml:space="preserve">149 00 </w:t>
                  </w:r>
                  <w:proofErr w:type="gramStart"/>
                  <w:r>
                    <w:t>Praha 4-Háje</w:t>
                  </w:r>
                  <w:bookmarkEnd w:id="1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62.3pt;margin-top:217.35pt;width:55.2pt;height:30pt;z-index:251654144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8"/>
                    <w:shd w:val="clear" w:color="auto" w:fill="auto"/>
                    <w:spacing w:after="0" w:line="278" w:lineRule="exact"/>
                    <w:jc w:val="both"/>
                  </w:pPr>
                  <w:r>
                    <w:rPr>
                      <w:rStyle w:val="CharStyle9Exact"/>
                    </w:rPr>
                    <w:t>ICO: 70875111 DIČ: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5.45pt;margin-top:256.55pt;width:63.35pt;height:10.15pt;z-index:251655168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8"/>
                    <w:shd w:val="clear" w:color="auto" w:fill="auto"/>
                    <w:spacing w:after="0"/>
                  </w:pPr>
                  <w:r>
                    <w:rPr>
                      <w:rStyle w:val="CharStyle9Exact"/>
                    </w:rPr>
                    <w:t>Konečný příjemce: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.2pt;margin-top:304.55pt;width:56.65pt;height:10.15pt;z-index:251656192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10"/>
                    <w:shd w:val="clear" w:color="auto" w:fill="auto"/>
                    <w:spacing w:before="0" w:after="0"/>
                  </w:pPr>
                  <w:r>
                    <w:t>Datum nabídky: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13.05pt;margin-top:305.3pt;width:44.15pt;height:9.45pt;z-index:251657216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14"/>
                    <w:shd w:val="clear" w:color="auto" w:fill="auto"/>
                  </w:pPr>
                  <w:proofErr w:type="gramStart"/>
                  <w:r>
                    <w:t>07.03.2023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61.85pt;margin-top:301.85pt;width:55.7pt;height:39.3pt;z-index:251658240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10"/>
                    <w:shd w:val="clear" w:color="auto" w:fill="auto"/>
                    <w:spacing w:before="0" w:after="0" w:line="254" w:lineRule="exact"/>
                    <w:jc w:val="both"/>
                  </w:pPr>
                  <w:r>
                    <w:t>Číslo nabídky:</w:t>
                  </w:r>
                </w:p>
                <w:p w:rsidR="00B31B84" w:rsidRDefault="00270495">
                  <w:pPr>
                    <w:pStyle w:val="Style8"/>
                    <w:shd w:val="clear" w:color="auto" w:fill="auto"/>
                    <w:spacing w:after="0" w:line="254" w:lineRule="exact"/>
                    <w:jc w:val="both"/>
                  </w:pPr>
                  <w:r>
                    <w:rPr>
                      <w:rStyle w:val="CharStyle9Exact"/>
                    </w:rPr>
                    <w:t>Způsob úhrady: Číslo účtu: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40.1pt;margin-top:300.9pt;width:71.05pt;height:40.55pt;z-index:251659264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14"/>
                    <w:shd w:val="clear" w:color="auto" w:fill="auto"/>
                    <w:spacing w:line="254" w:lineRule="exact"/>
                    <w:jc w:val="both"/>
                  </w:pPr>
                  <w:r>
                    <w:t>230022</w:t>
                  </w:r>
                </w:p>
                <w:p w:rsidR="00B31B84" w:rsidRDefault="00270495">
                  <w:pPr>
                    <w:pStyle w:val="Style8"/>
                    <w:shd w:val="clear" w:color="auto" w:fill="auto"/>
                    <w:spacing w:after="0" w:line="254" w:lineRule="exact"/>
                    <w:ind w:right="180"/>
                    <w:jc w:val="both"/>
                  </w:pPr>
                  <w:r>
                    <w:rPr>
                      <w:rStyle w:val="CharStyle9Exact"/>
                    </w:rPr>
                    <w:t xml:space="preserve">Převodem na účet </w:t>
                  </w:r>
                  <w:r w:rsidR="000A31B9">
                    <w:rPr>
                      <w:rStyle w:val="CharStyle9Exact"/>
                    </w:rPr>
                    <w:t>xxxxxxxxxxxx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88.8pt;width:522.5pt;height:322.8pt;z-index:2516602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74"/>
                    <w:gridCol w:w="1090"/>
                    <w:gridCol w:w="768"/>
                    <w:gridCol w:w="1042"/>
                    <w:gridCol w:w="811"/>
                    <w:gridCol w:w="1138"/>
                    <w:gridCol w:w="1128"/>
                  </w:tblGrid>
                  <w:tr w:rsidR="00B31B84">
                    <w:trPr>
                      <w:trHeight w:hRule="exact" w:val="466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Nabízené zboží / služby</w:t>
                        </w:r>
                      </w:p>
                    </w:tc>
                    <w:tc>
                      <w:tcPr>
                        <w:tcW w:w="1090" w:type="dxa"/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Cena ks</w:t>
                        </w:r>
                      </w:p>
                    </w:tc>
                    <w:tc>
                      <w:tcPr>
                        <w:tcW w:w="768" w:type="dxa"/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160"/>
                        </w:pPr>
                        <w:r>
                          <w:rPr>
                            <w:rStyle w:val="CharStyle17"/>
                          </w:rPr>
                          <w:t>Počet</w:t>
                        </w:r>
                      </w:p>
                    </w:tc>
                    <w:tc>
                      <w:tcPr>
                        <w:tcW w:w="1042" w:type="dxa"/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8"/>
                          </w:rPr>
                          <w:t>Bez DPH</w:t>
                        </w:r>
                      </w:p>
                    </w:tc>
                    <w:tc>
                      <w:tcPr>
                        <w:tcW w:w="811" w:type="dxa"/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8"/>
                          </w:rPr>
                          <w:t>DPH %</w:t>
                        </w:r>
                      </w:p>
                    </w:tc>
                    <w:tc>
                      <w:tcPr>
                        <w:tcW w:w="1138" w:type="dxa"/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8"/>
                          </w:rPr>
                          <w:t>DPH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Včetně DPH</w:t>
                        </w:r>
                      </w:p>
                    </w:tc>
                  </w:tr>
                  <w:tr w:rsidR="00B31B84">
                    <w:trPr>
                      <w:trHeight w:hRule="exact" w:val="422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Vonná směs 145A/50ml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761,00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30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22 830,00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4 794,30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27 624,30</w:t>
                        </w:r>
                      </w:p>
                    </w:tc>
                  </w:tr>
                  <w:tr w:rsidR="00B31B84">
                    <w:trPr>
                      <w:trHeight w:hRule="exact" w:val="250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Vonná směs 122A/50ml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761,00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24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18 264,00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3 835,44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22 099,44</w:t>
                        </w:r>
                      </w:p>
                    </w:tc>
                  </w:tr>
                  <w:tr w:rsidR="00B31B84">
                    <w:trPr>
                      <w:trHeight w:hRule="exact" w:val="254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Vonná směs 195S /50ml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761,00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2 283,00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479,43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2 762,43</w:t>
                        </w:r>
                      </w:p>
                    </w:tc>
                  </w:tr>
                  <w:tr w:rsidR="00B31B84">
                    <w:trPr>
                      <w:trHeight w:hRule="exact" w:val="254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 xml:space="preserve">Odstraňovač zápachu </w:t>
                        </w:r>
                        <w:proofErr w:type="spellStart"/>
                        <w:r>
                          <w:rPr>
                            <w:rStyle w:val="CharStyle17"/>
                          </w:rPr>
                          <w:t>Airomex</w:t>
                        </w:r>
                        <w:proofErr w:type="spellEnd"/>
                        <w:r>
                          <w:rPr>
                            <w:rStyle w:val="CharStyle17"/>
                          </w:rPr>
                          <w:t xml:space="preserve"> AWS /II, </w:t>
                        </w:r>
                        <w:proofErr w:type="spellStart"/>
                        <w:r>
                          <w:rPr>
                            <w:rStyle w:val="CharStyle17"/>
                          </w:rPr>
                          <w:t>koncenrát</w:t>
                        </w:r>
                        <w:proofErr w:type="spellEnd"/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4 180,00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5,5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22 990,00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4 827,90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27 817,90</w:t>
                        </w:r>
                      </w:p>
                    </w:tc>
                  </w:tr>
                  <w:tr w:rsidR="00B31B84">
                    <w:trPr>
                      <w:trHeight w:hRule="exact" w:val="254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8"/>
                          </w:rPr>
                          <w:t>Celkem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8"/>
                          </w:rPr>
                          <w:t>66 367,00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8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8"/>
                          </w:rPr>
                          <w:t>13 937,07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8"/>
                          </w:rPr>
                          <w:t>80 304,07</w:t>
                        </w:r>
                      </w:p>
                    </w:tc>
                  </w:tr>
                  <w:tr w:rsidR="00B31B84">
                    <w:trPr>
                      <w:trHeight w:hRule="exact" w:val="254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Sleva, množstevní sleva + sleva za vrácené obaly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5,00 %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-3 318,35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-696,85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-4 015,20</w:t>
                        </w:r>
                      </w:p>
                    </w:tc>
                  </w:tr>
                  <w:tr w:rsidR="00B31B84">
                    <w:trPr>
                      <w:trHeight w:hRule="exact" w:val="456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 w:line="187" w:lineRule="exact"/>
                        </w:pPr>
                        <w:r>
                          <w:rPr>
                            <w:rStyle w:val="CharStyle17"/>
                          </w:rPr>
                          <w:t>Směsná náplň odstraňovač zápachu AWS s vonnou směsí 199P /500ml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801,00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11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8 811,00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1 850,31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10 661,31</w:t>
                        </w:r>
                      </w:p>
                    </w:tc>
                  </w:tr>
                  <w:tr w:rsidR="00B31B84">
                    <w:trPr>
                      <w:trHeight w:hRule="exact" w:val="451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 w:line="192" w:lineRule="exact"/>
                        </w:pPr>
                        <w:r>
                          <w:rPr>
                            <w:rStyle w:val="CharStyle17"/>
                          </w:rPr>
                          <w:t>Směsná náplň odstraňovač zápachu ATS s vonnou směsí 105A /500ml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801,00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1 602,00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336,42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1 938,42</w:t>
                        </w:r>
                      </w:p>
                    </w:tc>
                  </w:tr>
                  <w:tr w:rsidR="00B31B84">
                    <w:trPr>
                      <w:trHeight w:hRule="exact" w:val="446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 w:line="192" w:lineRule="exact"/>
                        </w:pPr>
                        <w:r>
                          <w:rPr>
                            <w:rStyle w:val="CharStyle17"/>
                          </w:rPr>
                          <w:t>Směsná náplň odstraňovač zápachu ATS s vonnou směsí 199P /500ml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801,00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1 602,00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336,42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1 938,42</w:t>
                        </w:r>
                      </w:p>
                    </w:tc>
                  </w:tr>
                  <w:tr w:rsidR="00B31B84">
                    <w:trPr>
                      <w:trHeight w:hRule="exact" w:val="446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 w:line="187" w:lineRule="exact"/>
                        </w:pPr>
                        <w:r>
                          <w:rPr>
                            <w:rStyle w:val="CharStyle17"/>
                          </w:rPr>
                          <w:t>Směsná náplň odstraňovač zápachu AWS s vonnou směsí 105A /500ml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801,00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2 403,00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504,63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2 907,63</w:t>
                        </w:r>
                      </w:p>
                    </w:tc>
                  </w:tr>
                  <w:tr w:rsidR="00B31B84">
                    <w:trPr>
                      <w:trHeight w:hRule="exact" w:val="446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 w:line="192" w:lineRule="exact"/>
                        </w:pPr>
                        <w:r>
                          <w:rPr>
                            <w:rStyle w:val="CharStyle17"/>
                          </w:rPr>
                          <w:t>Směsná náplň odstraňovač zápachu AWS s vonnou směsí 199P /500ml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801,00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4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3 204,00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672,84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3 876,84</w:t>
                        </w:r>
                      </w:p>
                    </w:tc>
                  </w:tr>
                  <w:tr w:rsidR="00B31B84">
                    <w:trPr>
                      <w:trHeight w:hRule="exact" w:val="250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 xml:space="preserve">Vůně </w:t>
                        </w:r>
                        <w:r>
                          <w:rPr>
                            <w:rStyle w:val="CharStyle17"/>
                            <w:lang w:val="en-US" w:eastAsia="en-US" w:bidi="en-US"/>
                          </w:rPr>
                          <w:t xml:space="preserve">pro </w:t>
                        </w:r>
                        <w:r>
                          <w:rPr>
                            <w:rStyle w:val="CharStyle17"/>
                          </w:rPr>
                          <w:t>MSC OG1160, (žlutá) /500ml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845,00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845,00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177,45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1 022,45</w:t>
                        </w:r>
                      </w:p>
                    </w:tc>
                  </w:tr>
                  <w:tr w:rsidR="00B31B84">
                    <w:trPr>
                      <w:trHeight w:hRule="exact" w:val="442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Dodání zdarma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7"/>
                          </w:rPr>
                          <w:t>0,00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center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160"/>
                          <w:jc w:val="right"/>
                        </w:pPr>
                        <w:r>
                          <w:rPr>
                            <w:rStyle w:val="CharStyle17"/>
                          </w:rPr>
                          <w:t>0,00</w:t>
                        </w:r>
                      </w:p>
                    </w:tc>
                    <w:tc>
                      <w:tcPr>
                        <w:tcW w:w="811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left="200"/>
                        </w:pPr>
                        <w:r>
                          <w:rPr>
                            <w:rStyle w:val="CharStyle17"/>
                          </w:rPr>
                          <w:t>21,00</w:t>
                        </w:r>
                      </w:p>
                    </w:tc>
                    <w:tc>
                      <w:tcPr>
                        <w:tcW w:w="1138" w:type="dxa"/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ind w:right="260"/>
                          <w:jc w:val="right"/>
                        </w:pPr>
                        <w:r>
                          <w:rPr>
                            <w:rStyle w:val="CharStyle17"/>
                          </w:rPr>
                          <w:t>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0,00</w:t>
                        </w:r>
                      </w:p>
                    </w:tc>
                  </w:tr>
                  <w:tr w:rsidR="00B31B84">
                    <w:trPr>
                      <w:trHeight w:hRule="exact" w:val="518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Celkem (Kč):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98 633,94</w:t>
                        </w:r>
                      </w:p>
                    </w:tc>
                  </w:tr>
                  <w:tr w:rsidR="00B31B84">
                    <w:trPr>
                      <w:trHeight w:hRule="exact" w:val="389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7"/>
                          </w:rPr>
                          <w:t>Uhrazeno zálohou (Kč):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7"/>
                          </w:rPr>
                          <w:t>0,00</w:t>
                        </w:r>
                      </w:p>
                    </w:tc>
                  </w:tr>
                  <w:tr w:rsidR="00B31B84">
                    <w:trPr>
                      <w:trHeight w:hRule="exact" w:val="456"/>
                    </w:trPr>
                    <w:tc>
                      <w:tcPr>
                        <w:tcW w:w="447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8"/>
                          </w:rPr>
                          <w:t>K úhradě (Kč):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1B84" w:rsidRDefault="00B31B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B31B84" w:rsidRDefault="00270495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8"/>
                          </w:rPr>
                          <w:t>98 633,94</w:t>
                        </w:r>
                      </w:p>
                    </w:tc>
                  </w:tr>
                </w:tbl>
                <w:p w:rsidR="006D6D6C" w:rsidRDefault="006D6D6C"/>
              </w:txbxContent>
            </v:textbox>
            <w10:wrap anchorx="margin"/>
          </v:shape>
        </w:pict>
      </w:r>
      <w:r>
        <w:pict>
          <v:shape id="_x0000_s1038" type="#_x0000_t202" style="position:absolute;margin-left:1.25pt;margin-top:370.3pt;width:119.05pt;height:9.2pt;z-index:251661312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19"/>
                    <w:shd w:val="clear" w:color="auto" w:fill="auto"/>
                  </w:pPr>
                  <w:r>
                    <w:t>Nabízíme Vám následující položky: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.25pt;margin-top:721.2pt;width:62.9pt;height:10.15pt;z-index:251662336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21"/>
                    <w:shd w:val="clear" w:color="auto" w:fill="E6E6E6"/>
                  </w:pPr>
                  <w:r>
                    <w:t>Rekapitulace DPH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9.4pt;margin-top:721.7pt;width:43.7pt;height:9.7pt;z-index:251663360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21"/>
                    <w:shd w:val="clear" w:color="auto" w:fill="E6E6E6"/>
                  </w:pPr>
                  <w:r>
                    <w:t>Základ DPH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16.3pt;margin-top:721.9pt;width:20.65pt;height:9.45pt;z-index:251664384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21"/>
                    <w:shd w:val="clear" w:color="auto" w:fill="E6E6E6"/>
                  </w:pPr>
                  <w:r>
                    <w:t>DPH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62.35pt;margin-top:723.15pt;width:44.15pt;height:9.2pt;z-index:251665408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21"/>
                    <w:shd w:val="clear" w:color="auto" w:fill="E6E6E6"/>
                  </w:pPr>
                  <w:r>
                    <w:t>Včetně DPH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13.25pt;margin-top:714.5pt;width:70.55pt;height:10.15pt;z-index:251666432;mso-wrap-distance-left:5pt;mso-wrap-distance-right:5pt;mso-position-horizontal-relative:margin" filled="f" stroked="f">
            <v:textbox style="mso-fit-shape-to-text:t" inset="0,0,0,0">
              <w:txbxContent>
                <w:p w:rsidR="00B31B84" w:rsidRDefault="00270495">
                  <w:pPr>
                    <w:pStyle w:val="Style21"/>
                    <w:shd w:val="clear" w:color="auto" w:fill="auto"/>
                  </w:pPr>
                  <w:r>
                    <w:t>Otisk razítka, podpis</w:t>
                  </w:r>
                </w:p>
              </w:txbxContent>
            </v:textbox>
            <w10:wrap anchorx="margin"/>
          </v:shape>
        </w:pict>
      </w: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360" w:lineRule="exact"/>
      </w:pPr>
    </w:p>
    <w:p w:rsidR="00B31B84" w:rsidRDefault="00B31B84">
      <w:pPr>
        <w:spacing w:line="578" w:lineRule="exact"/>
      </w:pPr>
      <w:bookmarkStart w:id="2" w:name="_GoBack"/>
      <w:bookmarkEnd w:id="2"/>
    </w:p>
    <w:p w:rsidR="00B31B84" w:rsidRDefault="00B31B84">
      <w:pPr>
        <w:rPr>
          <w:sz w:val="2"/>
          <w:szCs w:val="2"/>
        </w:rPr>
        <w:sectPr w:rsidR="00B31B84">
          <w:footerReference w:type="default" r:id="rId9"/>
          <w:type w:val="continuous"/>
          <w:pgSz w:w="11909" w:h="16838"/>
          <w:pgMar w:top="536" w:right="693" w:bottom="536" w:left="7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584"/>
        <w:gridCol w:w="1339"/>
        <w:gridCol w:w="1142"/>
        <w:gridCol w:w="2434"/>
        <w:gridCol w:w="1824"/>
      </w:tblGrid>
      <w:tr w:rsidR="00B31B84">
        <w:trPr>
          <w:trHeight w:hRule="exact" w:val="965"/>
          <w:jc w:val="center"/>
        </w:trPr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 w:line="146" w:lineRule="exact"/>
            </w:pPr>
            <w:r>
              <w:rPr>
                <w:rStyle w:val="CharStyle25"/>
              </w:rPr>
              <w:lastRenderedPageBreak/>
              <w:t xml:space="preserve">Zboží a služby 21,00 </w:t>
            </w:r>
            <w:r>
              <w:rPr>
                <w:rStyle w:val="CharStyle26"/>
              </w:rPr>
              <w:t>%</w:t>
            </w:r>
          </w:p>
        </w:tc>
        <w:tc>
          <w:tcPr>
            <w:tcW w:w="1584" w:type="dxa"/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620"/>
            </w:pPr>
            <w:r>
              <w:rPr>
                <w:rStyle w:val="CharStyle17"/>
              </w:rPr>
              <w:t>81 515,65</w:t>
            </w:r>
          </w:p>
        </w:tc>
        <w:tc>
          <w:tcPr>
            <w:tcW w:w="1339" w:type="dxa"/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60"/>
              <w:jc w:val="center"/>
            </w:pPr>
            <w:r>
              <w:rPr>
                <w:rStyle w:val="CharStyle17"/>
              </w:rPr>
              <w:t>17 118,29</w:t>
            </w:r>
          </w:p>
        </w:tc>
        <w:tc>
          <w:tcPr>
            <w:tcW w:w="1142" w:type="dxa"/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7"/>
              </w:rPr>
              <w:t>98 633,94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B31B84" w:rsidRDefault="00B31B8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 w:line="86" w:lineRule="exact"/>
            </w:pPr>
            <w:r>
              <w:rPr>
                <w:rStyle w:val="CharStyle27"/>
              </w:rPr>
              <w:t xml:space="preserve">1/0 </w:t>
            </w:r>
            <w:proofErr w:type="spellStart"/>
            <w:r>
              <w:rPr>
                <w:rStyle w:val="CharStyle27"/>
              </w:rPr>
              <w:t>oo</w:t>
            </w:r>
            <w:proofErr w:type="spellEnd"/>
            <w:r>
              <w:rPr>
                <w:rStyle w:val="CharStyle27"/>
              </w:rPr>
              <w:t xml:space="preserve"> Praha </w:t>
            </w:r>
            <w:r>
              <w:rPr>
                <w:rStyle w:val="CharStyle28"/>
              </w:rPr>
              <w:t>7 :</w:t>
            </w:r>
            <w:r>
              <w:rPr>
                <w:rStyle w:val="CharStyle27"/>
              </w:rPr>
              <w:t xml:space="preserve"> i\ 37-0007020851</w:t>
            </w:r>
          </w:p>
        </w:tc>
      </w:tr>
      <w:tr w:rsidR="00B31B84">
        <w:trPr>
          <w:trHeight w:hRule="exact" w:val="475"/>
          <w:jc w:val="center"/>
        </w:trPr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8"/>
              </w:rPr>
              <w:t xml:space="preserve">Celkem </w:t>
            </w:r>
            <w:r>
              <w:rPr>
                <w:rStyle w:val="CharStyle17"/>
              </w:rPr>
              <w:t>(Kč):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620"/>
            </w:pPr>
            <w:r>
              <w:rPr>
                <w:rStyle w:val="CharStyle18"/>
              </w:rPr>
              <w:t>81 515,65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60"/>
              <w:jc w:val="center"/>
            </w:pPr>
            <w:r>
              <w:rPr>
                <w:rStyle w:val="CharStyle18"/>
              </w:rPr>
              <w:t>17 118,29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B31B84" w:rsidRDefault="00270495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8"/>
              </w:rPr>
              <w:t>98 633,94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B84" w:rsidRDefault="00B31B8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B84" w:rsidRDefault="00B31B84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1B84" w:rsidRDefault="00270495">
      <w:pPr>
        <w:pStyle w:val="Style23"/>
        <w:framePr w:w="10498" w:wrap="notBeside" w:vAnchor="text" w:hAnchor="text" w:xAlign="center" w:y="1"/>
        <w:shd w:val="clear" w:color="auto" w:fill="auto"/>
      </w:pPr>
      <w:r>
        <w:t xml:space="preserve">Děkuji za Vaší </w:t>
      </w:r>
      <w:proofErr w:type="gramStart"/>
      <w:r>
        <w:t>objednávku</w:t>
      </w:r>
      <w:proofErr w:type="gramEnd"/>
      <w:r>
        <w:t>.</w:t>
      </w:r>
    </w:p>
    <w:p w:rsidR="00B31B84" w:rsidRDefault="00B31B84">
      <w:pPr>
        <w:framePr w:w="10498" w:wrap="notBeside" w:vAnchor="text" w:hAnchor="text" w:xAlign="center" w:y="1"/>
        <w:rPr>
          <w:sz w:val="2"/>
          <w:szCs w:val="2"/>
        </w:rPr>
      </w:pPr>
    </w:p>
    <w:p w:rsidR="00B31B84" w:rsidRDefault="00B31B84">
      <w:pPr>
        <w:rPr>
          <w:sz w:val="2"/>
          <w:szCs w:val="2"/>
        </w:rPr>
      </w:pPr>
    </w:p>
    <w:p w:rsidR="00B31B84" w:rsidRDefault="00B31B84">
      <w:pPr>
        <w:rPr>
          <w:sz w:val="2"/>
          <w:szCs w:val="2"/>
        </w:rPr>
      </w:pPr>
    </w:p>
    <w:sectPr w:rsidR="00B31B84">
      <w:pgSz w:w="11909" w:h="16838"/>
      <w:pgMar w:top="482" w:right="693" w:bottom="482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00" w:rsidRDefault="003C1400">
      <w:r>
        <w:separator/>
      </w:r>
    </w:p>
  </w:endnote>
  <w:endnote w:type="continuationSeparator" w:id="0">
    <w:p w:rsidR="003C1400" w:rsidRDefault="003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84" w:rsidRDefault="003C14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75pt;margin-top:797.25pt;width:513.6pt;height:5.5pt;z-index:-188744063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31B84" w:rsidRDefault="00270495">
                <w:pPr>
                  <w:pStyle w:val="Style2"/>
                  <w:shd w:val="clear" w:color="auto" w:fill="auto"/>
                  <w:tabs>
                    <w:tab w:val="right" w:pos="10272"/>
                  </w:tabs>
                  <w:spacing w:line="240" w:lineRule="auto"/>
                </w:pPr>
                <w:r>
                  <w:rPr>
                    <w:rStyle w:val="CharStyle4"/>
                  </w:rPr>
                  <w:t xml:space="preserve">Vystaveno v podnikatelském systému </w:t>
                </w:r>
                <w:proofErr w:type="spellStart"/>
                <w:r w:rsidR="000E5173">
                  <w:rPr>
                    <w:rStyle w:val="CharStyle4"/>
                  </w:rPr>
                  <w:t>xxxxxxxxxxx</w:t>
                </w:r>
                <w:proofErr w:type="spellEnd"/>
                <w:r>
                  <w:rPr>
                    <w:rStyle w:val="CharStyle5"/>
                  </w:rPr>
                  <w:tab/>
                </w:r>
                <w:r>
                  <w:rPr>
                    <w:rStyle w:val="CharStyle5"/>
                    <w:lang w:val="cs-CZ" w:eastAsia="cs-CZ" w:bidi="cs-CZ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E5173" w:rsidRPr="000E5173">
                  <w:rPr>
                    <w:rStyle w:val="CharStyle5"/>
                    <w:noProof/>
                    <w:lang w:val="cs-CZ" w:eastAsia="cs-CZ" w:bidi="cs-CZ"/>
                  </w:rPr>
                  <w:t>2</w:t>
                </w:r>
                <w:r>
                  <w:rPr>
                    <w:rStyle w:val="CharStyle5"/>
                    <w:lang w:val="cs-CZ" w:eastAsia="cs-CZ" w:bidi="cs-CZ"/>
                  </w:rPr>
                  <w:fldChar w:fldCharType="end"/>
                </w:r>
                <w:r>
                  <w:rPr>
                    <w:rStyle w:val="CharStyle5"/>
                    <w:lang w:val="cs-CZ" w:eastAsia="cs-CZ" w:bidi="cs-CZ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5.85pt;margin-top:794.75pt;width:523.9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00" w:rsidRDefault="003C1400"/>
  </w:footnote>
  <w:footnote w:type="continuationSeparator" w:id="0">
    <w:p w:rsidR="003C1400" w:rsidRDefault="003C1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1B84"/>
    <w:rsid w:val="000A31B9"/>
    <w:rsid w:val="000E5173"/>
    <w:rsid w:val="00270495"/>
    <w:rsid w:val="003C1400"/>
    <w:rsid w:val="006D6D6C"/>
    <w:rsid w:val="00B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80"/>
      <w:position w:val="0"/>
      <w:sz w:val="11"/>
      <w:szCs w:val="11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1"/>
      <w:szCs w:val="11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Char Style 16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">
    <w:name w:val="Char Style 25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6">
    <w:name w:val="Char Style 26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B6B5B6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8">
    <w:name w:val="Char Style 28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B6B5B6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2" w:lineRule="exact"/>
    </w:pPr>
    <w:rPr>
      <w:rFonts w:ascii="Arial" w:eastAsia="Arial" w:hAnsi="Arial" w:cs="Arial"/>
      <w:w w:val="80"/>
      <w:sz w:val="11"/>
      <w:szCs w:val="1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34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Style8">
    <w:name w:val="Style 8"/>
    <w:basedOn w:val="Normln"/>
    <w:link w:val="CharStyle16"/>
    <w:pPr>
      <w:shd w:val="clear" w:color="auto" w:fill="FFFFFF"/>
      <w:spacing w:after="4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400" w:after="100"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78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0E51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17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E51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1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creativ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3</cp:revision>
  <dcterms:created xsi:type="dcterms:W3CDTF">2023-03-13T07:43:00Z</dcterms:created>
  <dcterms:modified xsi:type="dcterms:W3CDTF">2023-03-13T07:47:00Z</dcterms:modified>
</cp:coreProperties>
</file>