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82C7A5D" w:rsidR="00997E47" w:rsidRPr="00D74A45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D74A4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752959" w:rsidRPr="00D74A45">
        <w:rPr>
          <w:rFonts w:asciiTheme="minorHAnsi" w:hAnsiTheme="minorHAnsi" w:cstheme="minorHAnsi"/>
          <w:color w:val="000000"/>
          <w:sz w:val="24"/>
          <w:szCs w:val="24"/>
        </w:rPr>
        <w:t>1</w:t>
      </w:r>
      <w:bookmarkEnd w:id="1"/>
      <w:r w:rsidRPr="00D74A45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D74A4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536878E2" w:rsidR="00005867" w:rsidRPr="00781562" w:rsidRDefault="00F114A2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75E896F9" w14:textId="77777777" w:rsidR="00F114A2" w:rsidRPr="00781562" w:rsidRDefault="00F114A2" w:rsidP="00F114A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A5022E">
        <w:rPr>
          <w:rFonts w:asciiTheme="minorHAnsi" w:hAnsiTheme="minorHAnsi" w:cstheme="minorHAnsi"/>
          <w:b/>
        </w:rPr>
        <w:t>RBP, zdravotní pojišťovna</w:t>
      </w:r>
    </w:p>
    <w:p w14:paraId="76F4CBF5" w14:textId="77777777" w:rsidR="00F114A2" w:rsidRPr="00781562" w:rsidRDefault="00F114A2" w:rsidP="00F114A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 w:rsidRPr="00A5022E">
        <w:rPr>
          <w:rFonts w:asciiTheme="minorHAnsi" w:hAnsiTheme="minorHAnsi" w:cstheme="minorHAnsi"/>
          <w:bCs/>
        </w:rPr>
        <w:t>Michálkovická 967/108, 710 00 Ostrava – Slezská Ostrava</w:t>
      </w:r>
    </w:p>
    <w:p w14:paraId="28417FCC" w14:textId="77777777" w:rsidR="00F114A2" w:rsidRPr="00781562" w:rsidRDefault="00F114A2" w:rsidP="00F114A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Pr="00A5022E">
        <w:rPr>
          <w:rFonts w:asciiTheme="minorHAnsi" w:hAnsiTheme="minorHAnsi" w:cstheme="minorHAnsi"/>
          <w:bCs/>
        </w:rPr>
        <w:t>Ing. Antonínem Klimšou, MBA, výkonným ředitelem</w:t>
      </w:r>
    </w:p>
    <w:p w14:paraId="73D09072" w14:textId="77777777" w:rsidR="00F114A2" w:rsidRPr="00781562" w:rsidRDefault="00F114A2" w:rsidP="00F114A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A5022E">
        <w:rPr>
          <w:rFonts w:asciiTheme="minorHAnsi" w:hAnsiTheme="minorHAnsi" w:cstheme="minorHAnsi"/>
          <w:bCs/>
        </w:rPr>
        <w:t>476 73 036</w:t>
      </w:r>
    </w:p>
    <w:p w14:paraId="23424F5D" w14:textId="77777777" w:rsidR="00F114A2" w:rsidRPr="00781562" w:rsidRDefault="00F114A2" w:rsidP="00F114A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A5022E">
        <w:rPr>
          <w:rFonts w:asciiTheme="minorHAnsi" w:hAnsiTheme="minorHAnsi" w:cstheme="minorHAnsi"/>
          <w:bCs/>
        </w:rPr>
        <w:t>CZ47673036</w:t>
      </w:r>
    </w:p>
    <w:p w14:paraId="41EB76A1" w14:textId="77777777" w:rsidR="00F114A2" w:rsidRPr="00781562" w:rsidRDefault="00F114A2" w:rsidP="00F114A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A5022E">
        <w:rPr>
          <w:rFonts w:asciiTheme="minorHAnsi" w:hAnsiTheme="minorHAnsi" w:cstheme="minorHAnsi"/>
          <w:bCs/>
        </w:rPr>
        <w:t>u Krajského soudu v Ostravě, oddíl AXIV, vložka 554</w:t>
      </w:r>
    </w:p>
    <w:p w14:paraId="0132E226" w14:textId="0ABC84C9" w:rsidR="00F114A2" w:rsidRPr="00781562" w:rsidRDefault="00F114A2" w:rsidP="00F114A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proofErr w:type="spellStart"/>
      <w:r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181A6F40" w14:textId="6DAAB849" w:rsidR="00F114A2" w:rsidRPr="00781562" w:rsidRDefault="00F114A2" w:rsidP="00F114A2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Číslo účtu: </w:t>
      </w:r>
      <w:proofErr w:type="spellStart"/>
      <w:r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65243D8D" w14:textId="492A9A81" w:rsidR="00997E47" w:rsidRPr="00781562" w:rsidRDefault="00F114A2" w:rsidP="00F114A2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287B1F86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ab/>
      </w:r>
      <w:proofErr w:type="spellStart"/>
      <w:r w:rsidR="00752959" w:rsidRPr="002146BF">
        <w:rPr>
          <w:rFonts w:asciiTheme="minorHAnsi" w:hAnsiTheme="minorHAnsi"/>
          <w:b/>
          <w:bCs/>
        </w:rPr>
        <w:t>Novartis</w:t>
      </w:r>
      <w:proofErr w:type="spellEnd"/>
      <w:r w:rsidR="00752959" w:rsidRPr="002146BF">
        <w:rPr>
          <w:rFonts w:asciiTheme="minorHAnsi" w:hAnsiTheme="minorHAnsi"/>
          <w:b/>
          <w:bCs/>
        </w:rPr>
        <w:t xml:space="preserve"> </w:t>
      </w:r>
      <w:proofErr w:type="spellStart"/>
      <w:r w:rsidR="00752959" w:rsidRPr="002146BF">
        <w:rPr>
          <w:rFonts w:asciiTheme="minorHAnsi" w:hAnsiTheme="minorHAnsi"/>
          <w:b/>
          <w:bCs/>
        </w:rPr>
        <w:t>Europharm</w:t>
      </w:r>
      <w:proofErr w:type="spellEnd"/>
      <w:r w:rsidR="00752959" w:rsidRPr="002146BF">
        <w:rPr>
          <w:rFonts w:asciiTheme="minorHAnsi" w:hAnsiTheme="minorHAnsi"/>
          <w:b/>
          <w:bCs/>
        </w:rPr>
        <w:t xml:space="preserve"> Limited</w:t>
      </w:r>
    </w:p>
    <w:p w14:paraId="6C618C4D" w14:textId="167524EF" w:rsidR="00E4237A" w:rsidRPr="00E4237A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752959" w:rsidRPr="002146BF">
        <w:rPr>
          <w:rFonts w:asciiTheme="minorHAnsi" w:hAnsiTheme="minorHAnsi"/>
        </w:rPr>
        <w:t xml:space="preserve">Vista </w:t>
      </w:r>
      <w:proofErr w:type="spellStart"/>
      <w:r w:rsidR="00752959" w:rsidRPr="002146BF">
        <w:rPr>
          <w:rFonts w:asciiTheme="minorHAnsi" w:hAnsiTheme="minorHAnsi"/>
        </w:rPr>
        <w:t>Building</w:t>
      </w:r>
      <w:proofErr w:type="spellEnd"/>
      <w:r w:rsidR="00752959" w:rsidRPr="002146BF">
        <w:rPr>
          <w:rFonts w:asciiTheme="minorHAnsi" w:hAnsiTheme="minorHAnsi"/>
        </w:rPr>
        <w:t xml:space="preserve">, </w:t>
      </w:r>
      <w:proofErr w:type="spellStart"/>
      <w:r w:rsidR="00752959" w:rsidRPr="002146BF">
        <w:rPr>
          <w:rFonts w:asciiTheme="minorHAnsi" w:hAnsiTheme="minorHAnsi"/>
        </w:rPr>
        <w:t>Elm</w:t>
      </w:r>
      <w:proofErr w:type="spellEnd"/>
      <w:r w:rsidR="00752959" w:rsidRPr="002146BF">
        <w:rPr>
          <w:rFonts w:asciiTheme="minorHAnsi" w:hAnsiTheme="minorHAnsi"/>
        </w:rPr>
        <w:t xml:space="preserve"> Park, </w:t>
      </w:r>
      <w:proofErr w:type="spellStart"/>
      <w:r w:rsidR="00752959" w:rsidRPr="002146BF">
        <w:rPr>
          <w:rFonts w:asciiTheme="minorHAnsi" w:hAnsiTheme="minorHAnsi"/>
        </w:rPr>
        <w:t>Merrion</w:t>
      </w:r>
      <w:proofErr w:type="spellEnd"/>
      <w:r w:rsidR="00752959" w:rsidRPr="002146BF">
        <w:rPr>
          <w:rFonts w:asciiTheme="minorHAnsi" w:hAnsiTheme="minorHAnsi"/>
        </w:rPr>
        <w:t xml:space="preserve"> </w:t>
      </w:r>
      <w:proofErr w:type="spellStart"/>
      <w:r w:rsidR="00752959" w:rsidRPr="002146BF">
        <w:rPr>
          <w:rFonts w:asciiTheme="minorHAnsi" w:hAnsiTheme="minorHAnsi"/>
        </w:rPr>
        <w:t>Road</w:t>
      </w:r>
      <w:proofErr w:type="spellEnd"/>
      <w:r w:rsidR="00752959" w:rsidRPr="002146BF">
        <w:rPr>
          <w:rFonts w:asciiTheme="minorHAnsi" w:hAnsiTheme="minorHAnsi"/>
        </w:rPr>
        <w:t>, D04A9N6 Dublin 4, Irsko</w:t>
      </w:r>
    </w:p>
    <w:p w14:paraId="60AD96CD" w14:textId="77777777" w:rsidR="00752959" w:rsidRPr="0018509E" w:rsidRDefault="00752959" w:rsidP="00752959">
      <w:pPr>
        <w:ind w:right="113"/>
        <w:jc w:val="both"/>
        <w:rPr>
          <w:rFonts w:asciiTheme="minorHAnsi" w:hAnsiTheme="minorHAnsi"/>
        </w:rPr>
      </w:pPr>
      <w:r w:rsidRPr="00B143E3">
        <w:rPr>
          <w:rFonts w:asciiTheme="minorHAnsi" w:hAnsiTheme="minorHAnsi" w:cstheme="minorHAnsi"/>
        </w:rPr>
        <w:t>Zapsaný v</w:t>
      </w:r>
      <w:r>
        <w:rPr>
          <w:rFonts w:asciiTheme="minorHAnsi" w:hAnsiTheme="minorHAnsi" w:cstheme="minorHAnsi"/>
        </w:rPr>
        <w:t xml:space="preserve"> obchodním </w:t>
      </w:r>
      <w:r w:rsidRPr="0018509E">
        <w:rPr>
          <w:rFonts w:asciiTheme="minorHAnsi" w:hAnsiTheme="minorHAnsi"/>
        </w:rPr>
        <w:t>rejstříku vedeném</w:t>
      </w:r>
      <w:r>
        <w:rPr>
          <w:rFonts w:asciiTheme="minorHAnsi" w:hAnsiTheme="minorHAnsi"/>
        </w:rPr>
        <w:t xml:space="preserve"> Úřadem pro registrací společností </w:t>
      </w:r>
      <w:proofErr w:type="spellStart"/>
      <w:r w:rsidRPr="003D7CEE">
        <w:rPr>
          <w:rFonts w:asciiTheme="minorHAnsi" w:hAnsiTheme="minorHAnsi"/>
        </w:rPr>
        <w:t>Companies</w:t>
      </w:r>
      <w:proofErr w:type="spellEnd"/>
      <w:r w:rsidRPr="003D7CEE">
        <w:rPr>
          <w:rFonts w:asciiTheme="minorHAnsi" w:hAnsiTheme="minorHAnsi"/>
        </w:rPr>
        <w:t xml:space="preserve"> </w:t>
      </w:r>
      <w:proofErr w:type="spellStart"/>
      <w:r w:rsidRPr="003D7CEE">
        <w:rPr>
          <w:rFonts w:asciiTheme="minorHAnsi" w:hAnsiTheme="minorHAnsi"/>
        </w:rPr>
        <w:t>Registration</w:t>
      </w:r>
      <w:proofErr w:type="spellEnd"/>
      <w:r w:rsidRPr="003D7CEE">
        <w:rPr>
          <w:rFonts w:asciiTheme="minorHAnsi" w:hAnsiTheme="minorHAnsi"/>
        </w:rPr>
        <w:t xml:space="preserve"> Office</w:t>
      </w:r>
      <w:r w:rsidRPr="00DD5BED">
        <w:rPr>
          <w:b/>
          <w:i/>
          <w:sz w:val="24"/>
          <w:szCs w:val="24"/>
        </w:rPr>
        <w:t xml:space="preserve"> </w:t>
      </w:r>
      <w:r>
        <w:rPr>
          <w:rFonts w:asciiTheme="minorHAnsi" w:hAnsiTheme="minorHAnsi"/>
        </w:rPr>
        <w:t xml:space="preserve">v Dublinu, Irsko, pod registračním číslem </w:t>
      </w:r>
      <w:r w:rsidRPr="006050A9">
        <w:rPr>
          <w:rFonts w:asciiTheme="minorHAnsi" w:hAnsiTheme="minorHAnsi" w:cstheme="minorHAnsi"/>
        </w:rPr>
        <w:t>617523</w:t>
      </w:r>
    </w:p>
    <w:p w14:paraId="7E7F20B8" w14:textId="77777777" w:rsidR="00752959" w:rsidRPr="00B143E3" w:rsidRDefault="00752959" w:rsidP="00752959">
      <w:pPr>
        <w:ind w:right="113"/>
        <w:jc w:val="both"/>
        <w:rPr>
          <w:rFonts w:asciiTheme="minorHAnsi" w:hAnsiTheme="minorHAnsi" w:cstheme="minorHAnsi"/>
        </w:rPr>
      </w:pPr>
      <w:r w:rsidRPr="00B143E3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>ý na základě plné moci ze dne 22.5.2018 společností</w:t>
      </w:r>
      <w:r w:rsidRPr="00B143E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6050A9">
        <w:rPr>
          <w:rFonts w:asciiTheme="minorHAnsi" w:hAnsiTheme="minorHAnsi" w:cstheme="minorHAnsi"/>
          <w:b/>
        </w:rPr>
        <w:t>Novartis</w:t>
      </w:r>
      <w:proofErr w:type="spellEnd"/>
      <w:r w:rsidRPr="006050A9">
        <w:rPr>
          <w:rFonts w:asciiTheme="minorHAnsi" w:hAnsiTheme="minorHAnsi" w:cstheme="minorHAnsi"/>
          <w:b/>
        </w:rPr>
        <w:t xml:space="preserve"> s.r.o.</w:t>
      </w:r>
    </w:p>
    <w:p w14:paraId="290BCD3D" w14:textId="77777777" w:rsidR="00752959" w:rsidRDefault="00752959" w:rsidP="00752959">
      <w:pPr>
        <w:spacing w:before="120" w:line="312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Sídlo: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F7822">
        <w:rPr>
          <w:rFonts w:asciiTheme="minorHAnsi" w:hAnsiTheme="minorHAnsi"/>
        </w:rPr>
        <w:t>Praha 4 - Nusle, Na Pankráci 1724/129, PSČ 14000, Česká republika</w:t>
      </w:r>
    </w:p>
    <w:p w14:paraId="755057C9" w14:textId="60AB5D1B" w:rsidR="00E4237A" w:rsidRPr="00E4237A" w:rsidRDefault="00E4237A" w:rsidP="00D74A45">
      <w:pPr>
        <w:ind w:right="113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752959" w:rsidRPr="000F7822">
        <w:rPr>
          <w:rFonts w:asciiTheme="minorHAnsi" w:hAnsiTheme="minorHAnsi"/>
        </w:rPr>
        <w:t>64575977</w:t>
      </w:r>
    </w:p>
    <w:p w14:paraId="2644B6ED" w14:textId="449736E3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752959" w:rsidRPr="000F7822">
        <w:rPr>
          <w:rFonts w:asciiTheme="minorHAnsi" w:hAnsiTheme="minorHAnsi"/>
        </w:rPr>
        <w:t>CZ64575977</w:t>
      </w:r>
    </w:p>
    <w:p w14:paraId="352A7425" w14:textId="2731DC79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Zapsaný ve veřejném rejstříku vedeném </w:t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 xml:space="preserve">u </w:t>
      </w:r>
      <w:r w:rsidR="00752959" w:rsidRPr="000F7822">
        <w:rPr>
          <w:rFonts w:asciiTheme="minorHAnsi" w:hAnsiTheme="minorHAnsi"/>
        </w:rPr>
        <w:t>Městsk</w:t>
      </w:r>
      <w:r w:rsidR="00752959">
        <w:rPr>
          <w:rFonts w:asciiTheme="minorHAnsi" w:hAnsiTheme="minorHAnsi"/>
        </w:rPr>
        <w:t>ého</w:t>
      </w:r>
      <w:r w:rsidR="00752959" w:rsidRPr="000F7822">
        <w:rPr>
          <w:rFonts w:asciiTheme="minorHAnsi" w:hAnsiTheme="minorHAnsi"/>
        </w:rPr>
        <w:t xml:space="preserve"> soud</w:t>
      </w:r>
      <w:r w:rsidR="00752959">
        <w:rPr>
          <w:rFonts w:asciiTheme="minorHAnsi" w:hAnsiTheme="minorHAnsi"/>
        </w:rPr>
        <w:t>u</w:t>
      </w:r>
      <w:r w:rsidR="00752959" w:rsidRPr="000F7822">
        <w:rPr>
          <w:rFonts w:asciiTheme="minorHAnsi" w:hAnsiTheme="minorHAnsi"/>
        </w:rPr>
        <w:t xml:space="preserve"> v Praze, </w:t>
      </w:r>
      <w:proofErr w:type="spellStart"/>
      <w:r w:rsidR="00752959" w:rsidRPr="000F7822">
        <w:rPr>
          <w:rFonts w:asciiTheme="minorHAnsi" w:hAnsiTheme="minorHAnsi"/>
        </w:rPr>
        <w:t>sp</w:t>
      </w:r>
      <w:proofErr w:type="spellEnd"/>
      <w:r w:rsidR="00752959" w:rsidRPr="000F7822">
        <w:rPr>
          <w:rFonts w:asciiTheme="minorHAnsi" w:hAnsiTheme="minorHAnsi"/>
        </w:rPr>
        <w:t>. zn. C 41352</w:t>
      </w:r>
    </w:p>
    <w:p w14:paraId="38B6854F" w14:textId="577D0EAC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ab/>
      </w:r>
      <w:proofErr w:type="spellStart"/>
      <w:r w:rsidR="00585042"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4D2507AF" w14:textId="792FE096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 w:rsidR="00752959" w:rsidRPr="00752959">
        <w:rPr>
          <w:rFonts w:asciiTheme="minorHAnsi" w:hAnsiTheme="minorHAnsi"/>
        </w:rPr>
        <w:t xml:space="preserve"> </w:t>
      </w:r>
      <w:proofErr w:type="spellStart"/>
      <w:r w:rsidR="00585042"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20A49234" w14:textId="22349E03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 w:rsidR="00752959">
        <w:rPr>
          <w:rFonts w:asciiTheme="minorHAnsi" w:hAnsiTheme="minorHAnsi" w:cstheme="minorBidi"/>
          <w:b/>
          <w:bCs/>
          <w:sz w:val="24"/>
          <w:szCs w:val="24"/>
        </w:rPr>
        <w:tab/>
      </w:r>
      <w:proofErr w:type="spellStart"/>
      <w:r w:rsidR="00585042"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249DB090" w:rsidR="00997E47" w:rsidRPr="00DA16A9" w:rsidRDefault="008E4705" w:rsidP="00E46B19">
      <w:pPr>
        <w:pStyle w:val="CMSANMainHeading"/>
        <w:numPr>
          <w:ilvl w:val="0"/>
          <w:numId w:val="15"/>
        </w:numPr>
        <w:ind w:left="851" w:hanging="851"/>
        <w:jc w:val="left"/>
        <w:rPr>
          <w:rFonts w:asciiTheme="minorHAnsi" w:hAnsiTheme="minorHAnsi" w:cstheme="minorHAnsi"/>
          <w:sz w:val="24"/>
          <w:szCs w:val="24"/>
        </w:rPr>
      </w:pPr>
      <w:r w:rsidRPr="00DA16A9">
        <w:rPr>
          <w:rFonts w:asciiTheme="minorHAnsi" w:hAnsiTheme="minorHAnsi" w:cstheme="minorHAnsi"/>
          <w:sz w:val="24"/>
          <w:szCs w:val="24"/>
        </w:rPr>
        <w:lastRenderedPageBreak/>
        <w:t>Úvodní ustanovení</w:t>
      </w:r>
    </w:p>
    <w:p w14:paraId="03622B93" w14:textId="43337612" w:rsidR="00DA16A9" w:rsidRPr="00DA16A9" w:rsidRDefault="008E4705" w:rsidP="00DA16A9">
      <w:pPr>
        <w:pStyle w:val="Odstavecseseznamem"/>
        <w:numPr>
          <w:ilvl w:val="1"/>
          <w:numId w:val="15"/>
        </w:numPr>
        <w:spacing w:before="120" w:after="120" w:line="300" w:lineRule="atLeast"/>
        <w:ind w:hanging="720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A16A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585042">
        <w:rPr>
          <w:rFonts w:asciiTheme="minorHAnsi" w:hAnsiTheme="minorHAnsi" w:cstheme="minorBidi"/>
          <w:color w:val="000000" w:themeColor="text1"/>
          <w:sz w:val="24"/>
          <w:szCs w:val="24"/>
        </w:rPr>
        <w:t>19.9.2022</w:t>
      </w:r>
      <w:r w:rsidRPr="00DA16A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</w:t>
      </w:r>
      <w:r w:rsidR="00E46B19" w:rsidRPr="00DA16A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 </w:t>
      </w:r>
      <w:r w:rsidRPr="00DA16A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léčivého přípravku </w:t>
      </w:r>
      <w:proofErr w:type="spellStart"/>
      <w:r w:rsidR="00585042"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  <w:r w:rsidR="00585042" w:rsidRPr="00DA16A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DA16A9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00DA16A9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00DA16A9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4538EA2D" w14:textId="77777777" w:rsidR="00DA16A9" w:rsidRPr="00DA16A9" w:rsidRDefault="00DA16A9" w:rsidP="00DA16A9">
      <w:pPr>
        <w:pStyle w:val="Odstavecseseznamem"/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0BFE1AA0" w14:textId="337C8B0D" w:rsidR="00997E47" w:rsidRPr="00DA16A9" w:rsidRDefault="008E4705" w:rsidP="00DA16A9">
      <w:pPr>
        <w:pStyle w:val="Odstavecseseznamem"/>
        <w:numPr>
          <w:ilvl w:val="1"/>
          <w:numId w:val="15"/>
        </w:numPr>
        <w:spacing w:before="120" w:after="120" w:line="300" w:lineRule="atLeast"/>
        <w:ind w:hanging="720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DA16A9">
        <w:rPr>
          <w:rFonts w:asciiTheme="minorHAnsi" w:hAnsiTheme="minorHAnsi" w:cstheme="minorBidi"/>
          <w:sz w:val="24"/>
          <w:szCs w:val="24"/>
        </w:rPr>
        <w:t>Smluvní strany si přejí změnit níže uvedená ustanovení Smlouvy a za tímto účelem se rozhodly uzavřít tento Dodatek</w:t>
      </w:r>
      <w:r w:rsidR="00E810FA" w:rsidRPr="00DA16A9">
        <w:rPr>
          <w:rFonts w:asciiTheme="minorHAnsi" w:hAnsiTheme="minorHAnsi" w:cstheme="minorBidi"/>
          <w:sz w:val="24"/>
          <w:szCs w:val="24"/>
        </w:rPr>
        <w:t xml:space="preserve"> </w:t>
      </w:r>
      <w:r w:rsidR="00FA6647" w:rsidRPr="00DA16A9">
        <w:rPr>
          <w:rFonts w:asciiTheme="minorHAnsi" w:hAnsiTheme="minorHAnsi" w:cstheme="minorBidi"/>
          <w:sz w:val="24"/>
          <w:szCs w:val="24"/>
        </w:rPr>
        <w:t>ke Smlouvě</w:t>
      </w:r>
      <w:r w:rsidR="25F52948" w:rsidRPr="00DA16A9">
        <w:rPr>
          <w:rFonts w:asciiTheme="minorHAnsi" w:hAnsiTheme="minorHAnsi" w:cstheme="minorBidi"/>
          <w:sz w:val="24"/>
          <w:szCs w:val="24"/>
        </w:rPr>
        <w:t xml:space="preserve"> (dále jen </w:t>
      </w:r>
      <w:r w:rsidR="00B64A27" w:rsidRPr="00DA16A9">
        <w:rPr>
          <w:rFonts w:asciiTheme="minorHAnsi" w:hAnsiTheme="minorHAnsi" w:cstheme="minorBidi"/>
          <w:sz w:val="24"/>
          <w:szCs w:val="24"/>
        </w:rPr>
        <w:t>„</w:t>
      </w:r>
      <w:r w:rsidR="25F52948" w:rsidRPr="00DA16A9">
        <w:rPr>
          <w:rFonts w:asciiTheme="minorHAnsi" w:hAnsiTheme="minorHAnsi" w:cstheme="minorBidi"/>
          <w:b/>
          <w:bCs/>
          <w:sz w:val="24"/>
          <w:szCs w:val="24"/>
        </w:rPr>
        <w:t>Dodatek</w:t>
      </w:r>
      <w:r w:rsidR="25F52948" w:rsidRPr="00DA16A9">
        <w:rPr>
          <w:rFonts w:asciiTheme="minorHAnsi" w:hAnsiTheme="minorHAnsi" w:cstheme="minorBidi"/>
          <w:sz w:val="24"/>
          <w:szCs w:val="24"/>
        </w:rPr>
        <w:t>”)</w:t>
      </w:r>
      <w:r w:rsidR="00E4237A" w:rsidRPr="00DA16A9">
        <w:rPr>
          <w:rFonts w:asciiTheme="minorHAnsi" w:hAnsiTheme="minorHAnsi" w:cstheme="minorBidi"/>
          <w:sz w:val="24"/>
          <w:szCs w:val="24"/>
        </w:rPr>
        <w:t>.</w:t>
      </w:r>
    </w:p>
    <w:p w14:paraId="36BF7EA6" w14:textId="77777777" w:rsidR="00DA16A9" w:rsidRPr="00DA16A9" w:rsidRDefault="00DA16A9" w:rsidP="00DA16A9">
      <w:pPr>
        <w:pStyle w:val="Odstavecseseznamem"/>
        <w:rPr>
          <w:rFonts w:asciiTheme="minorHAnsi" w:hAnsiTheme="minorHAnsi" w:cstheme="minorBidi"/>
          <w:sz w:val="24"/>
          <w:szCs w:val="24"/>
        </w:rPr>
      </w:pPr>
    </w:p>
    <w:p w14:paraId="4BEF4F3C" w14:textId="77777777" w:rsidR="00DA16A9" w:rsidRPr="00DA16A9" w:rsidRDefault="00DA16A9" w:rsidP="00DA16A9">
      <w:pPr>
        <w:pStyle w:val="Odstavecseseznamem"/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</w:p>
    <w:p w14:paraId="2E5025BF" w14:textId="00EA2D04" w:rsidR="00997E47" w:rsidRPr="007E2E33" w:rsidRDefault="008E4705" w:rsidP="00823196">
      <w:pPr>
        <w:pStyle w:val="Odstavecseseznamem"/>
        <w:keepNext/>
        <w:numPr>
          <w:ilvl w:val="0"/>
          <w:numId w:val="15"/>
        </w:numPr>
        <w:spacing w:before="240" w:after="120" w:line="300" w:lineRule="atLeast"/>
        <w:ind w:left="851" w:hanging="851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823196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PŘEDMĚT DODATKU</w:t>
      </w:r>
    </w:p>
    <w:p w14:paraId="32CDB225" w14:textId="77777777" w:rsidR="007E2E33" w:rsidRPr="00823196" w:rsidRDefault="007E2E33" w:rsidP="007E2E33">
      <w:pPr>
        <w:pStyle w:val="Odstavecseseznamem"/>
        <w:keepNext/>
        <w:spacing w:before="240" w:after="120" w:line="300" w:lineRule="atLeast"/>
        <w:ind w:left="360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</w:p>
    <w:p w14:paraId="483BD2CD" w14:textId="4C4D276D" w:rsidR="13CD9C2C" w:rsidRDefault="13CD9C2C" w:rsidP="007E2E33">
      <w:pPr>
        <w:pStyle w:val="Odstavecseseznamem"/>
        <w:numPr>
          <w:ilvl w:val="1"/>
          <w:numId w:val="15"/>
        </w:numPr>
        <w:spacing w:before="120" w:after="120" w:line="300" w:lineRule="atLeast"/>
        <w:ind w:left="851" w:hanging="851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V Článku II. odst. 3 Smlouvy se bez náhrady </w:t>
      </w:r>
      <w:proofErr w:type="gramStart"/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pojem Kompenzace a jeho definice</w:t>
      </w:r>
      <w:r w:rsidR="00205789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ruší se Příloha č. 1</w:t>
      </w: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6EE4B60" w14:textId="77777777" w:rsidR="007E2E33" w:rsidRPr="007E2E33" w:rsidRDefault="007E2E33" w:rsidP="007E2E33">
      <w:pPr>
        <w:pStyle w:val="Odstavecseseznamem"/>
        <w:spacing w:before="120" w:after="120" w:line="300" w:lineRule="atLeast"/>
        <w:ind w:left="360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5BADAEB3" w14:textId="54788154" w:rsidR="66D7141E" w:rsidRDefault="66D7141E" w:rsidP="007E2E33">
      <w:pPr>
        <w:pStyle w:val="Odstavecseseznamem"/>
        <w:numPr>
          <w:ilvl w:val="1"/>
          <w:numId w:val="15"/>
        </w:numPr>
        <w:spacing w:before="120" w:after="120" w:line="300" w:lineRule="atLeast"/>
        <w:ind w:left="851" w:hanging="851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V rámci </w:t>
      </w:r>
      <w:r w:rsidR="1AC6622F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celého dosavadního znění </w:t>
      </w: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se bez náhrady </w:t>
      </w:r>
      <w:proofErr w:type="gramStart"/>
      <w:r w:rsidR="520EE455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="520EE455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pojem Kompenzace</w:t>
      </w:r>
      <w:r w:rsidR="026B105E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E0666D5" w14:textId="77777777" w:rsidR="007E2E33" w:rsidRPr="007E2E33" w:rsidRDefault="007E2E33" w:rsidP="007E2E33">
      <w:pPr>
        <w:pStyle w:val="Odstavecseseznamem"/>
        <w:spacing w:before="120" w:after="120" w:line="300" w:lineRule="atLeast"/>
        <w:ind w:left="360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53C4DE03" w14:textId="70AB4270" w:rsidR="00997E47" w:rsidRPr="007E2E33" w:rsidRDefault="008E4705" w:rsidP="007E2E33">
      <w:pPr>
        <w:pStyle w:val="Odstavecseseznamem"/>
        <w:numPr>
          <w:ilvl w:val="1"/>
          <w:numId w:val="15"/>
        </w:numPr>
        <w:spacing w:before="120" w:after="120" w:line="300" w:lineRule="atLeast"/>
        <w:ind w:left="851" w:hanging="851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Ustanovení </w:t>
      </w:r>
      <w:r w:rsidR="00343933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Článku</w:t>
      </w: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8AA2742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V.</w:t>
      </w:r>
      <w:r w:rsidR="00E4237A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343933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odst</w:t>
      </w: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E4237A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DF3460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se mění tak, že se datum </w:t>
      </w:r>
      <w:bookmarkStart w:id="2" w:name="_Hlk85112756"/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DF3460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01</w:t>
      </w:r>
      <w:r w:rsidR="00E4237A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DF3460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11.2022</w:t>
      </w:r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“ </w:t>
      </w:r>
      <w:bookmarkEnd w:id="2"/>
      <w:r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nahrazuje datem </w:t>
      </w:r>
      <w:r w:rsidR="00E4237A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DF3460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01</w:t>
      </w:r>
      <w:r w:rsidR="00E4237A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DF3460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01</w:t>
      </w:r>
      <w:r w:rsidR="00E4237A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DF3460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2023</w:t>
      </w:r>
      <w:r w:rsidR="00E4237A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“.</w:t>
      </w:r>
    </w:p>
    <w:p w14:paraId="209074FC" w14:textId="009B2AE3" w:rsidR="00B73407" w:rsidRPr="00B73407" w:rsidRDefault="007E2E33" w:rsidP="007E2E33">
      <w:pPr>
        <w:spacing w:before="120" w:after="120" w:line="300" w:lineRule="atLeast"/>
        <w:ind w:left="851" w:hanging="851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2.4 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B73407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Ustanovení Článku X</w:t>
      </w:r>
      <w:r w:rsidR="5B4BA093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B73407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odst. 1 Smlouvy se mění tak, že se datum </w:t>
      </w:r>
      <w:r w:rsidR="00B73407" w:rsidRPr="007E2E33">
        <w:rPr>
          <w:rFonts w:asciiTheme="minorHAnsi" w:hAnsiTheme="minorHAnsi" w:cstheme="minorBidi"/>
          <w:color w:val="000000" w:themeColor="text1"/>
          <w:sz w:val="24"/>
          <w:szCs w:val="24"/>
        </w:rPr>
        <w:t>„31.10.2025“ nahrazuje datem „31.12.2025“.</w:t>
      </w:r>
    </w:p>
    <w:p w14:paraId="62AE6D4B" w14:textId="77777777" w:rsidR="00DA16A9" w:rsidRDefault="00DA16A9" w:rsidP="00DA16A9">
      <w:pPr>
        <w:spacing w:before="120" w:after="120" w:line="300" w:lineRule="atLeast"/>
        <w:ind w:left="862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386C7ABE" w14:textId="791A5863" w:rsidR="00553866" w:rsidRDefault="00C611EA" w:rsidP="005D4F2E">
      <w:pPr>
        <w:spacing w:before="120" w:after="120" w:line="300" w:lineRule="atLeast"/>
        <w:ind w:left="862" w:hanging="11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Ustanovení Článku IV</w:t>
      </w:r>
      <w:r w:rsidR="1784AA61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6B96A648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se ruší a nově nahrazuje následujícím zněním čl. IV.</w:t>
      </w:r>
      <w:r w:rsidR="3EA01E3B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Smlouvy:</w:t>
      </w:r>
      <w:r w:rsidR="6B96A648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="68E070AB" w:rsidRPr="00DA16A9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Článek</w:t>
      </w:r>
      <w:r w:rsidR="00DA16A9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 </w:t>
      </w:r>
      <w:r w:rsidR="68E070AB" w:rsidRPr="00DA16A9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IV.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="00DA16A9">
        <w:t xml:space="preserve">    </w:t>
      </w:r>
      <w:r w:rsidR="2D67BA1F" w:rsidRPr="00DA16A9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Limit</w:t>
      </w:r>
      <w:r>
        <w:br/>
      </w:r>
      <w:r>
        <w:br/>
      </w:r>
      <w:r>
        <w:br/>
      </w:r>
      <w:r w:rsidR="07A024BE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1.</w:t>
      </w:r>
      <w:r>
        <w:tab/>
      </w:r>
      <w:r w:rsidR="07A024BE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Smluvní strany se dohodly, že Limit za specifikovaná období činí částky uvedené v</w:t>
      </w:r>
      <w:r w:rsidR="005D4F2E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="07A024BE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Příloze</w:t>
      </w:r>
      <w:r w:rsidR="005D4F2E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="07A024BE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č.</w:t>
      </w:r>
      <w:r w:rsidR="005D4F2E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="748D6DFE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5D4F2E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="07A024BE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této</w:t>
      </w:r>
      <w:r w:rsidR="005D4F2E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="07A024BE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Smlouvy.</w:t>
      </w:r>
      <w:r>
        <w:br/>
      </w:r>
      <w:r>
        <w:br/>
      </w:r>
      <w:r w:rsidR="3DD21437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2.</w:t>
      </w:r>
      <w:r>
        <w:tab/>
      </w:r>
      <w:r w:rsidR="49F3B344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Při překročení Limitu poskytne Držitel Pojišťovně Zpětnou platbu ve výši rozdílu celkových skutečně vykázaných a doložených nákladů (dále jen „Náklady“) všech pojišťoven sdružených v SZP ČR na léčbu Přípravkem v příslušném období a Limitu dle Přílohy č. </w:t>
      </w:r>
      <w:r w:rsidR="158D73CA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49F3B344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této Smlouvy, vynásobeného podílem Nákladů na úhradu Přípravku Pojišťovny na celkových Nákladech na úhradu Přípravku všech pojišťoven sdružených ve Svazu zdravotních pojišťoven ČR odsouhlasených smluvními stranami.</w:t>
      </w:r>
      <w:r>
        <w:br/>
      </w:r>
      <w:r>
        <w:br/>
      </w:r>
      <w:r w:rsidR="5630DFA1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3.</w:t>
      </w:r>
      <w:r>
        <w:tab/>
      </w:r>
      <w:r w:rsidR="5630DFA1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Pro účely výpočtu celkového Limitu a poskytnutí Zpětné platby v souladu s Článkem II. a Článkem V. této Smlouvy je určující den, kdy byl Přípravek Pojišťovnou Poskytovateli</w:t>
      </w:r>
      <w:r w:rsidR="005D4F2E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="5630DFA1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uhrazen.</w:t>
      </w:r>
      <w:r w:rsidR="005D4F2E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</w:p>
    <w:p w14:paraId="02BDBA17" w14:textId="77777777" w:rsidR="00553866" w:rsidRDefault="00553866" w:rsidP="005D4F2E">
      <w:pPr>
        <w:spacing w:before="120" w:after="120" w:line="300" w:lineRule="atLeast"/>
        <w:ind w:left="862" w:hanging="11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63B23DF8" w14:textId="347A3E6A" w:rsidR="00C611EA" w:rsidRPr="00781562" w:rsidRDefault="00553866" w:rsidP="00553866">
      <w:pPr>
        <w:tabs>
          <w:tab w:val="left" w:pos="709"/>
          <w:tab w:val="left" w:pos="851"/>
        </w:tabs>
        <w:spacing w:before="120" w:after="120" w:line="300" w:lineRule="atLeast"/>
        <w:ind w:left="851" w:hanging="851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2.5         </w:t>
      </w:r>
      <w:r w:rsidR="00C611EA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65E3F1B0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C611EA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="00C611EA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="00C611EA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31200D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a nově plně nahrazuje zněním, které tvoří přílohu č. 1 tohoto Dodatku.</w:t>
      </w:r>
    </w:p>
    <w:p w14:paraId="138D1C25" w14:textId="1A75D1F7" w:rsidR="003B4517" w:rsidRDefault="005D4F2E" w:rsidP="003B4517">
      <w:pPr>
        <w:spacing w:before="120" w:after="120" w:line="300" w:lineRule="atLeast"/>
        <w:ind w:left="851" w:hanging="851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2.</w:t>
      </w:r>
      <w:r w:rsidR="00553866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        </w:t>
      </w:r>
      <w:r w:rsidR="008E4705" w:rsidRPr="005D4F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33CDEE27" w:rsidRPr="005D4F2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E4705" w:rsidRPr="005D4F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</w:t>
      </w:r>
      <w:r w:rsidR="00C611EA" w:rsidRPr="005D4F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 </w:t>
      </w:r>
      <w:r w:rsidR="008E4705" w:rsidRPr="005D4F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se </w:t>
      </w:r>
      <w:proofErr w:type="gramStart"/>
      <w:r w:rsidR="008E4705" w:rsidRPr="005D4F2E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="008E4705" w:rsidRPr="005D4F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76BC65E" w:rsidRPr="005D4F2E">
        <w:rPr>
          <w:rFonts w:asciiTheme="minorHAnsi" w:hAnsiTheme="minorHAnsi" w:cstheme="minorBidi"/>
          <w:color w:val="000000" w:themeColor="text1"/>
          <w:sz w:val="24"/>
          <w:szCs w:val="24"/>
        </w:rPr>
        <w:t>bez náhrady.</w:t>
      </w:r>
    </w:p>
    <w:p w14:paraId="28CDDA3D" w14:textId="3830B008" w:rsidR="00997E47" w:rsidRPr="003B4517" w:rsidRDefault="003B4517" w:rsidP="003B4517">
      <w:pPr>
        <w:spacing w:before="120" w:after="120" w:line="300" w:lineRule="atLeast"/>
        <w:ind w:left="851" w:hanging="851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2.</w:t>
      </w:r>
      <w:r w:rsidR="00CA5CCA">
        <w:rPr>
          <w:rFonts w:asciiTheme="minorHAnsi" w:hAnsiTheme="minorHAnsi" w:cstheme="minorBid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         </w:t>
      </w:r>
      <w:r w:rsidR="008E4705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211EDB9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E4705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</w:t>
      </w:r>
      <w:r w:rsidR="118392A6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přílohy č. 1 </w:t>
      </w:r>
      <w:r w:rsidR="008E4705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tohoto Dodatku </w:t>
      </w:r>
      <w:r w:rsidR="00090DBC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="008E4705" w:rsidRPr="5CBC06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E4705" w:rsidRPr="003B451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uplatní na práva a povinnosti smluvních stran související s předmětem Smlouvy od </w:t>
      </w:r>
      <w:r w:rsidR="00DF3460" w:rsidRPr="003B4517">
        <w:rPr>
          <w:rFonts w:asciiTheme="minorHAnsi" w:hAnsiTheme="minorHAnsi" w:cstheme="minorBidi"/>
          <w:color w:val="000000" w:themeColor="text1"/>
          <w:sz w:val="24"/>
          <w:szCs w:val="24"/>
        </w:rPr>
        <w:t>01</w:t>
      </w:r>
      <w:r w:rsidR="00090DBC" w:rsidRPr="003B451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DF3460" w:rsidRPr="003B4517">
        <w:rPr>
          <w:rFonts w:asciiTheme="minorHAnsi" w:hAnsiTheme="minorHAnsi" w:cstheme="minorBidi"/>
          <w:color w:val="000000" w:themeColor="text1"/>
          <w:sz w:val="24"/>
          <w:szCs w:val="24"/>
        </w:rPr>
        <w:t>01</w:t>
      </w:r>
      <w:r w:rsidR="00090DBC" w:rsidRPr="003B451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DF3460" w:rsidRPr="003B4517">
        <w:rPr>
          <w:rFonts w:asciiTheme="minorHAnsi" w:hAnsiTheme="minorHAnsi" w:cstheme="minorBidi"/>
          <w:color w:val="000000" w:themeColor="text1"/>
          <w:sz w:val="24"/>
          <w:szCs w:val="24"/>
        </w:rPr>
        <w:t>2023</w:t>
      </w:r>
      <w:r w:rsidR="008E4705" w:rsidRPr="003B4517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47C1D2C" w14:textId="76DACD5C" w:rsidR="7CA091C9" w:rsidRPr="00CA5CCA" w:rsidRDefault="00CA5CCA" w:rsidP="00CA5CCA">
      <w:pPr>
        <w:pStyle w:val="Odstavecseseznamem"/>
        <w:numPr>
          <w:ilvl w:val="1"/>
          <w:numId w:val="17"/>
        </w:numPr>
        <w:tabs>
          <w:tab w:val="left" w:pos="851"/>
        </w:tabs>
        <w:spacing w:before="120" w:after="120" w:line="300" w:lineRule="atLeast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       </w:t>
      </w:r>
      <w:r w:rsidR="7CA091C9" w:rsidRPr="00CA5CC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V Článku VII. odst. 3 Smlouvy se </w:t>
      </w:r>
      <w:proofErr w:type="gramStart"/>
      <w:r w:rsidR="76AFF46D" w:rsidRPr="00CA5CCA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="76AFF46D" w:rsidRPr="00CA5CC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7CA091C9" w:rsidRPr="00CA5CCA">
        <w:rPr>
          <w:rFonts w:asciiTheme="minorHAnsi" w:hAnsiTheme="minorHAnsi" w:cstheme="minorBidi"/>
          <w:color w:val="000000" w:themeColor="text1"/>
          <w:sz w:val="24"/>
          <w:szCs w:val="24"/>
        </w:rPr>
        <w:t>odkaz na P</w:t>
      </w:r>
      <w:r w:rsidR="5BF30462" w:rsidRPr="00CA5CCA">
        <w:rPr>
          <w:rFonts w:asciiTheme="minorHAnsi" w:hAnsiTheme="minorHAnsi" w:cstheme="minorBidi"/>
          <w:color w:val="000000" w:themeColor="text1"/>
          <w:sz w:val="24"/>
          <w:szCs w:val="24"/>
        </w:rPr>
        <w:t>řílohu č. 2</w:t>
      </w:r>
      <w:r w:rsidR="0C15BB15" w:rsidRPr="00CA5CC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Smlouvy. </w:t>
      </w:r>
    </w:p>
    <w:p w14:paraId="44B64F00" w14:textId="77777777" w:rsidR="003B4517" w:rsidRPr="003B4517" w:rsidRDefault="003B4517" w:rsidP="003B4517">
      <w:pPr>
        <w:pStyle w:val="Odstavecseseznamem"/>
        <w:tabs>
          <w:tab w:val="left" w:pos="851"/>
        </w:tabs>
        <w:spacing w:before="120" w:after="120" w:line="300" w:lineRule="atLeast"/>
        <w:ind w:left="360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3F31975D" w14:textId="539FEA7A" w:rsidR="0C15BB15" w:rsidRDefault="0C15BB15" w:rsidP="00E7034F">
      <w:pPr>
        <w:pStyle w:val="Odstavecseseznamem"/>
        <w:numPr>
          <w:ilvl w:val="1"/>
          <w:numId w:val="17"/>
        </w:numPr>
        <w:spacing w:before="120" w:after="120" w:line="300" w:lineRule="atLeast"/>
        <w:ind w:left="851" w:hanging="851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E7034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V rámci Seznamu příloh Smlouvy uvedeném v závěru Článku XII. </w:t>
      </w:r>
      <w:r w:rsidR="41BA74CD" w:rsidRPr="00E7034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se jako </w:t>
      </w:r>
      <w:r w:rsidR="003B4517" w:rsidRPr="00E7034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  </w:t>
      </w:r>
      <w:r w:rsidR="00E7034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 </w:t>
      </w:r>
      <w:r w:rsidR="41BA74CD" w:rsidRPr="00E7034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příloha Smlouvy bez náhrady </w:t>
      </w:r>
      <w:proofErr w:type="gramStart"/>
      <w:r w:rsidR="242AAE9D" w:rsidRPr="00E7034F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="242AAE9D" w:rsidRPr="00E7034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Příloha č. 2 - obchodní tajemství.</w:t>
      </w:r>
    </w:p>
    <w:p w14:paraId="64B05431" w14:textId="77777777" w:rsidR="00E7034F" w:rsidRPr="00E7034F" w:rsidRDefault="00E7034F" w:rsidP="00E7034F">
      <w:pPr>
        <w:pStyle w:val="Odstavecseseznamem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7C3A0DAE" w14:textId="71C8B147" w:rsidR="00997E47" w:rsidRDefault="008E4705" w:rsidP="00E7034F">
      <w:pPr>
        <w:pStyle w:val="Odstavecseseznamem"/>
        <w:keepNext/>
        <w:numPr>
          <w:ilvl w:val="0"/>
          <w:numId w:val="15"/>
        </w:numPr>
        <w:spacing w:before="240" w:after="120" w:line="300" w:lineRule="atLeast"/>
        <w:ind w:hanging="720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E7034F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3B45D353" w14:textId="77777777" w:rsidR="00E7034F" w:rsidRPr="00E7034F" w:rsidRDefault="00E7034F" w:rsidP="00E7034F">
      <w:pPr>
        <w:pStyle w:val="Odstavecseseznamem"/>
        <w:keepNext/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</w:p>
    <w:p w14:paraId="5A2BBCE7" w14:textId="77B4865C" w:rsidR="00997E47" w:rsidRPr="00E7034F" w:rsidRDefault="008E4705" w:rsidP="00E7034F">
      <w:pPr>
        <w:pStyle w:val="Odstavecseseznamem"/>
        <w:numPr>
          <w:ilvl w:val="1"/>
          <w:numId w:val="15"/>
        </w:numPr>
        <w:spacing w:before="120" w:after="120" w:line="300" w:lineRule="atLeast"/>
        <w:ind w:hanging="720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E7034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63937C58" w14:textId="77777777" w:rsidR="00E7034F" w:rsidRPr="00E7034F" w:rsidRDefault="00E7034F" w:rsidP="00E7034F">
      <w:pPr>
        <w:pStyle w:val="Odstavecseseznamem"/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</w:p>
    <w:p w14:paraId="5AFACAF3" w14:textId="2C161ECD" w:rsidR="00997E47" w:rsidRDefault="008E4705" w:rsidP="00E7034F">
      <w:pPr>
        <w:pStyle w:val="Odstavecseseznamem"/>
        <w:numPr>
          <w:ilvl w:val="1"/>
          <w:numId w:val="15"/>
        </w:numPr>
        <w:spacing w:before="120" w:after="120" w:line="300" w:lineRule="atLeast"/>
        <w:ind w:hanging="720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E7034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</w:t>
      </w:r>
      <w:proofErr w:type="gramStart"/>
      <w:r w:rsidRPr="00E7034F">
        <w:rPr>
          <w:rFonts w:asciiTheme="minorHAnsi" w:hAnsiTheme="minorHAnsi" w:cstheme="minorBidi"/>
          <w:sz w:val="24"/>
          <w:szCs w:val="24"/>
        </w:rPr>
        <w:t>Dodatku</w:t>
      </w:r>
      <w:r w:rsidR="00E810FA" w:rsidRPr="00E7034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00E7034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E7034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proofErr w:type="gramEnd"/>
      <w:r w:rsidRPr="00E7034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00E7034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00E7034F">
        <w:rPr>
          <w:rFonts w:asciiTheme="minorHAnsi" w:hAnsiTheme="minorHAnsi" w:cstheme="minorBidi"/>
          <w:sz w:val="24"/>
          <w:szCs w:val="24"/>
        </w:rPr>
        <w:t>.</w:t>
      </w:r>
    </w:p>
    <w:p w14:paraId="42B82248" w14:textId="77777777" w:rsidR="00E7034F" w:rsidRPr="00E7034F" w:rsidRDefault="00E7034F" w:rsidP="00E7034F">
      <w:pPr>
        <w:pStyle w:val="Odstavecseseznamem"/>
        <w:rPr>
          <w:rFonts w:asciiTheme="minorHAnsi" w:hAnsiTheme="minorHAnsi" w:cstheme="minorBidi"/>
          <w:sz w:val="24"/>
          <w:szCs w:val="24"/>
        </w:rPr>
      </w:pPr>
    </w:p>
    <w:p w14:paraId="6248AEBB" w14:textId="345F727A" w:rsidR="00997E47" w:rsidRDefault="008E4705" w:rsidP="00E7034F">
      <w:pPr>
        <w:pStyle w:val="Odstavecseseznamem"/>
        <w:numPr>
          <w:ilvl w:val="1"/>
          <w:numId w:val="15"/>
        </w:numPr>
        <w:spacing w:before="120" w:after="120" w:line="300" w:lineRule="atLeast"/>
        <w:ind w:hanging="720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E7034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E7034F">
        <w:rPr>
          <w:rFonts w:asciiTheme="minorHAnsi" w:hAnsiTheme="minorHAnsi" w:cstheme="minorBidi"/>
          <w:sz w:val="24"/>
          <w:szCs w:val="24"/>
        </w:rPr>
        <w:t xml:space="preserve"> </w:t>
      </w:r>
      <w:r w:rsidRPr="00E7034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37835557" w14:textId="77777777" w:rsidR="00E7034F" w:rsidRPr="00E7034F" w:rsidRDefault="00E7034F" w:rsidP="00E7034F">
      <w:pPr>
        <w:pStyle w:val="Odstavecseseznamem"/>
        <w:rPr>
          <w:rFonts w:asciiTheme="minorHAnsi" w:hAnsiTheme="minorHAnsi" w:cstheme="minorBidi"/>
          <w:sz w:val="24"/>
          <w:szCs w:val="24"/>
        </w:rPr>
      </w:pPr>
    </w:p>
    <w:p w14:paraId="19642FB3" w14:textId="5EF7C722" w:rsidR="00997E47" w:rsidRDefault="008E4705" w:rsidP="00E7034F">
      <w:pPr>
        <w:pStyle w:val="Odstavecseseznamem"/>
        <w:numPr>
          <w:ilvl w:val="1"/>
          <w:numId w:val="15"/>
        </w:numPr>
        <w:spacing w:before="120" w:after="120" w:line="300" w:lineRule="atLeast"/>
        <w:ind w:hanging="720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E7034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E7034F">
        <w:rPr>
          <w:rFonts w:asciiTheme="minorHAnsi" w:hAnsiTheme="minorHAnsi" w:cstheme="minorBidi"/>
          <w:sz w:val="24"/>
          <w:szCs w:val="24"/>
        </w:rPr>
        <w:t xml:space="preserve"> </w:t>
      </w:r>
      <w:r w:rsidRPr="00E7034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00E7034F">
        <w:rPr>
          <w:rFonts w:asciiTheme="minorHAnsi" w:hAnsiTheme="minorHAnsi" w:cstheme="minorBidi"/>
          <w:sz w:val="24"/>
          <w:szCs w:val="24"/>
        </w:rPr>
        <w:t>, kdy</w:t>
      </w:r>
      <w:r w:rsidRPr="00E7034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00E7034F">
        <w:rPr>
          <w:rFonts w:asciiTheme="minorHAnsi" w:hAnsiTheme="minorHAnsi" w:cstheme="minorBidi"/>
          <w:sz w:val="24"/>
          <w:szCs w:val="24"/>
        </w:rPr>
        <w:t>k</w:t>
      </w:r>
      <w:r w:rsidRPr="00E7034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00E7034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00E7034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15458C95" w14:textId="77777777" w:rsidR="00E7034F" w:rsidRPr="00E7034F" w:rsidRDefault="00E7034F" w:rsidP="00E7034F">
      <w:pPr>
        <w:pStyle w:val="Odstavecseseznamem"/>
        <w:rPr>
          <w:rFonts w:asciiTheme="minorHAnsi" w:hAnsiTheme="minorHAnsi" w:cstheme="minorBidi"/>
          <w:sz w:val="24"/>
          <w:szCs w:val="24"/>
        </w:rPr>
      </w:pPr>
    </w:p>
    <w:p w14:paraId="3386B1DB" w14:textId="18B093B2" w:rsidR="00997E47" w:rsidRPr="00E7034F" w:rsidRDefault="008E4705" w:rsidP="00E7034F">
      <w:pPr>
        <w:pStyle w:val="Odstavecseseznamem"/>
        <w:numPr>
          <w:ilvl w:val="1"/>
          <w:numId w:val="15"/>
        </w:numPr>
        <w:spacing w:before="120" w:after="120" w:line="300" w:lineRule="atLeast"/>
        <w:ind w:hanging="720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E7034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3374939D" w:rsidR="00997E47" w:rsidRPr="00781562" w:rsidRDefault="008E4705" w:rsidP="00E7034F">
      <w:pPr>
        <w:pStyle w:val="CMSANHeading2"/>
        <w:numPr>
          <w:ilvl w:val="1"/>
          <w:numId w:val="15"/>
        </w:numPr>
        <w:ind w:hanging="720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00E7034F">
      <w:pPr>
        <w:pStyle w:val="CMSANHeading2"/>
        <w:numPr>
          <w:ilvl w:val="2"/>
          <w:numId w:val="0"/>
        </w:numPr>
        <w:spacing w:after="0"/>
        <w:ind w:left="851" w:hanging="14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FCF7DE0" w14:textId="77777777" w:rsidR="002213BC" w:rsidRPr="00090DBC" w:rsidRDefault="002213BC" w:rsidP="002213BC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73522C4E" w14:textId="77777777" w:rsidR="0039326F" w:rsidRPr="00090DBC" w:rsidRDefault="0039326F" w:rsidP="0039326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21.2.2023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1.3.2023</w:t>
      </w:r>
    </w:p>
    <w:p w14:paraId="4537F684" w14:textId="77777777" w:rsidR="002213BC" w:rsidRPr="00090DBC" w:rsidRDefault="002213BC" w:rsidP="002213B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EF8EDAA" w14:textId="77777777" w:rsidR="002213BC" w:rsidRPr="00090DBC" w:rsidRDefault="002213BC" w:rsidP="002213B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C23FB6" w14:textId="77777777" w:rsidR="002213BC" w:rsidRPr="00DF48C9" w:rsidRDefault="002213BC" w:rsidP="002213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7D1328B7" w14:textId="283338FA" w:rsidR="002213BC" w:rsidRPr="00DF48C9" w:rsidRDefault="002213BC" w:rsidP="002213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Ing. Antonín Klimša, MBA</w:t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048C7"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630E0192" w14:textId="1C94504D" w:rsidR="002213BC" w:rsidRPr="00DF48C9" w:rsidRDefault="002213BC" w:rsidP="002213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výkonný ředitel</w:t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 w:rsidR="00F048C7"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2B5F1914" w14:textId="77777777" w:rsidR="002213BC" w:rsidRPr="00DF48C9" w:rsidRDefault="002213BC" w:rsidP="002213BC">
      <w:pPr>
        <w:spacing w:before="120" w:after="120" w:line="300" w:lineRule="atLeast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RBP, zdravotní pojišťovna</w:t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 w:rsidRPr="00DF48C9">
        <w:rPr>
          <w:rFonts w:asciiTheme="minorHAnsi" w:hAnsiTheme="minorHAnsi" w:cstheme="minorHAnsi"/>
          <w:sz w:val="24"/>
          <w:szCs w:val="24"/>
        </w:rPr>
        <w:t>Novartis</w:t>
      </w:r>
      <w:proofErr w:type="spellEnd"/>
      <w:r w:rsidRPr="00DF48C9"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59DA803C" w14:textId="77777777" w:rsidR="00AC317A" w:rsidRDefault="00AC317A" w:rsidP="00907C29">
      <w:pPr>
        <w:spacing w:before="120" w:after="120" w:line="3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0EBC067E" w14:textId="77777777" w:rsidR="00AC317A" w:rsidRDefault="00AC317A" w:rsidP="00907C29">
      <w:pPr>
        <w:spacing w:before="120" w:after="120" w:line="3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01044834" w14:textId="77777777" w:rsidR="00AC317A" w:rsidRDefault="00AC317A" w:rsidP="00907C29">
      <w:pPr>
        <w:spacing w:before="120" w:after="120" w:line="3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28FBFEE0" w14:textId="77777777" w:rsidR="00AC317A" w:rsidRDefault="00AC317A" w:rsidP="00907C29">
      <w:pPr>
        <w:spacing w:before="120" w:after="120" w:line="3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40EA7B0C" w14:textId="1B04F1A6" w:rsidR="003D3593" w:rsidRPr="00D24AA5" w:rsidRDefault="003D3593" w:rsidP="003D3593">
      <w:pPr>
        <w:tabs>
          <w:tab w:val="left" w:pos="5245"/>
        </w:tabs>
        <w:spacing w:before="120" w:after="40"/>
        <w:jc w:val="center"/>
        <w:rPr>
          <w:rFonts w:asciiTheme="minorHAnsi" w:hAnsiTheme="minorHAnsi" w:cstheme="minorHAnsi"/>
          <w:b/>
        </w:rPr>
      </w:pPr>
      <w:r w:rsidRPr="00D24AA5">
        <w:rPr>
          <w:rFonts w:asciiTheme="minorHAnsi" w:hAnsiTheme="minorHAnsi"/>
          <w:b/>
        </w:rPr>
        <w:lastRenderedPageBreak/>
        <w:t xml:space="preserve">PŘÍLOHA Č. </w:t>
      </w:r>
      <w:r w:rsidRPr="00D24AA5">
        <w:rPr>
          <w:rFonts w:asciiTheme="minorHAnsi" w:hAnsiTheme="minorHAnsi" w:cstheme="minorHAnsi"/>
          <w:b/>
        </w:rPr>
        <w:t xml:space="preserve">1 </w:t>
      </w:r>
    </w:p>
    <w:p w14:paraId="7E7F544C" w14:textId="77777777" w:rsidR="003D3593" w:rsidRPr="00D24AA5" w:rsidRDefault="003D3593" w:rsidP="003D3593">
      <w:pPr>
        <w:tabs>
          <w:tab w:val="left" w:pos="5245"/>
        </w:tabs>
        <w:spacing w:before="120" w:after="40"/>
        <w:jc w:val="center"/>
        <w:rPr>
          <w:rFonts w:asciiTheme="minorHAnsi" w:hAnsiTheme="minorHAnsi"/>
          <w:b/>
        </w:rPr>
      </w:pPr>
      <w:r w:rsidRPr="00D24AA5">
        <w:rPr>
          <w:rFonts w:asciiTheme="minorHAnsi" w:hAnsiTheme="minorHAnsi"/>
          <w:b/>
        </w:rPr>
        <w:t>OBCHODNÍ TAJEMSTVÍ</w:t>
      </w:r>
    </w:p>
    <w:p w14:paraId="67CCCEFB" w14:textId="77777777" w:rsidR="00324B33" w:rsidRDefault="00324B33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D2262CD" w14:textId="00D9674E" w:rsidR="003D3593" w:rsidRDefault="00F048C7" w:rsidP="00F048C7">
      <w:pPr>
        <w:jc w:val="center"/>
        <w:rPr>
          <w:rFonts w:asciiTheme="minorHAnsi" w:hAnsiTheme="minorHAnsi"/>
          <w:sz w:val="24"/>
          <w:szCs w:val="24"/>
        </w:rPr>
      </w:pPr>
      <w:proofErr w:type="spellStart"/>
      <w:r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0100559A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39BB4822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68ABD51B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695815A1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5F925D10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30472D33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34B449C4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2CE964BA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2F29EC95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3B190B72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7BFD2A87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7C45708B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63916804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0DC01542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11DAF9A7" w14:textId="77777777" w:rsidR="003D3593" w:rsidRDefault="003D3593" w:rsidP="003D3593">
      <w:pPr>
        <w:rPr>
          <w:rFonts w:asciiTheme="minorHAnsi" w:hAnsiTheme="minorHAnsi"/>
          <w:sz w:val="24"/>
          <w:szCs w:val="24"/>
        </w:rPr>
      </w:pPr>
    </w:p>
    <w:p w14:paraId="4E7603F5" w14:textId="77777777" w:rsidR="002213BC" w:rsidRPr="00090DBC" w:rsidRDefault="002213BC" w:rsidP="002213BC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20829D0E" w14:textId="0CFD4104" w:rsidR="002213BC" w:rsidRPr="00090DBC" w:rsidRDefault="002213BC" w:rsidP="002213B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39326F">
        <w:rPr>
          <w:rFonts w:asciiTheme="minorHAnsi" w:hAnsiTheme="minorHAnsi" w:cstheme="minorHAnsi"/>
          <w:sz w:val="24"/>
          <w:szCs w:val="24"/>
        </w:rPr>
        <w:t xml:space="preserve"> 21.2.2023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39326F">
        <w:rPr>
          <w:rFonts w:asciiTheme="minorHAnsi" w:hAnsiTheme="minorHAnsi" w:cstheme="minorHAnsi"/>
          <w:sz w:val="24"/>
          <w:szCs w:val="24"/>
        </w:rPr>
        <w:t xml:space="preserve"> 1.3.2023</w:t>
      </w:r>
    </w:p>
    <w:p w14:paraId="4DCFEDC3" w14:textId="77777777" w:rsidR="002213BC" w:rsidRPr="00090DBC" w:rsidRDefault="002213BC" w:rsidP="002213B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E13D36" w14:textId="77777777" w:rsidR="002213BC" w:rsidRPr="00090DBC" w:rsidRDefault="002213BC" w:rsidP="002213B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7F6259F" w14:textId="77777777" w:rsidR="002213BC" w:rsidRPr="00DF48C9" w:rsidRDefault="002213BC" w:rsidP="002213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290E18E8" w14:textId="1351F773" w:rsidR="002213BC" w:rsidRPr="00DF48C9" w:rsidRDefault="002213BC" w:rsidP="002213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Ing. Antonín Klimša, MBA</w:t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048C7"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1CDE5573" w14:textId="60414909" w:rsidR="002213BC" w:rsidRPr="00DF48C9" w:rsidRDefault="002213BC" w:rsidP="002213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výkonný ředitel</w:t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 w:rsidR="00F048C7" w:rsidRPr="00F114A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1880D61A" w14:textId="77777777" w:rsidR="002213BC" w:rsidRPr="00DF48C9" w:rsidRDefault="002213BC" w:rsidP="002213BC">
      <w:pPr>
        <w:spacing w:before="120" w:after="120" w:line="300" w:lineRule="atLeast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RBP, zdravotní pojišťovna</w:t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</w:r>
      <w:r w:rsidRPr="00DF48C9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 w:rsidRPr="00DF48C9">
        <w:rPr>
          <w:rFonts w:asciiTheme="minorHAnsi" w:hAnsiTheme="minorHAnsi" w:cstheme="minorHAnsi"/>
          <w:sz w:val="24"/>
          <w:szCs w:val="24"/>
        </w:rPr>
        <w:t>Novartis</w:t>
      </w:r>
      <w:proofErr w:type="spellEnd"/>
      <w:r w:rsidRPr="00DF48C9"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47BFF2C7" w14:textId="157C28EA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677C" w14:textId="77777777" w:rsidR="005A4678" w:rsidRDefault="005A4678">
      <w:pPr>
        <w:spacing w:after="0" w:line="240" w:lineRule="auto"/>
      </w:pPr>
      <w:r>
        <w:separator/>
      </w:r>
    </w:p>
  </w:endnote>
  <w:endnote w:type="continuationSeparator" w:id="0">
    <w:p w14:paraId="1DA5C0DE" w14:textId="77777777" w:rsidR="005A4678" w:rsidRDefault="005A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2FB3D6C8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907C29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F05A" w14:textId="77777777" w:rsidR="005A4678" w:rsidRDefault="005A4678">
      <w:pPr>
        <w:spacing w:after="0" w:line="240" w:lineRule="auto"/>
      </w:pPr>
      <w:r>
        <w:separator/>
      </w:r>
    </w:p>
  </w:footnote>
  <w:footnote w:type="continuationSeparator" w:id="0">
    <w:p w14:paraId="1B53D9CF" w14:textId="77777777" w:rsidR="005A4678" w:rsidRDefault="005A4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11413FC"/>
    <w:styleLink w:val="CMS-ANHeading"/>
    <w:lvl w:ilvl="0">
      <w:start w:val="1"/>
      <w:numFmt w:val="decimal"/>
      <w:pStyle w:val="CMSANMainHeading"/>
      <w:suff w:val="nothing"/>
      <w:lvlText w:val="%1."/>
      <w:lvlJc w:val="left"/>
      <w:pPr>
        <w:ind w:left="0" w:firstLine="0"/>
      </w:pPr>
      <w:rPr>
        <w:rFonts w:asciiTheme="minorHAnsi" w:eastAsia="Calibri" w:hAnsiTheme="minorHAnsi" w:cstheme="minorBidi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DF5448"/>
    <w:multiLevelType w:val="multilevel"/>
    <w:tmpl w:val="08120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56F1"/>
    <w:multiLevelType w:val="multilevel"/>
    <w:tmpl w:val="46629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4C8C"/>
    <w:multiLevelType w:val="multilevel"/>
    <w:tmpl w:val="443E5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2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505942206">
    <w:abstractNumId w:val="2"/>
  </w:num>
  <w:num w:numId="2" w16cid:durableId="1096291145">
    <w:abstractNumId w:val="2"/>
  </w:num>
  <w:num w:numId="3" w16cid:durableId="1701275587">
    <w:abstractNumId w:val="4"/>
  </w:num>
  <w:num w:numId="4" w16cid:durableId="1946113311">
    <w:abstractNumId w:val="7"/>
  </w:num>
  <w:num w:numId="5" w16cid:durableId="1070928625">
    <w:abstractNumId w:val="13"/>
  </w:num>
  <w:num w:numId="6" w16cid:durableId="343636013">
    <w:abstractNumId w:val="12"/>
  </w:num>
  <w:num w:numId="7" w16cid:durableId="1554149315">
    <w:abstractNumId w:val="1"/>
  </w:num>
  <w:num w:numId="8" w16cid:durableId="1646351352">
    <w:abstractNumId w:val="9"/>
  </w:num>
  <w:num w:numId="9" w16cid:durableId="1329290197">
    <w:abstractNumId w:val="6"/>
  </w:num>
  <w:num w:numId="10" w16cid:durableId="1443651335">
    <w:abstractNumId w:val="5"/>
  </w:num>
  <w:num w:numId="11" w16cid:durableId="143088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0447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4161651">
    <w:abstractNumId w:val="0"/>
  </w:num>
  <w:num w:numId="14" w16cid:durableId="2013533068">
    <w:abstractNumId w:val="11"/>
  </w:num>
  <w:num w:numId="15" w16cid:durableId="321550303">
    <w:abstractNumId w:val="10"/>
  </w:num>
  <w:num w:numId="16" w16cid:durableId="1955557874">
    <w:abstractNumId w:val="8"/>
  </w:num>
  <w:num w:numId="17" w16cid:durableId="1536623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46F1F"/>
    <w:rsid w:val="00064DB4"/>
    <w:rsid w:val="00090DBC"/>
    <w:rsid w:val="000A1DC7"/>
    <w:rsid w:val="000A7E99"/>
    <w:rsid w:val="000C2B74"/>
    <w:rsid w:val="000C76F4"/>
    <w:rsid w:val="000E01EB"/>
    <w:rsid w:val="00103627"/>
    <w:rsid w:val="001633DB"/>
    <w:rsid w:val="00182ABD"/>
    <w:rsid w:val="001B3A0C"/>
    <w:rsid w:val="001C48C0"/>
    <w:rsid w:val="001E4197"/>
    <w:rsid w:val="00205789"/>
    <w:rsid w:val="002213BC"/>
    <w:rsid w:val="00273463"/>
    <w:rsid w:val="002C5174"/>
    <w:rsid w:val="002F701F"/>
    <w:rsid w:val="00324B33"/>
    <w:rsid w:val="00334BCF"/>
    <w:rsid w:val="00343933"/>
    <w:rsid w:val="0037723B"/>
    <w:rsid w:val="00382372"/>
    <w:rsid w:val="0039326F"/>
    <w:rsid w:val="003B4517"/>
    <w:rsid w:val="003D3593"/>
    <w:rsid w:val="003E0FD5"/>
    <w:rsid w:val="003E471F"/>
    <w:rsid w:val="003F55B2"/>
    <w:rsid w:val="00433C70"/>
    <w:rsid w:val="004476A2"/>
    <w:rsid w:val="004A0002"/>
    <w:rsid w:val="00501B1B"/>
    <w:rsid w:val="00553866"/>
    <w:rsid w:val="00585042"/>
    <w:rsid w:val="005A4678"/>
    <w:rsid w:val="005C6AAF"/>
    <w:rsid w:val="005D4F2E"/>
    <w:rsid w:val="00635E4F"/>
    <w:rsid w:val="006558F4"/>
    <w:rsid w:val="006676A5"/>
    <w:rsid w:val="006E7FDE"/>
    <w:rsid w:val="00752959"/>
    <w:rsid w:val="00765B60"/>
    <w:rsid w:val="00781562"/>
    <w:rsid w:val="007926E5"/>
    <w:rsid w:val="007D3B82"/>
    <w:rsid w:val="007D6974"/>
    <w:rsid w:val="007E2E33"/>
    <w:rsid w:val="007E4176"/>
    <w:rsid w:val="007F32FD"/>
    <w:rsid w:val="00811CB1"/>
    <w:rsid w:val="00823196"/>
    <w:rsid w:val="008518A9"/>
    <w:rsid w:val="00874E98"/>
    <w:rsid w:val="008910E8"/>
    <w:rsid w:val="008E4705"/>
    <w:rsid w:val="00907C29"/>
    <w:rsid w:val="00922D8B"/>
    <w:rsid w:val="009253B7"/>
    <w:rsid w:val="00962CD8"/>
    <w:rsid w:val="0097680A"/>
    <w:rsid w:val="00994C22"/>
    <w:rsid w:val="00997E47"/>
    <w:rsid w:val="009A334F"/>
    <w:rsid w:val="009E7BD6"/>
    <w:rsid w:val="00A153AE"/>
    <w:rsid w:val="00A27560"/>
    <w:rsid w:val="00A5510B"/>
    <w:rsid w:val="00A70912"/>
    <w:rsid w:val="00A86E5A"/>
    <w:rsid w:val="00AA0372"/>
    <w:rsid w:val="00AA0906"/>
    <w:rsid w:val="00AC317A"/>
    <w:rsid w:val="00AD34FB"/>
    <w:rsid w:val="00B05CC0"/>
    <w:rsid w:val="00B31752"/>
    <w:rsid w:val="00B64A27"/>
    <w:rsid w:val="00B72F44"/>
    <w:rsid w:val="00B73407"/>
    <w:rsid w:val="00C043C1"/>
    <w:rsid w:val="00C16C6C"/>
    <w:rsid w:val="00C21111"/>
    <w:rsid w:val="00C44812"/>
    <w:rsid w:val="00C611EA"/>
    <w:rsid w:val="00CA5CCA"/>
    <w:rsid w:val="00D35E29"/>
    <w:rsid w:val="00D6253C"/>
    <w:rsid w:val="00D74A45"/>
    <w:rsid w:val="00DA16A9"/>
    <w:rsid w:val="00DD1958"/>
    <w:rsid w:val="00DF01D9"/>
    <w:rsid w:val="00DF33A5"/>
    <w:rsid w:val="00DF3460"/>
    <w:rsid w:val="00DF3DF9"/>
    <w:rsid w:val="00DFF7EF"/>
    <w:rsid w:val="00E358D5"/>
    <w:rsid w:val="00E37E6D"/>
    <w:rsid w:val="00E4237A"/>
    <w:rsid w:val="00E46B19"/>
    <w:rsid w:val="00E7034F"/>
    <w:rsid w:val="00E810FA"/>
    <w:rsid w:val="00EE49D5"/>
    <w:rsid w:val="00F01D2C"/>
    <w:rsid w:val="00F048C7"/>
    <w:rsid w:val="00F07C8E"/>
    <w:rsid w:val="00F114A2"/>
    <w:rsid w:val="00F12611"/>
    <w:rsid w:val="00F15466"/>
    <w:rsid w:val="00F67C3E"/>
    <w:rsid w:val="00FA6647"/>
    <w:rsid w:val="00FC5EA8"/>
    <w:rsid w:val="0211EDB9"/>
    <w:rsid w:val="026B105E"/>
    <w:rsid w:val="0335D114"/>
    <w:rsid w:val="051E5CE3"/>
    <w:rsid w:val="05AEAC4B"/>
    <w:rsid w:val="0731544F"/>
    <w:rsid w:val="07A024BE"/>
    <w:rsid w:val="08CD24B0"/>
    <w:rsid w:val="0C15BB15"/>
    <w:rsid w:val="118392A6"/>
    <w:rsid w:val="11ABA89C"/>
    <w:rsid w:val="11E3B78E"/>
    <w:rsid w:val="12DA5036"/>
    <w:rsid w:val="13CD9C2C"/>
    <w:rsid w:val="158D73CA"/>
    <w:rsid w:val="1784AA61"/>
    <w:rsid w:val="19501D7F"/>
    <w:rsid w:val="1AC6622F"/>
    <w:rsid w:val="1AE5621B"/>
    <w:rsid w:val="1B3C5B37"/>
    <w:rsid w:val="1BFDF753"/>
    <w:rsid w:val="1DF323F3"/>
    <w:rsid w:val="2364C556"/>
    <w:rsid w:val="242AAE9D"/>
    <w:rsid w:val="25F52948"/>
    <w:rsid w:val="269C6618"/>
    <w:rsid w:val="276BC65E"/>
    <w:rsid w:val="29F9D984"/>
    <w:rsid w:val="2A3A501A"/>
    <w:rsid w:val="2B6FD73B"/>
    <w:rsid w:val="2C3AF4CC"/>
    <w:rsid w:val="2D67BA1F"/>
    <w:rsid w:val="30A9919E"/>
    <w:rsid w:val="30B01D63"/>
    <w:rsid w:val="31A302DF"/>
    <w:rsid w:val="3231200D"/>
    <w:rsid w:val="3326BB2B"/>
    <w:rsid w:val="33CDEE27"/>
    <w:rsid w:val="360A7C74"/>
    <w:rsid w:val="38AA2742"/>
    <w:rsid w:val="38BDB9F9"/>
    <w:rsid w:val="3A1DE6BC"/>
    <w:rsid w:val="3DD21437"/>
    <w:rsid w:val="3EA01E3B"/>
    <w:rsid w:val="411BD2D4"/>
    <w:rsid w:val="41BA74CD"/>
    <w:rsid w:val="43E687C3"/>
    <w:rsid w:val="43FF43B0"/>
    <w:rsid w:val="462D4A8B"/>
    <w:rsid w:val="478E71A1"/>
    <w:rsid w:val="48B63277"/>
    <w:rsid w:val="48B98C76"/>
    <w:rsid w:val="4927C576"/>
    <w:rsid w:val="49F3B344"/>
    <w:rsid w:val="4CE38E6A"/>
    <w:rsid w:val="4D8CFD99"/>
    <w:rsid w:val="520EE455"/>
    <w:rsid w:val="5630DFA1"/>
    <w:rsid w:val="57373148"/>
    <w:rsid w:val="5908C92D"/>
    <w:rsid w:val="5B4BA093"/>
    <w:rsid w:val="5BAFF04C"/>
    <w:rsid w:val="5BF30462"/>
    <w:rsid w:val="5C39B353"/>
    <w:rsid w:val="5CBC06BB"/>
    <w:rsid w:val="5D4BC0AD"/>
    <w:rsid w:val="628843AC"/>
    <w:rsid w:val="63B6016D"/>
    <w:rsid w:val="65E3F1B0"/>
    <w:rsid w:val="66D7141E"/>
    <w:rsid w:val="68E070AB"/>
    <w:rsid w:val="6B96A648"/>
    <w:rsid w:val="6BE9B8B4"/>
    <w:rsid w:val="6D607083"/>
    <w:rsid w:val="6E34B12A"/>
    <w:rsid w:val="6EFC40E4"/>
    <w:rsid w:val="6FCEEDF4"/>
    <w:rsid w:val="70981145"/>
    <w:rsid w:val="7233E1A6"/>
    <w:rsid w:val="738B05A2"/>
    <w:rsid w:val="748D6DFE"/>
    <w:rsid w:val="76AFF46D"/>
    <w:rsid w:val="792E84FC"/>
    <w:rsid w:val="7CA091C9"/>
    <w:rsid w:val="7DA8572C"/>
    <w:rsid w:val="7E3261D3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77D58-EB87-4EFD-891C-3D558DEF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DD31D-F9B9-451F-91F6-E56E7D17DA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13</cp:revision>
  <dcterms:created xsi:type="dcterms:W3CDTF">2023-02-07T12:26:00Z</dcterms:created>
  <dcterms:modified xsi:type="dcterms:W3CDTF">2023-03-10T13:19:00Z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MSIP_Label_3c9bec58-8084-492e-8360-0e1cfe36408c_Enabled">
    <vt:lpwstr>true</vt:lpwstr>
  </property>
  <property fmtid="{D5CDD505-2E9C-101B-9397-08002B2CF9AE}" pid="12" name="MSIP_Label_3c9bec58-8084-492e-8360-0e1cfe36408c_SetDate">
    <vt:lpwstr>2023-01-06T09:22:50Z</vt:lpwstr>
  </property>
  <property fmtid="{D5CDD505-2E9C-101B-9397-08002B2CF9AE}" pid="13" name="MSIP_Label_3c9bec58-8084-492e-8360-0e1cfe36408c_Method">
    <vt:lpwstr>Standard</vt:lpwstr>
  </property>
  <property fmtid="{D5CDD505-2E9C-101B-9397-08002B2CF9AE}" pid="14" name="MSIP_Label_3c9bec58-8084-492e-8360-0e1cfe36408c_Name">
    <vt:lpwstr>Not Protected -Pilot</vt:lpwstr>
  </property>
  <property fmtid="{D5CDD505-2E9C-101B-9397-08002B2CF9AE}" pid="15" name="MSIP_Label_3c9bec58-8084-492e-8360-0e1cfe36408c_SiteId">
    <vt:lpwstr>f35a6974-607f-47d4-82d7-ff31d7dc53a5</vt:lpwstr>
  </property>
  <property fmtid="{D5CDD505-2E9C-101B-9397-08002B2CF9AE}" pid="16" name="MSIP_Label_3c9bec58-8084-492e-8360-0e1cfe36408c_ActionId">
    <vt:lpwstr>88e96765-3454-4661-8019-a7610d6d9cc3</vt:lpwstr>
  </property>
  <property fmtid="{D5CDD505-2E9C-101B-9397-08002B2CF9AE}" pid="17" name="MSIP_Label_3c9bec58-8084-492e-8360-0e1cfe36408c_ContentBits">
    <vt:lpwstr>0</vt:lpwstr>
  </property>
</Properties>
</file>