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14"/>
        </w:rPr>
        <w:t>Illllllllllllllllllllllll</w:t>
      </w:r>
      <w:bookmarkEnd w:id="0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9"/>
        </w:rPr>
        <w:t>2023001609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21"/>
          <w:b/>
          <w:bCs/>
        </w:rPr>
        <w:t>KUPNÍ SMLOUVA</w:t>
      </w:r>
      <w:bookmarkEnd w:id="2"/>
    </w:p>
    <w:p>
      <w:pPr>
        <w:pStyle w:val="Style2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rStyle w:val="CharStyle23"/>
        </w:rPr>
        <w:t>uzavřená v souladu s ustanovením § 2079 a násl. zákona č. 89/2012 Sb., občanský zákoník,</w:t>
        <w:br/>
        <w:t>mezi níže uvedenými smluvními stranami</w:t>
      </w:r>
      <w:bookmarkEnd w:id="4"/>
    </w:p>
    <w:p>
      <w:pPr>
        <w:widowControl w:val="0"/>
        <w:spacing w:line="1" w:lineRule="exact"/>
      </w:pPr>
      <w:r>
        <mc:AlternateContent>
          <mc:Choice Requires="wps">
            <w:drawing>
              <wp:anchor distT="355600" distB="0" distL="0" distR="0" simplePos="0" relativeHeight="125829378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355600</wp:posOffset>
                </wp:positionV>
                <wp:extent cx="1292225" cy="13531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2225" cy="1353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(dále jen „prodávající“)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049999999999997pt;margin-top:28.pt;width:101.75pt;height:106.55pt;z-index:-125829375;mso-wrap-distance-left:0;mso-wrap-distance-top:28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(dále jen „prodávající“)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8775" distB="432435" distL="0" distR="0" simplePos="0" relativeHeight="125829380" behindDoc="0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358775</wp:posOffset>
                </wp:positionV>
                <wp:extent cx="1481455" cy="91757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917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Michal Truksa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Podolí 396, 664 03 Podolí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Michal Truksa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4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"/>
                                <w:spacing w:val="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</w:rPr>
                              <w:t xml:space="preserve"> </w:t>
                            </w: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 xml:space="preserve">06599796 </w:t>
                            </w:r>
                            <w:r>
                              <w:rPr>
                                <w:rStyle w:val="CharStyle3"/>
                              </w:rPr>
                              <w:t>NEPLÁTCE DPH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9.95000000000002pt;margin-top:28.25pt;width:116.65000000000001pt;height:72.25pt;z-index:-125829373;mso-wrap-distance-left:0;mso-wrap-distance-top:28.25pt;mso-wrap-distance-right:0;mso-wrap-distance-bottom:34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Michal Truksa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Podolí 396, 664 03 Podolí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Michal Truksa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4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"/>
                          <w:spacing w:val="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</w:rPr>
                        <w:t xml:space="preserve"> </w:t>
                      </w:r>
                      <w:r>
                        <w:rPr>
                          <w:rStyle w:val="CharStyle3"/>
                          <w:sz w:val="20"/>
                          <w:szCs w:val="20"/>
                        </w:rPr>
                        <w:t xml:space="preserve">06599796 </w:t>
                      </w:r>
                      <w:r>
                        <w:rPr>
                          <w:rStyle w:val="CharStyle3"/>
                        </w:rPr>
                        <w:t>NEPLÁTCE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141"/>
        <w:gridCol w:w="5880"/>
      </w:tblGrid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660" w:right="0" w:firstLine="0"/>
              <w:jc w:val="left"/>
            </w:pPr>
            <w:r>
              <w:rPr>
                <w:rStyle w:val="CharStyle27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27"/>
              </w:rPr>
              <w:t>Kamenice 798/1 d, 625 00 Brno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27"/>
              </w:rPr>
              <w:t>MUDr. Hana Albrechtová, ředitelka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27"/>
                <w:spacing w:val="1"/>
                <w:shd w:val="clear" w:color="auto" w:fill="000000"/>
              </w:rPr>
              <w:t>.....</w:t>
            </w:r>
            <w:r>
              <w:rPr>
                <w:rStyle w:val="CharStyle27"/>
                <w:spacing w:val="2"/>
                <w:shd w:val="clear" w:color="auto" w:fill="000000"/>
              </w:rPr>
              <w:t>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2"/>
                <w:shd w:val="clear" w:color="auto" w:fill="000000"/>
              </w:rPr>
              <w:t>...</w:t>
            </w:r>
            <w:r>
              <w:rPr>
                <w:rStyle w:val="CharStyle27"/>
                <w:spacing w:val="3"/>
                <w:shd w:val="clear" w:color="auto" w:fill="000000"/>
              </w:rPr>
              <w:t>........</w:t>
            </w:r>
            <w:r>
              <w:rPr>
                <w:rStyle w:val="CharStyle27"/>
                <w:shd w:val="clear" w:color="auto" w:fill="000000"/>
              </w:rPr>
              <w:t>​.....</w:t>
            </w:r>
            <w:r>
              <w:rPr>
                <w:rStyle w:val="CharStyle27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94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IČO: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DIČ: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27"/>
                <w:spacing w:val="3"/>
                <w:shd w:val="clear" w:color="auto" w:fill="000000"/>
              </w:rPr>
              <w:t>..</w:t>
            </w:r>
            <w:r>
              <w:rPr>
                <w:rStyle w:val="CharStyle27"/>
                <w:spacing w:val="4"/>
                <w:shd w:val="clear" w:color="auto" w:fill="000000"/>
              </w:rPr>
              <w:t>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3"/>
                <w:shd w:val="clear" w:color="auto" w:fill="000000"/>
              </w:rPr>
              <w:t>..</w:t>
            </w:r>
            <w:r>
              <w:rPr>
                <w:rStyle w:val="CharStyle27"/>
                <w:spacing w:val="4"/>
                <w:shd w:val="clear" w:color="auto" w:fill="000000"/>
              </w:rPr>
              <w:t>......</w:t>
            </w:r>
            <w:r>
              <w:rPr>
                <w:rStyle w:val="CharStyle27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7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27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CharStyle27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8"/>
                <w:shd w:val="clear" w:color="auto" w:fill="000000"/>
              </w:rPr>
              <w:t>...</w:t>
            </w:r>
            <w:r>
              <w:rPr>
                <w:rStyle w:val="CharStyle27"/>
                <w:spacing w:val="9"/>
                <w:shd w:val="clear" w:color="auto" w:fill="000000"/>
              </w:rPr>
              <w:t>..</w:t>
            </w:r>
            <w:r>
              <w:rPr>
                <w:rStyle w:val="CharStyle27"/>
                <w:shd w:val="clear" w:color="auto" w:fill="000000"/>
              </w:rPr>
              <w:t>​.......​</w:t>
            </w:r>
            <w:r>
              <w:rPr>
                <w:rStyle w:val="CharStyle27"/>
                <w:spacing w:val="6"/>
                <w:shd w:val="clear" w:color="auto" w:fill="000000"/>
              </w:rPr>
              <w:t>...</w:t>
            </w:r>
            <w:r>
              <w:rPr>
                <w:rStyle w:val="CharStyle27"/>
                <w:spacing w:val="7"/>
                <w:shd w:val="clear" w:color="auto" w:fill="000000"/>
              </w:rPr>
              <w:t>...</w:t>
            </w:r>
            <w:r>
              <w:rPr>
                <w:rStyle w:val="CharStyle27"/>
                <w:shd w:val="clear" w:color="auto" w:fill="000000"/>
              </w:rPr>
              <w:t>​......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27"/>
              </w:rPr>
              <w:t>00346292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27"/>
              </w:rPr>
              <w:t>CZ00346292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27"/>
              </w:rPr>
              <w:t>Krajský soud v Brně sp. zn. Pr 1245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5"/>
        </w:rPr>
        <w:t>(dále jen „kupující“)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95" w:lineRule="auto"/>
        <w:ind w:left="540" w:right="0" w:hanging="540"/>
        <w:jc w:val="both"/>
      </w:pPr>
      <w:r>
        <w:rPr>
          <w:rStyle w:val="CharStyle3"/>
        </w:rPr>
        <w:t xml:space="preserve">Prodávající je oprávněn na základě svého vlastnického práva nakládat se zbožím v podobě </w:t>
      </w:r>
      <w:r>
        <w:rPr>
          <w:rStyle w:val="CharStyle3"/>
          <w:b/>
          <w:bCs/>
        </w:rPr>
        <w:t>100 ks vozidlových antén PVA 01 B včetně koaxiálního kabelu v délce 5m.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95" w:lineRule="auto"/>
        <w:ind w:left="540" w:right="0" w:hanging="540"/>
        <w:jc w:val="both"/>
      </w:pPr>
      <w:r>
        <w:rPr>
          <w:rStyle w:val="CharStyle3"/>
        </w:rPr>
        <w:t>Prodávající prodává zboží podle čl. 1 této smlouvy se všemi jeho součástmi a příslušenstvím kupujícímu, a kupující kupuje toto zboží do vlastnictví Jihomoravského kraje, za kupní cenu podle čl. 5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/>
        <w:ind w:left="540" w:right="0" w:hanging="540"/>
        <w:jc w:val="both"/>
      </w:pPr>
      <w:r>
        <w:rPr>
          <w:rStyle w:val="CharStyle3"/>
        </w:rPr>
        <w:t xml:space="preserve">Prodávající se zavazuje splnit svůj závazek k dodání zboží podle čl. 1 této smlouvy nejpozději do </w:t>
      </w:r>
      <w:r>
        <w:rPr>
          <w:rStyle w:val="CharStyle3"/>
          <w:b/>
          <w:bCs/>
        </w:rPr>
        <w:t xml:space="preserve">3 měsíců </w:t>
      </w:r>
      <w:r>
        <w:rPr>
          <w:rStyle w:val="CharStyle3"/>
        </w:rPr>
        <w:t>od účinnosti této smlouvy. Závazek prodávajícího ke splnění jeho závazku k dodání zboží podle čl. 1 této smlouvy se pak považuje za splněný dnem předání a převzetí tohoto zboží, prostého všech vad a nedodělků, formou písemného předávacího protokolu, podepsaného oběma stranami. Kupující je oprávněn odmítnout převzetí zboží podle čl. 1 této smlouvy, bude-li se na něm vyskytovat jakákoliv vada nebo nedodělek. Místem splnění tohoto závazku prodávající je sídlo kupujícího v Brně, Kamenice 798/1d, Brno, 625 00.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86" w:lineRule="auto"/>
        <w:ind w:left="540" w:right="0" w:hanging="540"/>
        <w:jc w:val="both"/>
      </w:pPr>
      <w:r>
        <w:rPr>
          <w:rStyle w:val="CharStyle3"/>
        </w:rPr>
        <w:t>Nebezpečí škody na převáděném zboží přechází z prodávajícího na kupujícího dnem faktického převzetí tohoto zboží, vlastnické právo ke zboží podle čl. 1 této smlouvy přechází z prodávajícího na kupujícího dnem splnění závazku prodávajícího k dodání zboží podle čl. 1 této smlouvy způsobem podle čl. 3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93" w:lineRule="auto"/>
        <w:ind w:left="560" w:right="0" w:hanging="560"/>
        <w:jc w:val="both"/>
      </w:pPr>
      <w:r>
        <w:rPr>
          <w:rStyle w:val="CharStyle3"/>
        </w:rPr>
        <w:t xml:space="preserve">Kupující se zavazuje zaplatit prodávajícímu za předmět koupě a prodeje podle čl. 1 této smlouvy kupní cenu ve výši, tj. 127050,- Kč vč. DPH. Součástí této ceny jsou veškeré náklady prodávajícího na splnění jeho závazku k dodání </w:t>
      </w:r>
      <w:r>
        <w:rPr>
          <w:rStyle w:val="CharStyle3"/>
          <w:i/>
          <w:iCs/>
        </w:rPr>
        <w:t>zboží</w:t>
      </w:r>
      <w:r>
        <w:rPr>
          <w:rStyle w:val="CharStyle3"/>
        </w:rPr>
        <w:t xml:space="preserve"> podle této smlouvy a daň z přidané hodnoty v sazbě podle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95" w:lineRule="auto"/>
        <w:ind w:left="560" w:right="0" w:hanging="560"/>
        <w:jc w:val="both"/>
      </w:pPr>
      <w:r>
        <w:rPr>
          <w:rStyle w:val="CharStyle3"/>
        </w:rPr>
        <w:t xml:space="preserve">Kupní cena podle čl. 5 této smlouvy je splatná na účet prodávajícího po splnění závazku prodávajícího k dodání zboží podle čl. 1 této smlouvy způsobem podle čl. 3 této smlouvy ve lhůtě do 30-ti dnů ode dne doručení jejího písemného vyúčtování (faktury/daňového dokladu).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</w:rPr>
        <w:t xml:space="preserve">P23V00000499.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S převodem zboží podle čl. 1 této smlouvy je spojena záruka za jeho jakost v trvání 24 měsíců. V rámci této záruky se prodávající zavazuje zejména bezplatně odstraňovat reklamované vady tohoto zboží, a to vždy v lhůtě nejpozději do 30 dnů od doručení příslušné písemné reklamace kupujícího. Za písemnou reklamaci se přitom pro účely této smlouvy považuje reklamace učiněná elektronicky do datové schránky nebo na e-mailovou adresu prodávajícího. Prodávající se zavazuje na dobu provádění příslušné záruční opravy poskytnout bezplatně do užívání kupujícího náhradní zboží dle čl. 1 této smlouvy, bude-li kupující toto náhradní zboží požadovat.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Pro případ sporu o oprávněnost reklamace se kupujícímu vyhrazuje právo nechat vyhotovit k prověření reklamované vady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90" w:lineRule="auto"/>
        <w:ind w:left="560" w:right="0" w:hanging="560"/>
        <w:jc w:val="both"/>
      </w:pPr>
      <w:r>
        <w:rPr>
          <w:rStyle w:val="CharStyle3"/>
        </w:rPr>
        <w:t>Pro případ prodlení prodávajícího se splněním jeho povinnosti k odstranění reklamované vady ve lhůtě podle čl. 7 této smlouvy se prodávající zavazuje zaplatit kupujícímu smluvní pokutu ve výši 0,1 % z kupní ceny podle čl. 5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93" w:lineRule="auto"/>
        <w:ind w:left="560" w:right="0" w:hanging="560"/>
        <w:jc w:val="both"/>
      </w:pPr>
      <w:r>
        <w:rPr>
          <w:rStyle w:val="CharStyle3"/>
        </w:rPr>
        <w:t>Pro případ prodlení prodávajícího se splněním jeho povinnosti k odstranění vady ve lhůtě podle čl. 7 této smlouvy o víc než 10 dnů,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Pro případ prodlení prodávajícího se splněním jeho závazku k dodání zboží ve lhůtě podle čl. 3 této smlouvy se prodávající zavazuje zaplatit kupujícímu smluvní pokutu ve výši 0,1 % z kupní ceny podle čl. 5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86" w:lineRule="auto"/>
        <w:ind w:left="560" w:right="0" w:hanging="560"/>
        <w:jc w:val="both"/>
      </w:pPr>
      <w:r>
        <w:rPr>
          <w:rStyle w:val="CharStyle3"/>
        </w:rPr>
        <w:t>Pro případ prodlení prodávajícího se splněním jeho závazku k dodání zboží ve lhůtě podle čl. 3 této smlouvy o více, než 2 týdny, je kupující oprávněn odstoupit od této smlouvy s účinky ex tunc. Stejné právo má kupující, vyskytne-li se v době záruky za jakost podle čl. 7 této smlouvy na zboží podle čl. 1 této smlouvy neodstranitetná vada nebo pět a více vad, a i to postupně.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line="290" w:lineRule="auto"/>
        <w:ind w:left="560" w:right="0" w:hanging="560"/>
        <w:jc w:val="both"/>
      </w:pPr>
      <w:r>
        <w:rPr>
          <w:rStyle w:val="CharStyle3"/>
        </w:rPr>
        <w:t>Pro případ prodlení kupujícího se zaplacením kupní ceny nebo její části ve lhůtě podle čl. 6 této smlouvy o víc, než 10 dnů,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 Obě strany přitom vylučují použití ust. §1917 až 1918, §1920 až 1922, §1924, § 2099 až 2101, § 2103 až 2105 a § 2165 až 2172 občanského zákoníku a také obchodních zvyklostí, které jsou svým smyslem nebo účinky totožné nebo obdobné s uvedenými ustanoveními, na jejich právní vztah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after="260"/>
        <w:ind w:left="540" w:right="0" w:hanging="54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20 této smlouvy. Kupující přitom předem vylučuje přijetí tohoto návrhu s dodatkem nebo odchylkou ve smyslu ustanovení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after="260" w:line="290" w:lineRule="auto"/>
        <w:ind w:left="540" w:right="0" w:hanging="540"/>
        <w:jc w:val="both"/>
      </w:pPr>
      <w:r>
        <w:rPr>
          <w:rStyle w:val="CharStyle3"/>
        </w:rPr>
        <w:t>Tuto smlouvu lze změnit nebo zrušit pouze jinou písemnou dohodou obou smluvních stran ve formě číslovaného dodatku.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after="260" w:line="290" w:lineRule="auto"/>
        <w:ind w:left="540" w:right="0" w:hanging="54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včetně uvedení metoda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after="260" w:line="295" w:lineRule="auto"/>
        <w:ind w:left="540" w:right="0" w:hanging="540"/>
        <w:jc w:val="both"/>
      </w:pPr>
      <w:r>
        <w:rPr>
          <w:rStyle w:val="CharStyle3"/>
        </w:rPr>
        <w:t>Tato smlouva nabývá platnosti podpisem oběma stranami a účinnosti dnem jejího uveřejnění v registru smluv dle čl. 17.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after="260" w:line="286" w:lineRule="auto"/>
        <w:ind w:left="540" w:right="0" w:hanging="54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after="660" w:line="290" w:lineRule="auto"/>
        <w:ind w:left="540" w:right="0" w:hanging="540"/>
        <w:jc w:val="both"/>
      </w:pPr>
      <w:r>
        <w:drawing>
          <wp:anchor distT="307975" distB="189230" distL="135890" distR="114300" simplePos="0" relativeHeight="125829382" behindDoc="0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1031875</wp:posOffset>
            </wp:positionV>
            <wp:extent cx="2371090" cy="99377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71090" cy="993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723900</wp:posOffset>
                </wp:positionV>
                <wp:extent cx="685800" cy="17970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8.700000000000003pt;margin-top:57.pt;width:54.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2056130</wp:posOffset>
                </wp:positionV>
                <wp:extent cx="518160" cy="15875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8.950000000000003pt;margin-top:161.90000000000001pt;width:40.800000000000004pt;height:12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380" w:right="0" w:firstLine="0"/>
        <w:jc w:val="both"/>
      </w:pPr>
      <w: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4752340</wp:posOffset>
            </wp:positionH>
            <wp:positionV relativeFrom="paragraph">
              <wp:posOffset>177800</wp:posOffset>
            </wp:positionV>
            <wp:extent cx="506095" cy="786130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06095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 xml:space="preserve">V Podolí dneX- </w:t>
      </w:r>
      <w:r>
        <w:rPr>
          <w:rStyle w:val="CharStyle3"/>
          <w:vertAlign w:val="superscript"/>
        </w:rPr>
        <w:t>2 2023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1720" w:right="0" w:firstLine="0"/>
        <w:jc w:val="both"/>
      </w:pPr>
      <w:bookmarkStart w:id="6" w:name="bookmark6"/>
      <w:r>
        <w:rPr>
          <w:rStyle w:val="CharStyle47"/>
          <w:color w:val="9FB6D9"/>
        </w:rPr>
        <w:t>/</w:t>
      </w:r>
      <w:bookmarkEnd w:id="6"/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180" w:lineRule="auto"/>
        <w:ind w:left="1380" w:right="0" w:firstLine="0"/>
        <w:jc w:val="both"/>
      </w:pPr>
      <w:r>
        <w:rPr>
          <w:rStyle w:val="CharStyle47"/>
        </w:rPr>
        <w:t>—</w:t>
      </w:r>
      <w:r>
        <w:rPr>
          <w:rStyle w:val="CharStyle47"/>
          <w:spacing w:val="37"/>
          <w:shd w:val="clear" w:color="auto" w:fill="000000"/>
        </w:rPr>
        <w:t>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380" w:right="0" w:firstLine="0"/>
        <w:jc w:val="both"/>
      </w:pPr>
      <w:r>
        <w:rPr>
          <w:rStyle w:val="CharStyle3"/>
        </w:rPr>
        <w:t>Michal Truksa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380" w:right="0" w:firstLine="0"/>
        <w:jc w:val="both"/>
      </w:pPr>
      <w:r>
        <w:rPr>
          <w:rStyle w:val="CharStyle3"/>
          <w:b/>
          <w:bCs/>
        </w:rPr>
        <w:t>Prodávající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477" w:right="1423" w:bottom="1859" w:left="1381" w:header="49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10135870</wp:posOffset>
              </wp:positionV>
              <wp:extent cx="1871345" cy="12509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7134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6"/>
                              <w:rFonts w:ascii="Arial" w:eastAsia="Arial" w:hAnsi="Arial" w:cs="Arial"/>
                              <w:w w:val="70"/>
                              <w:sz w:val="20"/>
                              <w:szCs w:val="20"/>
                            </w:rPr>
                            <w:t>Veřejná zakázka 13_2023: Vozidlové antény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0.25pt;margin-top:798.10000000000002pt;width:147.34999999999999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6"/>
                        <w:rFonts w:ascii="Arial" w:eastAsia="Arial" w:hAnsi="Arial" w:cs="Arial"/>
                        <w:w w:val="70"/>
                        <w:sz w:val="20"/>
                        <w:szCs w:val="20"/>
                      </w:rPr>
                      <w:t>Veřejná zakázka 13_2023: Vozidlové antény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obrázku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Nadpis #3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Nadpis #4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Jiné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7">
    <w:name w:val="Nadpis #2_"/>
    <w:basedOn w:val="DefaultParagraphFont"/>
    <w:link w:val="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obrázku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auto"/>
      <w:spacing w:after="60"/>
      <w:ind w:right="74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auto"/>
      <w:spacing w:after="60"/>
      <w:ind w:right="74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Nadpis #3"/>
    <w:basedOn w:val="Normal"/>
    <w:link w:val="CharStyle21"/>
    <w:pPr>
      <w:widowControl w:val="0"/>
      <w:shd w:val="clear" w:color="auto" w:fill="auto"/>
      <w:spacing w:after="26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Nadpis #4"/>
    <w:basedOn w:val="Normal"/>
    <w:link w:val="CharStyle23"/>
    <w:pPr>
      <w:widowControl w:val="0"/>
      <w:shd w:val="clear" w:color="auto" w:fill="auto"/>
      <w:spacing w:after="480" w:line="266" w:lineRule="auto"/>
      <w:jc w:val="center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6">
    <w:name w:val="Jiné"/>
    <w:basedOn w:val="Normal"/>
    <w:link w:val="CharStyle27"/>
    <w:pPr>
      <w:widowControl w:val="0"/>
      <w:shd w:val="clear" w:color="auto" w:fill="auto"/>
      <w:spacing w:after="24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6">
    <w:name w:val="Nadpis #2"/>
    <w:basedOn w:val="Normal"/>
    <w:link w:val="CharStyle47"/>
    <w:pPr>
      <w:widowControl w:val="0"/>
      <w:shd w:val="clear" w:color="auto" w:fill="auto"/>
      <w:spacing w:line="209" w:lineRule="auto"/>
      <w:ind w:left="155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