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1766" w:h="619" w:wrap="none" w:hAnchor="page" w:x="8363" w:y="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rStyle w:val="CharStyle3"/>
        </w:rPr>
        <w:t>Illlllllllllllllll</w:t>
      </w:r>
      <w:bookmarkEnd w:id="0"/>
    </w:p>
    <w:p>
      <w:pPr>
        <w:pStyle w:val="Style2"/>
        <w:keepNext/>
        <w:keepLines/>
        <w:framePr w:w="614" w:h="619" w:wrap="none" w:hAnchor="page" w:x="1015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" w:name="bookmark2"/>
      <w:r>
        <w:rPr>
          <w:rStyle w:val="CharStyle3"/>
        </w:rPr>
        <w:t>Ulili</w:t>
      </w:r>
      <w:bookmarkEnd w:id="2"/>
    </w:p>
    <w:p>
      <w:pPr>
        <w:widowControl w:val="0"/>
        <w:spacing w:after="628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366" w:right="1129" w:bottom="1101" w:left="1388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680" w:firstLine="0"/>
        <w:jc w:val="right"/>
        <w:rPr>
          <w:sz w:val="15"/>
          <w:szCs w:val="15"/>
        </w:rPr>
      </w:pPr>
      <w:r>
        <w:rPr>
          <w:rStyle w:val="CharStyle16"/>
          <w:sz w:val="15"/>
          <w:szCs w:val="15"/>
        </w:rPr>
        <w:t>2023001802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90" w:lineRule="auto"/>
        <w:ind w:left="0" w:right="0" w:firstLine="0"/>
        <w:jc w:val="center"/>
        <w:rPr>
          <w:sz w:val="20"/>
          <w:szCs w:val="20"/>
        </w:rPr>
      </w:pPr>
      <w:r>
        <w:rPr>
          <w:rStyle w:val="CharStyle8"/>
          <w:b/>
          <w:bCs/>
          <w:sz w:val="20"/>
          <w:szCs w:val="20"/>
        </w:rPr>
        <w:t>KUPNÍ SMLOUVA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20" w:line="290" w:lineRule="auto"/>
        <w:ind w:left="0" w:right="0" w:firstLine="0"/>
        <w:jc w:val="center"/>
        <w:rPr>
          <w:sz w:val="20"/>
          <w:szCs w:val="20"/>
        </w:rPr>
      </w:pPr>
      <w:r>
        <w:rPr>
          <w:rStyle w:val="CharStyle8"/>
          <w:sz w:val="20"/>
          <w:szCs w:val="20"/>
        </w:rPr>
        <w:t>uzavřená v souladu s ustanovení § 2079 a násl. zákona č. 89/2012 Sb., občanský zákoník,</w:t>
        <w:br/>
        <w:t>mezi níže uvedenými smluvními stranami</w:t>
      </w:r>
    </w:p>
    <w:tbl>
      <w:tblPr>
        <w:tblOverlap w:val="never"/>
        <w:jc w:val="center"/>
        <w:tblLayout w:type="fixed"/>
      </w:tblPr>
      <w:tblGrid>
        <w:gridCol w:w="2678"/>
        <w:gridCol w:w="6043"/>
      </w:tblGrid>
      <w:tr>
        <w:trPr>
          <w:trHeight w:val="52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rStyle w:val="CharStyle25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Kamenice 798/1 d, 625 00 Brno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MUDr. Hana Albrechtová, ředitelka</w:t>
            </w:r>
          </w:p>
        </w:tc>
      </w:tr>
      <w:tr>
        <w:trPr>
          <w:trHeight w:val="76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Kontaktní osoba: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IČO: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spacing w:val="2"/>
                <w:shd w:val="clear" w:color="auto" w:fill="000000"/>
              </w:rPr>
              <w:t>............</w:t>
            </w:r>
            <w:r>
              <w:rPr>
                <w:rStyle w:val="CharStyle25"/>
                <w:spacing w:val="3"/>
                <w:shd w:val="clear" w:color="auto" w:fill="000000"/>
              </w:rPr>
              <w:t>..</w:t>
            </w:r>
            <w:r>
              <w:rPr>
                <w:rStyle w:val="CharStyle25"/>
                <w:shd w:val="clear" w:color="auto" w:fill="000000"/>
              </w:rPr>
              <w:t>​</w:t>
            </w:r>
            <w:r>
              <w:rPr>
                <w:rStyle w:val="CharStyle25"/>
                <w:spacing w:val="2"/>
                <w:shd w:val="clear" w:color="auto" w:fill="000000"/>
              </w:rPr>
              <w:t>..</w:t>
            </w:r>
            <w:r>
              <w:rPr>
                <w:rStyle w:val="CharStyle25"/>
                <w:spacing w:val="3"/>
                <w:shd w:val="clear" w:color="auto" w:fill="000000"/>
              </w:rPr>
              <w:t>............</w:t>
            </w:r>
            <w:r>
              <w:rPr>
                <w:rStyle w:val="CharStyle25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25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</w:t>
            </w:r>
            <w:r>
              <w:rPr>
                <w:rStyle w:val="CharStyle25"/>
                <w:spacing w:val="2"/>
                <w:u w:val="single"/>
                <w:shd w:val="clear" w:color="auto" w:fill="000000"/>
                <w:lang w:val="en-US" w:eastAsia="en-US" w:bidi="en-US"/>
              </w:rPr>
              <w:t>.........</w:t>
            </w:r>
            <w:r>
              <w:rPr>
                <w:rStyle w:val="CharStyle25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5"/>
                <w:shd w:val="clear" w:color="auto" w:fill="000000"/>
              </w:rPr>
              <w:t>​</w:t>
            </w:r>
            <w:r>
              <w:rPr>
                <w:rStyle w:val="CharStyle25"/>
                <w:spacing w:val="7"/>
                <w:shd w:val="clear" w:color="auto" w:fill="000000"/>
              </w:rPr>
              <w:t>......</w:t>
            </w:r>
            <w:r>
              <w:rPr>
                <w:rStyle w:val="CharStyle25"/>
                <w:shd w:val="clear" w:color="auto" w:fill="000000"/>
              </w:rPr>
              <w:t>​....</w:t>
            </w:r>
            <w:r>
              <w:rPr>
                <w:rStyle w:val="CharStyle25"/>
                <w:spacing w:val="1"/>
                <w:shd w:val="clear" w:color="auto" w:fill="000000"/>
              </w:rPr>
              <w:t>.....</w:t>
            </w:r>
            <w:r>
              <w:rPr>
                <w:rStyle w:val="CharStyle25"/>
                <w:shd w:val="clear" w:color="auto" w:fill="000000"/>
              </w:rPr>
              <w:t>​.......​</w:t>
            </w:r>
            <w:r>
              <w:rPr>
                <w:rStyle w:val="CharStyle25"/>
                <w:spacing w:val="6"/>
                <w:shd w:val="clear" w:color="auto" w:fill="000000"/>
              </w:rPr>
              <w:t>...</w:t>
            </w:r>
            <w:r>
              <w:rPr>
                <w:rStyle w:val="CharStyle25"/>
                <w:spacing w:val="7"/>
                <w:shd w:val="clear" w:color="auto" w:fill="000000"/>
              </w:rPr>
              <w:t>...</w:t>
            </w:r>
            <w:r>
              <w:rPr>
                <w:rStyle w:val="CharStyle25"/>
                <w:shd w:val="clear" w:color="auto" w:fill="000000"/>
              </w:rPr>
              <w:t>​......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00346292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CZ00346292</w:t>
            </w:r>
          </w:p>
        </w:tc>
      </w:tr>
      <w:tr>
        <w:trPr>
          <w:trHeight w:val="65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Zápis v OR: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Krajský soud v Brně sp. zn. Pr 1245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MONETA Money Bank, a.s., č. ú. 117203514/0600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rStyle w:val="CharStyle21"/>
        </w:rPr>
        <w:t xml:space="preserve">(dále jen </w:t>
      </w:r>
      <w:r>
        <w:rPr>
          <w:rStyle w:val="CharStyle21"/>
          <w:b/>
          <w:bCs/>
          <w:i/>
          <w:iCs/>
        </w:rPr>
        <w:t>„kupující")</w:t>
      </w:r>
    </w:p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78"/>
        <w:gridCol w:w="6048"/>
      </w:tblGrid>
      <w:tr>
        <w:trPr>
          <w:trHeight w:val="61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b/>
                <w:bCs/>
              </w:rPr>
              <w:t>TECOM Analytical Systems CS spol. s r.o.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K Fialce 276/35, 155 00 Praha 5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Lenka Habalová, prokurista společnosti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Kontaktní osoba: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25"/>
                <w:shd w:val="clear" w:color="auto" w:fill="000000"/>
              </w:rPr>
              <w:t>.......​</w:t>
            </w:r>
            <w:r>
              <w:rPr>
                <w:rStyle w:val="CharStyle25"/>
                <w:spacing w:val="7"/>
                <w:shd w:val="clear" w:color="auto" w:fill="000000"/>
              </w:rPr>
              <w:t>......</w:t>
            </w:r>
            <w:r>
              <w:rPr>
                <w:rStyle w:val="CharStyle25"/>
                <w:shd w:val="clear" w:color="auto" w:fill="000000"/>
              </w:rPr>
              <w:t>​</w:t>
            </w:r>
            <w:r>
              <w:rPr>
                <w:rStyle w:val="CharStyle25"/>
                <w:spacing w:val="3"/>
                <w:shd w:val="clear" w:color="auto" w:fill="000000"/>
              </w:rPr>
              <w:t>........</w:t>
            </w:r>
            <w:r>
              <w:rPr>
                <w:rStyle w:val="CharStyle25"/>
                <w:spacing w:val="4"/>
                <w:shd w:val="clear" w:color="auto" w:fill="000000"/>
              </w:rPr>
              <w:t>....</w:t>
            </w:r>
            <w:r>
              <w:rPr>
                <w:rStyle w:val="CharStyle25"/>
                <w:u w:val="single"/>
                <w:shd w:val="clear" w:color="auto" w:fill="000000"/>
                <w:lang w:val="en-US" w:eastAsia="en-US" w:bidi="en-US"/>
              </w:rPr>
              <w:t>​.</w:t>
            </w:r>
            <w:r>
              <w:rPr>
                <w:rStyle w:val="CharStyle25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.............................</w:t>
            </w:r>
            <w:r>
              <w:rPr>
                <w:rStyle w:val="CharStyle25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25"/>
                <w:spacing w:val="2"/>
                <w:u w:val="single"/>
                <w:shd w:val="clear" w:color="auto" w:fill="000000"/>
                <w:lang w:val="en-US" w:eastAsia="en-US" w:bidi="en-US"/>
              </w:rPr>
              <w:t>...</w:t>
            </w:r>
            <w:r>
              <w:rPr>
                <w:rStyle w:val="CharStyle25"/>
                <w:spacing w:val="3"/>
                <w:u w:val="single"/>
                <w:shd w:val="clear" w:color="auto" w:fill="000000"/>
                <w:lang w:val="en-US" w:eastAsia="en-US" w:bidi="en-US"/>
              </w:rPr>
              <w:t>........</w:t>
            </w:r>
            <w:r>
              <w:rPr>
                <w:rStyle w:val="CharStyle25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5"/>
                <w:shd w:val="clear" w:color="auto" w:fill="000000"/>
              </w:rPr>
              <w:t>​</w:t>
            </w:r>
            <w:r>
              <w:rPr>
                <w:rStyle w:val="CharStyle25"/>
                <w:spacing w:val="7"/>
                <w:shd w:val="clear" w:color="auto" w:fill="000000"/>
              </w:rPr>
              <w:t>......</w:t>
            </w:r>
            <w:r>
              <w:rPr>
                <w:rStyle w:val="CharStyle25"/>
                <w:shd w:val="clear" w:color="auto" w:fill="000000"/>
              </w:rPr>
              <w:t>​....</w:t>
            </w:r>
            <w:r>
              <w:rPr>
                <w:rStyle w:val="CharStyle25"/>
                <w:spacing w:val="1"/>
                <w:shd w:val="clear" w:color="auto" w:fill="000000"/>
              </w:rPr>
              <w:t>.....</w:t>
            </w:r>
            <w:r>
              <w:rPr>
                <w:rStyle w:val="CharStyle25"/>
                <w:shd w:val="clear" w:color="auto" w:fill="000000"/>
              </w:rPr>
              <w:t>​.......​.......​......</w:t>
            </w:r>
            <w:r>
              <w:rPr>
                <w:rStyle w:val="CharStyle25"/>
              </w:rPr>
              <w:t xml:space="preserve"> 15889785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CZ15889785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Městský soud v Praze, oddíl C, vložka 7284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UniCredit Bank Czech Republic and Slovakia, a.s., č.ú. 934006/2700</w:t>
            </w:r>
          </w:p>
        </w:tc>
      </w:tr>
    </w:tbl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21"/>
        </w:rPr>
        <w:t xml:space="preserve">(dále jen </w:t>
      </w:r>
      <w:r>
        <w:rPr>
          <w:rStyle w:val="CharStyle21"/>
          <w:b/>
          <w:bCs/>
          <w:i/>
          <w:iCs/>
        </w:rPr>
        <w:t>„prodávající")</w:t>
      </w:r>
    </w:p>
    <w:p>
      <w:pPr>
        <w:widowControl w:val="0"/>
        <w:spacing w:after="639" w:line="1" w:lineRule="exact"/>
      </w:pP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40" w:line="240" w:lineRule="auto"/>
        <w:ind w:left="400" w:right="0" w:hanging="400"/>
        <w:jc w:val="both"/>
      </w:pPr>
      <w:r>
        <w:rPr>
          <w:rStyle w:val="CharStyle8"/>
        </w:rPr>
        <w:t xml:space="preserve">Prodávající je oprávněn na základě svého vlastnického práva nakládat se zbožím v podobě </w:t>
      </w:r>
      <w:r>
        <w:rPr>
          <w:rStyle w:val="CharStyle8"/>
          <w:b/>
          <w:bCs/>
        </w:rPr>
        <w:t xml:space="preserve">5 ks analyzátorů vč. příslušenství </w:t>
      </w:r>
      <w:r>
        <w:rPr>
          <w:rStyle w:val="CharStyle8"/>
        </w:rPr>
        <w:t>(dále jen „zboží“), jejich bližší specifikace je uvedena v příloze této smlouvy.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8"/>
        </w:rPr>
        <w:t>Prodávající prodává zboží podle čl. 1 této smlouvy se všemi jejich součástmi a příslušenstvím kupujícímu, a kupující kupuje toto zboží do vlastnictví Jihomoravského kraje, jako jeho zřizovatele, za kupní cenu podle čl. 6 této smlouvy. Místem plnění závazku prodávajícího je sídlo kupujícího podle záhlaví této smlouvy.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8"/>
        </w:rPr>
        <w:t>Součástí dodávky zboží dle čl. 1 této smlouvy je také dodání veškerých návodů k obsluze, odpovídající technické dokumentace v tištěné a datové podobě, dodání dokladů prokazujících kvalitu a schválení pro užívání v České republice, zejm. dodání příslušných atestů, certifikátů a prohlášení o shodě, to vše v českém jazyce.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8"/>
        </w:rPr>
        <w:t xml:space="preserve">Prodávající se zavazuje splnit svůj závazek k dodání zboží podle čl. 1 této smlouvy ve lhůtě nejpozději do </w:t>
      </w:r>
      <w:r>
        <w:rPr>
          <w:rStyle w:val="CharStyle8"/>
          <w:b/>
          <w:bCs/>
        </w:rPr>
        <w:t xml:space="preserve">30 dnů </w:t>
      </w:r>
      <w:r>
        <w:rPr>
          <w:rStyle w:val="CharStyle8"/>
        </w:rPr>
        <w:t>od účinnosti této smlouvy. Závazek prodávajícího k dodání zboží podle čl. 1 této smlouvy se pak považuje za splněný dnem předání a převzetí tohoto zboží formou písemného předávacího protokolu, podepsaného oběma stranami.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320"/>
        <w:ind w:left="400" w:right="0" w:hanging="400"/>
        <w:jc w:val="both"/>
      </w:pPr>
      <w:r>
        <w:rPr>
          <w:rStyle w:val="CharStyle8"/>
        </w:rPr>
        <w:t>Nebezpečí škody na převáděném zboží a vlastnické právo k tomuto zboží přechází z prodávajícího na kupujícího dnem splnění závazku prodávajícího k dodání tohoto zboží způsobem podle čl. 4 této smlouvy.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140" w:line="264" w:lineRule="auto"/>
        <w:ind w:left="400" w:right="0" w:hanging="400"/>
        <w:jc w:val="both"/>
      </w:pPr>
      <w:r>
        <w:rPr>
          <w:rStyle w:val="CharStyle8"/>
        </w:rPr>
        <w:t>Kupující se zavazuje zaplatit prodávajícímu za předmět koupě a prodeje podle čl. 1 této smlouvy kupní cenu ve výši celkem: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  <w:jc w:val="center"/>
      </w:pPr>
      <w:r>
        <w:rPr>
          <w:rStyle w:val="CharStyle8"/>
          <w:b/>
          <w:bCs/>
        </w:rPr>
        <w:t xml:space="preserve">101 200 Kč bez DPH, </w:t>
      </w:r>
      <w:r>
        <w:rPr>
          <w:rStyle w:val="CharStyle8"/>
        </w:rPr>
        <w:t xml:space="preserve">tj. celkem </w:t>
      </w:r>
      <w:r>
        <w:rPr>
          <w:rStyle w:val="CharStyle8"/>
          <w:b/>
          <w:bCs/>
        </w:rPr>
        <w:t>122 452 Kč včetně DPH.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/>
        <w:ind w:left="400" w:right="0" w:firstLine="20"/>
        <w:jc w:val="both"/>
      </w:pPr>
      <w:r>
        <w:rPr>
          <w:rStyle w:val="CharStyle8"/>
        </w:rPr>
        <w:t>Součástí této ceny jsou veškeré náklady prodávajícího na splnění jeho závazku k dodání zboží podle této smlouvy a daň z přidané hodnoty v sazbě podle zákona.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8"/>
        </w:rPr>
        <w:t xml:space="preserve">Kupní cena podle čl. 6 této smlouvy je splatná na účet prodávajícího po splnění závazku prodávajícího k dodání zboží podle čl. 1 této smlouvy způsobem podle čl. 4 této smlouvy ve lhůtě do 30 dnů ode dne doručení jejího písemného vyúčtování (daňového dokladu/faktury). Faktura bude doručena rovněž elektronicky na e-mail </w:t>
      </w:r>
      <w:r>
        <w:rPr>
          <w:rStyle w:val="CharStyle8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8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8"/>
          <w:shd w:val="clear" w:color="auto" w:fill="000000"/>
          <w:lang w:val="en-US" w:eastAsia="en-US" w:bidi="en-US"/>
        </w:rPr>
        <w:t>.</w:t>
      </w:r>
      <w:r>
        <w:rPr>
          <w:rStyle w:val="CharStyle8"/>
          <w:shd w:val="clear" w:color="auto" w:fill="000000"/>
        </w:rPr>
        <w:t>​...</w:t>
      </w:r>
      <w:r>
        <w:rPr>
          <w:rStyle w:val="CharStyle8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8"/>
          <w:spacing w:val="1"/>
          <w:u w:val="single"/>
          <w:shd w:val="clear" w:color="auto" w:fill="000000"/>
          <w:lang w:val="en-US" w:eastAsia="en-US" w:bidi="en-US"/>
        </w:rPr>
        <w:t>..........................</w:t>
      </w:r>
      <w:r>
        <w:rPr>
          <w:rStyle w:val="CharStyle8"/>
          <w:spacing w:val="2"/>
          <w:u w:val="single"/>
          <w:shd w:val="clear" w:color="auto" w:fill="000000"/>
          <w:lang w:val="en-US" w:eastAsia="en-US" w:bidi="en-US"/>
        </w:rPr>
        <w:t>......</w:t>
      </w:r>
      <w:r>
        <w:rPr>
          <w:rStyle w:val="CharStyle8"/>
          <w:color w:val="74AADF"/>
          <w:u w:val="single"/>
          <w:lang w:val="en-US" w:eastAsia="en-US" w:bidi="en-US"/>
        </w:rPr>
        <w:t>.</w:t>
      </w:r>
      <w:r>
        <w:rPr>
          <w:rStyle w:val="CharStyle8"/>
          <w:color w:val="74AADF"/>
          <w:lang w:val="en-US" w:eastAsia="en-US" w:bidi="en-US"/>
        </w:rPr>
        <w:t xml:space="preserve"> </w:t>
      </w:r>
      <w:r>
        <w:rPr>
          <w:rStyle w:val="CharStyle8"/>
        </w:rPr>
        <w:t xml:space="preserve">Na faktuře musí být mimo jiné vždy uvedeno toto číslo veřejné zakázky, ke které se faktura vztahuje: </w:t>
      </w:r>
      <w:r>
        <w:rPr>
          <w:rStyle w:val="CharStyle8"/>
          <w:b/>
          <w:bCs/>
        </w:rPr>
        <w:t xml:space="preserve">P23V00000642. </w:t>
      </w:r>
      <w:r>
        <w:rPr>
          <w:rStyle w:val="CharStyle8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8"/>
        </w:rPr>
        <w:t xml:space="preserve">S převodem zboží podle čl. 1 této smlouvy je spojena záruka za jeho jakost v trvání </w:t>
      </w:r>
      <w:r>
        <w:rPr>
          <w:rStyle w:val="CharStyle8"/>
          <w:b/>
          <w:bCs/>
        </w:rPr>
        <w:t xml:space="preserve">24 měsíců. </w:t>
      </w:r>
      <w:r>
        <w:rPr>
          <w:rStyle w:val="CharStyle8"/>
        </w:rPr>
        <w:t>V rámci záruky se prodávající zavazuje, že zboží podle čl. 1 této smlouvy bude mít po dobu záruční lhůty vlastnosti, které jsou stanoveny právními předpisy nebo technickými normami nebo jsou u zboží tohoto druhu obvyklé, a že bude po dobu záruční lhůty bezplatně odstraňovat vady, které se na zboží podle čl. 1 této smlouvy vyskytnou, a to ve lhůtě do 48 hodin od doručení příslušné reklamace kupujícího. Za odstranění vady v uvedené lhůtě se přitom považuje i zapůjčení náhradního srovnatelného plnění v této lhůtě, a to na dobu nezbytnou k odstranění reklamované vady.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8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8"/>
        </w:rPr>
        <w:t>Nepřikročí-li prodávající k odstranění vady ve lhůtě podle čl. 8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8"/>
        </w:rPr>
        <w:t>Pro případ prodlení se splněním jeho závazku k dodání zboží ve lhůtě podle čl. 4 této smlouvy a pro případ jeho prodlení s odstraněním vady ve lhůtě podle čl. 8 této smlouvy se prodávající zavazuje platit kupujícímu smluvní pokutu ve výši 0,1 % z kupní ceny podle čl. 5 této smlouvy za každý započatý den tohoto prodlení.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8"/>
        </w:rPr>
        <w:t>Pro případ prodlení se splněním jeho závazku k dodání zboží ve lhůtě podle čl. 4 této smlouvy o více, než 2 týdny nebo pro případ výskytu neodstranitelné vady resp. výskytu tří a více vad, a i to postupně, je kupující oprávněn odstoupit od této smlouvy s účinky ex tunc.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8"/>
        </w:rPr>
        <w:t>Pro případ prodlení kupujícího se zaplacením kupní ceny nebo její části ve lhůtě podle čl. 7 této smlouvy o víc, než 2 týdny, je prodávající oprávněn od této smlouvy odstoupit s účinky ex tunc.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8"/>
        </w:rPr>
        <w:t>Není-li touto smlouvou ujednánojinak, řídí se vzájemný právní vztah mezi kupujícím a prodávajícím při realizaci této smlouvy ustanovení § 2079 a násl. občanského zákoníku.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00" w:right="0" w:hanging="400"/>
        <w:jc w:val="both"/>
      </w:pPr>
      <w:r>
        <w:rPr>
          <w:rStyle w:val="CharStyle8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20 této smlouvy. Kupující přitom předem</w:t>
        <w:br w:type="page"/>
      </w:r>
      <w:r>
        <w:rPr>
          <w:rStyle w:val="CharStyle8"/>
        </w:rPr>
        <w:t>vylučuje přijetí tohoto návrhu s dodatkem nebo odchylkou ve smyslu ustanovení § 1740 odst. 3 občanského zákoníku.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0" w:right="0" w:firstLine="0"/>
        <w:jc w:val="left"/>
      </w:pPr>
      <w:r>
        <w:rPr>
          <w:rStyle w:val="CharStyle8"/>
        </w:rPr>
        <w:t>Tuto smlouvu lze změnit nebo zrušit pouze jinou písemnou dohodou obou smluvních stran.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8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kupující.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0" w:right="0" w:firstLine="0"/>
        <w:jc w:val="left"/>
      </w:pPr>
      <w:r>
        <w:rPr>
          <w:rStyle w:val="CharStyle8"/>
        </w:rPr>
        <w:t>Tato smlouva nabývá účinnosti dnem jejího uveřejnění v registru smluv dle čl. 17.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8"/>
        </w:rPr>
        <w:t>Dáno ve dvou originálních písemných vyhotoveních, z nichž každá ze smluvních stran obdrží po jednom.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520" w:line="286" w:lineRule="auto"/>
        <w:ind w:left="400" w:right="0" w:hanging="400"/>
        <w:jc w:val="both"/>
      </w:pPr>
      <w:r>
        <w:rPr>
          <w:rStyle w:val="CharStyle8"/>
        </w:rPr>
        <w:t>Prodávající uděluje kupujícímu svůj výslovný souhlas se zveřejněním podmínek této smlouvy v rozsahu a za podmínek vyplývajících z příslušných právních předpisů (zejména zákona č. 106/1999 Sb., o svobodném přístupu k informacím, v platném znění).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1490345" distL="0" distR="170815" simplePos="0" relativeHeight="125829378" behindDoc="0" locked="0" layoutInCell="1" allowOverlap="1">
                <wp:simplePos x="0" y="0"/>
                <wp:positionH relativeFrom="page">
                  <wp:posOffset>4056380</wp:posOffset>
                </wp:positionH>
                <wp:positionV relativeFrom="paragraph">
                  <wp:posOffset>88900</wp:posOffset>
                </wp:positionV>
                <wp:extent cx="780415" cy="14922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041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  <w:i/>
                                <w:iCs/>
                              </w:rPr>
                              <w:t>\/e</w:t>
                            </w:r>
                            <w:r>
                              <w:rPr>
                                <w:rStyle w:val="CharStyle8"/>
                              </w:rPr>
                              <w:t xml:space="preserve"> Praze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9.40000000000003pt;margin-top:7.pt;width:61.450000000000003pt;height:11.75pt;z-index:-125829375;mso-wrap-distance-left:0;mso-wrap-distance-right:13.450000000000001pt;mso-wrap-distance-bottom:117.35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  <w:i/>
                          <w:iCs/>
                        </w:rPr>
                        <w:t>\/e</w:t>
                      </w:r>
                      <w:r>
                        <w:rPr>
                          <w:rStyle w:val="CharStyle8"/>
                        </w:rPr>
                        <w:t xml:space="preserve"> Praze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402590" distB="989965" distL="170815" distR="280670" simplePos="0" relativeHeight="125829380" behindDoc="0" locked="0" layoutInCell="1" allowOverlap="1">
                <wp:simplePos x="0" y="0"/>
                <wp:positionH relativeFrom="page">
                  <wp:posOffset>4227195</wp:posOffset>
                </wp:positionH>
                <wp:positionV relativeFrom="paragraph">
                  <wp:posOffset>491490</wp:posOffset>
                </wp:positionV>
                <wp:extent cx="499745" cy="24701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247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  <w:spacing w:val="4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11"/>
                                <w:spacing w:val="5"/>
                                <w:shd w:val="clear" w:color="auto" w:fill="000000"/>
                              </w:rPr>
                              <w:t>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2.85000000000002pt;margin-top:38.700000000000003pt;width:39.350000000000001pt;height:19.449999999999999pt;z-index:-125829373;mso-wrap-distance-left:13.450000000000001pt;mso-wrap-distance-top:31.699999999999999pt;mso-wrap-distance-right:22.100000000000001pt;mso-wrap-distance-bottom:77.950000000000003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spacing w:val="4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11"/>
                          <w:spacing w:val="5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652145" distB="737235" distL="170815" distR="0" simplePos="0" relativeHeight="125829382" behindDoc="0" locked="0" layoutInCell="1" allowOverlap="1">
                <wp:simplePos x="0" y="0"/>
                <wp:positionH relativeFrom="page">
                  <wp:posOffset>4227195</wp:posOffset>
                </wp:positionH>
                <wp:positionV relativeFrom="paragraph">
                  <wp:posOffset>741045</wp:posOffset>
                </wp:positionV>
                <wp:extent cx="780415" cy="25019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0415" cy="250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  <w:spacing w:val="3"/>
                                <w:shd w:val="clear" w:color="auto" w:fill="000000"/>
                              </w:rPr>
                              <w:t>..............</w:t>
                            </w:r>
                            <w:r>
                              <w:rPr>
                                <w:rStyle w:val="CharStyle11"/>
                                <w:spacing w:val="4"/>
                                <w:shd w:val="clear" w:color="auto" w:fill="000000"/>
                              </w:rPr>
                              <w:t>....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2.85000000000002pt;margin-top:58.350000000000001pt;width:61.450000000000003pt;height:19.699999999999999pt;z-index:-125829371;mso-wrap-distance-left:13.450000000000001pt;mso-wrap-distance-top:51.350000000000001pt;mso-wrap-distance-right:0;mso-wrap-distance-bottom:58.050000000000004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spacing w:val="3"/>
                          <w:shd w:val="clear" w:color="auto" w:fill="000000"/>
                        </w:rPr>
                        <w:t>..............</w:t>
                      </w:r>
                      <w:r>
                        <w:rPr>
                          <w:rStyle w:val="CharStyle11"/>
                          <w:spacing w:val="4"/>
                          <w:shd w:val="clear" w:color="auto" w:fill="000000"/>
                        </w:rPr>
                        <w:t>....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1134110" distB="0" distL="3175" distR="24765" simplePos="0" relativeHeight="125829384" behindDoc="0" locked="0" layoutInCell="1" allowOverlap="1">
                <wp:simplePos x="0" y="0"/>
                <wp:positionH relativeFrom="page">
                  <wp:posOffset>4059555</wp:posOffset>
                </wp:positionH>
                <wp:positionV relativeFrom="paragraph">
                  <wp:posOffset>1223010</wp:posOffset>
                </wp:positionV>
                <wp:extent cx="923290" cy="50609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3290" cy="506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 xml:space="preserve">Lenka Habalová prokurista </w:t>
                            </w:r>
                            <w:r>
                              <w:rPr>
                                <w:rStyle w:val="CharStyle8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9.65000000000003pt;margin-top:96.299999999999997pt;width:72.700000000000003pt;height:39.850000000000001pt;z-index:-125829369;mso-wrap-distance-left:0.25pt;mso-wrap-distance-top:89.299999999999997pt;mso-wrap-distance-right:1.9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 xml:space="preserve">Lenka Habalová prokurista </w:t>
                      </w:r>
                      <w:r>
                        <w:rPr>
                          <w:rStyle w:val="CharStyle8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8"/>
        </w:rPr>
        <w:t xml:space="preserve">V Brně dne </w:t>
      </w:r>
      <w:r>
        <w:rPr>
          <w:rStyle w:val="CharStyle8"/>
          <w:b/>
          <w:bCs/>
          <w:i/>
          <w:iCs/>
          <w:color w:val="2D79E0"/>
        </w:rPr>
        <w:t>q.s.iozs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0" distB="0" distL="114300" distR="114300" simplePos="0" relativeHeight="125829386" behindDoc="0" locked="0" layoutInCell="1" allowOverlap="1">
            <wp:simplePos x="0" y="0"/>
            <wp:positionH relativeFrom="page">
              <wp:posOffset>999490</wp:posOffset>
            </wp:positionH>
            <wp:positionV relativeFrom="paragraph">
              <wp:posOffset>12700</wp:posOffset>
            </wp:positionV>
            <wp:extent cx="1779905" cy="640080"/>
            <wp:wrapSquare wrapText="right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779905" cy="6400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16"/>
          <w:spacing w:val="2"/>
          <w:shd w:val="clear" w:color="auto" w:fill="000000"/>
        </w:rPr>
        <w:t>....</w:t>
      </w:r>
      <w:r>
        <w:rPr>
          <w:rStyle w:val="CharStyle16"/>
          <w:spacing w:val="3"/>
          <w:shd w:val="clear" w:color="auto" w:fill="000000"/>
        </w:rPr>
        <w:t>..........</w:t>
      </w:r>
      <w:r>
        <w:rPr>
          <w:rStyle w:val="CharStyle16"/>
          <w:shd w:val="clear" w:color="auto" w:fill="000000"/>
        </w:rPr>
        <w:t>​</w:t>
      </w:r>
      <w:r>
        <w:rPr>
          <w:rStyle w:val="CharStyle16"/>
          <w:spacing w:val="1"/>
          <w:shd w:val="clear" w:color="auto" w:fill="000000"/>
        </w:rPr>
        <w:t>.....</w:t>
      </w:r>
      <w:r>
        <w:rPr>
          <w:rStyle w:val="CharStyle16"/>
          <w:spacing w:val="2"/>
          <w:shd w:val="clear" w:color="auto" w:fill="000000"/>
        </w:rPr>
        <w:t>.........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6"/>
          <w:spacing w:val="3"/>
          <w:shd w:val="clear" w:color="auto" w:fill="000000"/>
        </w:rPr>
        <w:t>.........</w:t>
      </w:r>
      <w:r>
        <w:rPr>
          <w:rStyle w:val="CharStyle16"/>
          <w:spacing w:val="4"/>
          <w:shd w:val="clear" w:color="auto" w:fill="000000"/>
        </w:rPr>
        <w:t>.</w:t>
      </w:r>
      <w:r>
        <w:rPr>
          <w:rStyle w:val="CharStyle16"/>
          <w:shd w:val="clear" w:color="auto" w:fill="000000"/>
        </w:rPr>
        <w:t>​.......</w:t>
      </w:r>
      <w:r>
        <w:rPr>
          <w:rStyle w:val="CharStyle16"/>
          <w:spacing w:val="1"/>
          <w:shd w:val="clear" w:color="auto" w:fill="000000"/>
        </w:rPr>
        <w:t>........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0" w:line="257" w:lineRule="auto"/>
        <w:ind w:left="0" w:right="0" w:firstLine="0"/>
        <w:jc w:val="left"/>
      </w:pPr>
      <w:r>
        <w:rPr>
          <w:rStyle w:val="CharStyle16"/>
          <w:spacing w:val="1"/>
          <w:shd w:val="clear" w:color="auto" w:fill="000000"/>
        </w:rPr>
        <w:t>.</w:t>
      </w:r>
      <w:r>
        <w:rPr>
          <w:rStyle w:val="CharStyle16"/>
          <w:spacing w:val="2"/>
          <w:shd w:val="clear" w:color="auto" w:fill="000000"/>
        </w:rPr>
        <w:t>...........</w:t>
      </w:r>
      <w:r>
        <w:rPr>
          <w:rStyle w:val="CharStyle16"/>
          <w:shd w:val="clear" w:color="auto" w:fill="000000"/>
        </w:rPr>
        <w:t>​..................</w:t>
      </w:r>
      <w:r>
        <w:rPr>
          <w:rStyle w:val="CharStyle16"/>
        </w:rPr>
        <w:t xml:space="preserve"> </w:t>
      </w:r>
      <w:r>
        <w:rPr>
          <w:rStyle w:val="CharStyle16"/>
          <w:shd w:val="clear" w:color="auto" w:fill="000000"/>
        </w:rPr>
        <w:t>​...............​</w:t>
      </w:r>
      <w:r>
        <w:rPr>
          <w:rStyle w:val="CharStyle16"/>
          <w:spacing w:val="1"/>
          <w:shd w:val="clear" w:color="auto" w:fill="000000"/>
        </w:rPr>
        <w:t>...</w:t>
      </w:r>
      <w:r>
        <w:rPr>
          <w:rStyle w:val="CharStyle16"/>
          <w:spacing w:val="2"/>
          <w:shd w:val="clear" w:color="auto" w:fill="000000"/>
        </w:rPr>
        <w:t>........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80" w:line="283" w:lineRule="auto"/>
        <w:ind w:left="0" w:right="0" w:firstLine="0"/>
        <w:jc w:val="left"/>
      </w:pPr>
      <w:r>
        <w:rPr>
          <w:rStyle w:val="CharStyle8"/>
        </w:rPr>
        <w:t xml:space="preserve">MUDr. Hana Albrechtová ředitelka </w:t>
      </w:r>
      <w:r>
        <w:rPr>
          <w:rStyle w:val="CharStyle8"/>
          <w:b/>
          <w:bCs/>
          <w:i/>
          <w:iCs/>
        </w:rPr>
        <w:t>kupující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1"/>
          <w:b/>
          <w:bCs/>
        </w:rPr>
        <w:t>Příloha č. 1 - Technická specifikace, ceník</w:t>
      </w:r>
    </w:p>
    <w:tbl>
      <w:tblPr>
        <w:tblOverlap w:val="never"/>
        <w:jc w:val="center"/>
        <w:tblLayout w:type="fixed"/>
      </w:tblPr>
      <w:tblGrid>
        <w:gridCol w:w="3749"/>
        <w:gridCol w:w="730"/>
        <w:gridCol w:w="2890"/>
        <w:gridCol w:w="1536"/>
      </w:tblGrid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b/>
                <w:bCs/>
              </w:rPr>
              <w:t>položka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b/>
                <w:bCs/>
              </w:rPr>
              <w:t>počet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  <w:b/>
                <w:bCs/>
              </w:rPr>
              <w:t>obchodní označení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  <w:b/>
                <w:bCs/>
              </w:rPr>
              <w:t>cena za ks v Kč bez DPH</w:t>
            </w:r>
          </w:p>
        </w:tc>
      </w:tr>
      <w:tr>
        <w:trPr>
          <w:trHeight w:val="10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Nemocniční proužkový analyzátor pro monitoring laktátu, hemoglobinu a hematokritu; jedn. laktátu: mmol/l, Hb: g/l, Hct: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60873 StatStrip Xpress 2 Lac/Hb/Hct Meter</w:t>
            </w:r>
          </w:p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(Lac: mmol/l, Hb: g/l, Hct: %)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13 595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Style w:val="CharStyle25"/>
              </w:rPr>
              <w:t>Test Strip Lactate/EMS (měřící proužky balení 50 ks)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61440 Test Strips Lactate/EMS (50 ks)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3 189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Lactate Control Solution Level 1 (kontrolní roztok)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Style w:val="CharStyle25"/>
              </w:rPr>
              <w:t>47553 Lactate Control Solution Level 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25"/>
              </w:rPr>
              <w:t>423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Lactate Control Solution Level 2 (kontrolní roztok)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Style w:val="CharStyle25"/>
              </w:rPr>
              <w:t>47554 Lactate Control Solution Level 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25"/>
              </w:rPr>
              <w:t>423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Style w:val="CharStyle25"/>
              </w:rPr>
              <w:t>Test Strips Hb/Hct (měřící proužky balení 50 ks)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rStyle w:val="CharStyle25"/>
              </w:rPr>
              <w:t>58786 Test Strips Hb/Hct (50 ks)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1 338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Hb/Hct Control Level 1 (kontrolní roztok)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59820 Hb/Hct Control Level 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25"/>
              </w:rPr>
              <w:t>636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Hb/Hct Control Level 2 (kontrolní roztok)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5"/>
              </w:rPr>
              <w:t>59827 Hb/Hct Control Level 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5"/>
              </w:rPr>
              <w:t>636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1900" w:h="16840"/>
      <w:pgMar w:top="1050" w:right="1551" w:bottom="1554" w:left="142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9969500</wp:posOffset>
              </wp:positionV>
              <wp:extent cx="18681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681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5"/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16_2023 Analyzátory s příslušenstvím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799999999999997pt;margin-top:785.pt;width:147.09999999999999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Calibri" w:eastAsia="Calibri" w:hAnsi="Calibri" w:cs="Calibri"/>
                        <w:sz w:val="19"/>
                        <w:szCs w:val="19"/>
                      </w:rPr>
                      <w:t>16_2023 Analyzátory s příslušenstvím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6">
    <w:name w:val="Základní text (2)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1">
    <w:name w:val="Titulek tabulky_"/>
    <w:basedOn w:val="DefaultParagraphFont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5">
    <w:name w:val="Jiné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auto"/>
      <w:spacing w:after="22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5">
    <w:name w:val="Základní text (2)"/>
    <w:basedOn w:val="Normal"/>
    <w:link w:val="CharStyle16"/>
    <w:pPr>
      <w:widowControl w:val="0"/>
      <w:shd w:val="clear" w:color="auto" w:fill="auto"/>
      <w:spacing w:after="370" w:line="24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0">
    <w:name w:val="Titulek tabulky"/>
    <w:basedOn w:val="Normal"/>
    <w:link w:val="CharStyle21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4">
    <w:name w:val="Jiné"/>
    <w:basedOn w:val="Normal"/>
    <w:link w:val="CharStyle25"/>
    <w:pPr>
      <w:widowControl w:val="0"/>
      <w:shd w:val="clear" w:color="auto" w:fill="auto"/>
      <w:spacing w:after="22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/Relationships>
</file>