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47C85A34" w14:textId="77777777" w:rsidR="00070FBB" w:rsidRPr="002567D2" w:rsidRDefault="00070FBB" w:rsidP="00070FBB">
      <w:pPr>
        <w:pStyle w:val="Nadpis1"/>
        <w:jc w:val="both"/>
        <w:rPr>
          <w:rFonts w:ascii="Arial" w:hAnsi="Arial" w:cs="Arial"/>
          <w:sz w:val="24"/>
        </w:rPr>
      </w:pPr>
      <w:r>
        <w:rPr>
          <w:rFonts w:ascii="Arial" w:hAnsi="Arial" w:cs="Arial"/>
          <w:sz w:val="24"/>
        </w:rPr>
        <w:t>Psychiatrická nemocnice v Dobřanech</w:t>
      </w:r>
    </w:p>
    <w:p w14:paraId="6C3955FA" w14:textId="77777777" w:rsidR="00070FBB" w:rsidRPr="002567D2" w:rsidRDefault="00070FBB" w:rsidP="00070FBB">
      <w:pPr>
        <w:ind w:left="4253" w:hanging="4253"/>
        <w:jc w:val="both"/>
        <w:rPr>
          <w:rFonts w:ascii="Arial" w:hAnsi="Arial" w:cs="Arial"/>
        </w:rPr>
      </w:pPr>
      <w:r w:rsidRPr="002567D2">
        <w:rPr>
          <w:rFonts w:ascii="Arial" w:hAnsi="Arial" w:cs="Arial"/>
        </w:rPr>
        <w:t>Sídlo:</w:t>
      </w:r>
      <w:r w:rsidRPr="002567D2">
        <w:rPr>
          <w:rFonts w:ascii="Arial" w:hAnsi="Arial" w:cs="Arial"/>
        </w:rPr>
        <w:tab/>
      </w:r>
      <w:r>
        <w:rPr>
          <w:rFonts w:ascii="Arial" w:hAnsi="Arial" w:cs="Arial"/>
        </w:rPr>
        <w:t xml:space="preserve">Ústavní </w:t>
      </w:r>
      <w:r w:rsidRPr="009219F0">
        <w:rPr>
          <w:rFonts w:ascii="Arial" w:hAnsi="Arial" w:cs="Arial"/>
        </w:rPr>
        <w:t>341</w:t>
      </w:r>
      <w:r>
        <w:rPr>
          <w:rFonts w:ascii="Arial" w:hAnsi="Arial" w:cs="Arial"/>
        </w:rPr>
        <w:t>, 334 41 Dobřany</w:t>
      </w:r>
    </w:p>
    <w:p w14:paraId="6EA456E5" w14:textId="77777777" w:rsidR="00070FBB" w:rsidRPr="002567D2" w:rsidRDefault="00070FBB" w:rsidP="00070FBB">
      <w:pPr>
        <w:tabs>
          <w:tab w:val="left" w:pos="4253"/>
        </w:tabs>
        <w:ind w:left="4253" w:hanging="4253"/>
        <w:jc w:val="both"/>
        <w:rPr>
          <w:rFonts w:ascii="Arial" w:hAnsi="Arial" w:cs="Arial"/>
        </w:rPr>
      </w:pPr>
      <w:r w:rsidRPr="002567D2">
        <w:rPr>
          <w:rFonts w:ascii="Arial" w:hAnsi="Arial" w:cs="Arial"/>
        </w:rPr>
        <w:t>Osoba oprávněná k podpisu:</w:t>
      </w:r>
      <w:r w:rsidRPr="002567D2">
        <w:rPr>
          <w:rFonts w:ascii="Arial" w:hAnsi="Arial" w:cs="Arial"/>
        </w:rPr>
        <w:tab/>
        <w:t xml:space="preserve">MUDr. </w:t>
      </w:r>
      <w:r>
        <w:rPr>
          <w:rFonts w:ascii="Arial" w:hAnsi="Arial" w:cs="Arial"/>
        </w:rPr>
        <w:t>Petr Žižka,</w:t>
      </w:r>
      <w:r w:rsidRPr="002567D2">
        <w:rPr>
          <w:rFonts w:ascii="Arial" w:hAnsi="Arial" w:cs="Arial"/>
        </w:rPr>
        <w:t xml:space="preserve"> ředitel</w:t>
      </w:r>
    </w:p>
    <w:p w14:paraId="31A691CB" w14:textId="0EA9B2C8" w:rsidR="00070FBB" w:rsidRDefault="00070FBB" w:rsidP="00070FBB">
      <w:pPr>
        <w:tabs>
          <w:tab w:val="left" w:pos="3480"/>
        </w:tabs>
        <w:ind w:left="3480" w:hanging="3480"/>
        <w:jc w:val="both"/>
        <w:rPr>
          <w:rFonts w:ascii="Arial" w:hAnsi="Arial" w:cs="Arial"/>
        </w:rPr>
      </w:pPr>
      <w:r w:rsidRPr="002567D2">
        <w:rPr>
          <w:rFonts w:ascii="Arial" w:hAnsi="Arial" w:cs="Arial"/>
        </w:rPr>
        <w:t>IČO:</w:t>
      </w:r>
      <w:r w:rsidRPr="002567D2">
        <w:rPr>
          <w:rFonts w:ascii="Arial" w:hAnsi="Arial" w:cs="Arial"/>
        </w:rPr>
        <w:tab/>
      </w:r>
      <w:r>
        <w:rPr>
          <w:rFonts w:ascii="Arial" w:hAnsi="Arial" w:cs="Arial"/>
        </w:rPr>
        <w:t xml:space="preserve">            </w:t>
      </w:r>
      <w:r w:rsidRPr="002567D2">
        <w:rPr>
          <w:rFonts w:ascii="Arial" w:hAnsi="Arial" w:cs="Arial"/>
        </w:rPr>
        <w:t>00669</w:t>
      </w:r>
      <w:r>
        <w:rPr>
          <w:rFonts w:ascii="Arial" w:hAnsi="Arial" w:cs="Arial"/>
        </w:rPr>
        <w:t>792</w:t>
      </w:r>
    </w:p>
    <w:p w14:paraId="4E2CF028" w14:textId="50178F09" w:rsidR="00070FBB" w:rsidRDefault="00070FBB" w:rsidP="00070FBB">
      <w:pPr>
        <w:tabs>
          <w:tab w:val="left" w:pos="3480"/>
          <w:tab w:val="left" w:pos="4253"/>
        </w:tabs>
        <w:ind w:left="3480" w:hanging="3480"/>
        <w:jc w:val="both"/>
        <w:rPr>
          <w:rFonts w:ascii="Arial" w:hAnsi="Arial" w:cs="Arial"/>
        </w:rPr>
      </w:pPr>
      <w:r>
        <w:rPr>
          <w:rFonts w:ascii="Arial" w:hAnsi="Arial" w:cs="Arial"/>
        </w:rPr>
        <w:t>Bankovní spojení:</w:t>
      </w:r>
      <w:r>
        <w:rPr>
          <w:rFonts w:ascii="Arial" w:hAnsi="Arial" w:cs="Arial"/>
        </w:rPr>
        <w:tab/>
      </w:r>
      <w:r>
        <w:rPr>
          <w:rFonts w:ascii="Arial" w:hAnsi="Arial" w:cs="Arial"/>
        </w:rPr>
        <w:tab/>
      </w:r>
      <w:r>
        <w:rPr>
          <w:rFonts w:ascii="Arial" w:hAnsi="Arial" w:cs="Arial"/>
        </w:rPr>
        <w:tab/>
      </w:r>
      <w:r w:rsidRPr="00070FBB">
        <w:rPr>
          <w:rFonts w:ascii="Arial" w:hAnsi="Arial" w:cs="Arial"/>
        </w:rPr>
        <w:t>Česká národní banka</w:t>
      </w:r>
    </w:p>
    <w:p w14:paraId="0CBCEB90" w14:textId="77777777" w:rsidR="00070FBB" w:rsidRDefault="00070FBB" w:rsidP="00070FBB">
      <w:pPr>
        <w:tabs>
          <w:tab w:val="left" w:pos="3480"/>
          <w:tab w:val="left" w:pos="4253"/>
        </w:tabs>
        <w:ind w:left="3480" w:hanging="3480"/>
        <w:jc w:val="both"/>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Pr="00070FBB">
        <w:rPr>
          <w:rFonts w:ascii="Arial" w:hAnsi="Arial" w:cs="Arial"/>
        </w:rPr>
        <w:t>7633361/0710</w:t>
      </w:r>
    </w:p>
    <w:p w14:paraId="1F3C69EA" w14:textId="1101CA5C" w:rsidR="00070FBB" w:rsidRDefault="00070FBB" w:rsidP="00070FBB">
      <w:pPr>
        <w:tabs>
          <w:tab w:val="left" w:pos="3480"/>
          <w:tab w:val="left" w:pos="4253"/>
        </w:tabs>
        <w:ind w:left="3480" w:hanging="3480"/>
        <w:jc w:val="both"/>
        <w:rPr>
          <w:rFonts w:ascii="Arial" w:hAnsi="Arial" w:cs="Arial"/>
        </w:rPr>
      </w:pPr>
      <w:r w:rsidRPr="00070FBB">
        <w:rPr>
          <w:rFonts w:ascii="Arial" w:hAnsi="Arial" w:cs="Arial"/>
        </w:rPr>
        <w:tab/>
      </w:r>
      <w:r>
        <w:rPr>
          <w:rFonts w:ascii="Arial" w:hAnsi="Arial" w:cs="Arial"/>
        </w:rPr>
        <w:tab/>
      </w:r>
    </w:p>
    <w:p w14:paraId="5E33E34C" w14:textId="77777777" w:rsidR="00070FBB" w:rsidRPr="00C058BB" w:rsidRDefault="00070FBB" w:rsidP="00070FBB">
      <w:pPr>
        <w:tabs>
          <w:tab w:val="left" w:pos="3480"/>
        </w:tabs>
        <w:jc w:val="both"/>
        <w:rPr>
          <w:rFonts w:ascii="Arial" w:hAnsi="Arial" w:cs="Arial"/>
        </w:rPr>
      </w:pPr>
      <w:r w:rsidRPr="003B5938">
        <w:rPr>
          <w:rFonts w:ascii="Arial" w:hAnsi="Arial" w:cs="Arial"/>
        </w:rPr>
        <w:t>Zapsán v národním registru poskytovatelů zdravotních služeb.</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4FD7B7AC" w:rsidR="00971CAF" w:rsidRDefault="00971CAF" w:rsidP="00DA1261">
      <w:pPr>
        <w:spacing w:after="120"/>
        <w:jc w:val="both"/>
        <w:rPr>
          <w:rFonts w:ascii="Arial" w:hAnsi="Arial" w:cs="Arial"/>
        </w:rPr>
      </w:pPr>
    </w:p>
    <w:p w14:paraId="21AE19AD" w14:textId="77777777" w:rsidR="00070FBB" w:rsidRPr="00035E67" w:rsidRDefault="00070FBB"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4CEBB565"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AC7569">
        <w:rPr>
          <w:rFonts w:ascii="Arial" w:hAnsi="Arial" w:cs="Arial"/>
          <w:b/>
          <w:bCs/>
        </w:rPr>
        <w:t>02322023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3C4827F5" w:rsidR="004E4091" w:rsidRDefault="004E4091" w:rsidP="00DA1261">
      <w:pPr>
        <w:spacing w:after="120"/>
        <w:jc w:val="center"/>
        <w:rPr>
          <w:rFonts w:ascii="Arial" w:hAnsi="Arial" w:cs="Arial"/>
          <w:b/>
          <w:bCs/>
        </w:rPr>
      </w:pPr>
    </w:p>
    <w:p w14:paraId="3731BB52" w14:textId="77777777" w:rsidR="00070FBB" w:rsidRPr="00035E67" w:rsidRDefault="00070FBB"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48A9D503"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Příjemce Pověřením výkonem služby obecného </w:t>
      </w:r>
      <w:r w:rsidRPr="00070FBB">
        <w:rPr>
          <w:rFonts w:ascii="Arial" w:hAnsi="Arial" w:cs="Arial"/>
        </w:rPr>
        <w:t xml:space="preserve">hospodářského zájmu č. </w:t>
      </w:r>
      <w:r w:rsidR="00070FBB" w:rsidRPr="00070FBB">
        <w:rPr>
          <w:rFonts w:ascii="Arial" w:hAnsi="Arial" w:cs="Arial"/>
          <w:b/>
        </w:rPr>
        <w:t>58762022</w:t>
      </w:r>
      <w:r w:rsidRPr="00070FBB">
        <w:rPr>
          <w:rFonts w:ascii="Arial" w:hAnsi="Arial" w:cs="Arial"/>
        </w:rPr>
        <w:t xml:space="preserve"> ze dne </w:t>
      </w:r>
      <w:r w:rsidR="00070FBB" w:rsidRPr="00070FBB">
        <w:rPr>
          <w:rFonts w:ascii="Arial" w:hAnsi="Arial" w:cs="Arial"/>
          <w:b/>
        </w:rPr>
        <w:t>16. 1. 202</w:t>
      </w:r>
      <w:r w:rsidR="004C332C">
        <w:rPr>
          <w:rFonts w:ascii="Arial" w:hAnsi="Arial" w:cs="Arial"/>
          <w:b/>
        </w:rPr>
        <w:t>3</w:t>
      </w:r>
      <w:r w:rsidRPr="00070FBB">
        <w:rPr>
          <w:rFonts w:ascii="Arial" w:hAnsi="Arial" w:cs="Arial"/>
        </w:rPr>
        <w:t xml:space="preserve"> vydaným </w:t>
      </w:r>
      <w:r w:rsidRPr="00004CA6">
        <w:rPr>
          <w:rFonts w:ascii="Arial" w:hAnsi="Arial" w:cs="Arial"/>
        </w:rPr>
        <w:t xml:space="preserve">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bookmarkStart w:id="0" w:name="_GoBack"/>
      <w:bookmarkEnd w:id="0"/>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0FAC980F"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sociální služby </w:t>
      </w:r>
      <w:r w:rsidR="00070FBB" w:rsidRPr="00070FBB">
        <w:rPr>
          <w:rFonts w:ascii="Arial" w:hAnsi="Arial" w:cs="Arial"/>
          <w:b/>
        </w:rPr>
        <w:t>Odborné sociální poradenství</w:t>
      </w:r>
      <w:r w:rsidR="00070FBB">
        <w:rPr>
          <w:rFonts w:ascii="Arial" w:hAnsi="Arial" w:cs="Arial"/>
          <w:b/>
        </w:rPr>
        <w:t xml:space="preserve"> (ID: 1997156)</w:t>
      </w:r>
      <w:r w:rsidR="00070FBB" w:rsidRPr="00070FBB">
        <w:rPr>
          <w:rFonts w:ascii="Arial" w:hAnsi="Arial" w:cs="Arial"/>
        </w:rPr>
        <w:t xml:space="preserve"> </w:t>
      </w:r>
      <w:r w:rsidR="007A066E" w:rsidRPr="00004CA6">
        <w:rPr>
          <w:rFonts w:ascii="Arial" w:hAnsi="Arial" w:cs="Arial"/>
        </w:rPr>
        <w:t>v rozsahu stanoveném v</w:t>
      </w:r>
      <w:r w:rsidR="00635A65">
        <w:rPr>
          <w:rFonts w:ascii="Arial" w:hAnsi="Arial" w:cs="Arial"/>
        </w:rPr>
        <w:t> </w:t>
      </w:r>
      <w:r w:rsidR="007A066E" w:rsidRPr="00004CA6">
        <w:rPr>
          <w:rFonts w:ascii="Arial" w:hAnsi="Arial" w:cs="Arial"/>
        </w:rPr>
        <w:t>Pověření</w:t>
      </w:r>
      <w:r w:rsidR="00635A65">
        <w:rPr>
          <w:rFonts w:ascii="Arial" w:hAnsi="Arial" w:cs="Arial"/>
        </w:rPr>
        <w:t xml:space="preserve"> </w:t>
      </w:r>
      <w:r w:rsidR="008A5D8C" w:rsidRPr="00635A65">
        <w:rPr>
          <w:rFonts w:ascii="Arial" w:hAnsi="Arial" w:cs="Arial"/>
        </w:rPr>
        <w:t>(</w:t>
      </w:r>
      <w:r w:rsidR="008A5D8C" w:rsidRPr="00004CA6">
        <w:rPr>
          <w:rFonts w:ascii="Arial" w:hAnsi="Arial" w:cs="Arial"/>
        </w:rPr>
        <w:t xml:space="preserve">dále </w:t>
      </w:r>
      <w:r w:rsidR="00B82770" w:rsidRPr="00004CA6">
        <w:rPr>
          <w:rFonts w:ascii="Arial" w:hAnsi="Arial" w:cs="Arial"/>
        </w:rPr>
        <w:t>také</w:t>
      </w:r>
      <w:r w:rsidR="008A5D8C" w:rsidRPr="00004CA6">
        <w:rPr>
          <w:rFonts w:ascii="Arial" w:hAnsi="Arial" w:cs="Arial"/>
        </w:rPr>
        <w:t xml:space="preserve"> </w:t>
      </w:r>
      <w:r w:rsidR="00C959F2">
        <w:rPr>
          <w:rFonts w:ascii="Arial" w:hAnsi="Arial" w:cs="Arial"/>
        </w:rPr>
        <w:t>„</w:t>
      </w:r>
      <w:r w:rsidR="008E74F6" w:rsidRPr="00004CA6">
        <w:rPr>
          <w:rFonts w:ascii="Arial" w:hAnsi="Arial" w:cs="Arial"/>
        </w:rPr>
        <w:t>Sociální služba</w:t>
      </w:r>
      <w:r w:rsidR="00C959F2">
        <w:rPr>
          <w:rFonts w:ascii="Arial" w:hAnsi="Arial" w:cs="Arial"/>
        </w:rPr>
        <w:t>“</w:t>
      </w:r>
      <w:r w:rsidR="009156DA" w:rsidRPr="00004CA6">
        <w:rPr>
          <w:rFonts w:ascii="Arial" w:hAnsi="Arial" w:cs="Arial"/>
        </w:rPr>
        <w:t xml:space="preserve">). </w:t>
      </w:r>
      <w:r w:rsidRPr="00004CA6">
        <w:rPr>
          <w:rFonts w:ascii="Arial" w:hAnsi="Arial" w:cs="Arial"/>
        </w:rPr>
        <w:t xml:space="preserve">Podkladem pro poskytnutí účelové finanční dotace je </w:t>
      </w:r>
      <w:r w:rsidR="00230122" w:rsidRPr="00004CA6">
        <w:rPr>
          <w:rFonts w:ascii="Arial" w:hAnsi="Arial" w:cs="Arial"/>
        </w:rPr>
        <w:t xml:space="preserve">elektronická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w:t>
      </w:r>
      <w:r w:rsidR="00070FBB">
        <w:rPr>
          <w:rFonts w:ascii="Arial" w:hAnsi="Arial" w:cs="Arial"/>
        </w:rPr>
        <w:br/>
      </w:r>
      <w:r w:rsidRPr="00004CA6">
        <w:rPr>
          <w:rFonts w:ascii="Arial" w:hAnsi="Arial" w:cs="Arial"/>
        </w:rPr>
        <w:t xml:space="preserve">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04DF4B2C" w:rsidR="005A68A9" w:rsidRPr="005A68A9" w:rsidRDefault="004E755D" w:rsidP="00070FBB">
      <w:pPr>
        <w:numPr>
          <w:ilvl w:val="0"/>
          <w:numId w:val="1"/>
        </w:numPr>
        <w:tabs>
          <w:tab w:val="clear" w:pos="720"/>
          <w:tab w:val="num" w:pos="567"/>
        </w:tabs>
        <w:spacing w:after="120"/>
        <w:ind w:left="567" w:hanging="425"/>
        <w:jc w:val="both"/>
        <w:rPr>
          <w:rFonts w:ascii="Arial" w:hAnsi="Arial" w:cs="Arial"/>
        </w:rPr>
      </w:pPr>
      <w:r w:rsidRPr="00924BCB">
        <w:rPr>
          <w:rFonts w:ascii="Arial" w:hAnsi="Arial" w:cs="Arial"/>
        </w:rPr>
        <w:t xml:space="preserve">Poskytovatel se zavazuje poskytnout účelovou finanční dotaci ve výši </w:t>
      </w:r>
      <w:r w:rsidR="00070FBB">
        <w:rPr>
          <w:rFonts w:ascii="Arial" w:hAnsi="Arial" w:cs="Arial"/>
        </w:rPr>
        <w:br/>
      </w:r>
      <w:r w:rsidR="00070FBB">
        <w:rPr>
          <w:rFonts w:ascii="Arial" w:hAnsi="Arial" w:cs="Arial"/>
          <w:b/>
        </w:rPr>
        <w:t>984.187</w:t>
      </w:r>
      <w:r w:rsidRPr="00924BCB">
        <w:rPr>
          <w:rFonts w:ascii="Arial" w:hAnsi="Arial" w:cs="Arial"/>
          <w:b/>
        </w:rPr>
        <w:t xml:space="preserve"> Kč </w:t>
      </w:r>
      <w:r w:rsidRPr="00924BCB">
        <w:rPr>
          <w:rFonts w:ascii="Arial" w:hAnsi="Arial" w:cs="Arial"/>
        </w:rPr>
        <w:t xml:space="preserve">(slovy: </w:t>
      </w:r>
      <w:r w:rsidR="00070FBB" w:rsidRPr="00070FBB">
        <w:rPr>
          <w:rFonts w:ascii="Arial" w:hAnsi="Arial" w:cs="Arial"/>
        </w:rPr>
        <w:t>devět set osmdesát čtyři tisíc jedno sto osmdesát sedm korun českých</w:t>
      </w:r>
      <w:r w:rsidRPr="00924BCB">
        <w:rPr>
          <w:rFonts w:ascii="Arial" w:hAnsi="Arial" w:cs="Arial"/>
        </w:rPr>
        <w:t>)</w:t>
      </w:r>
      <w:r w:rsidR="00FF6897">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„Podpora sociálních služeb dle § 101a zákona 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 xml:space="preserve">od </w:t>
      </w:r>
      <w:r w:rsidR="000100FE" w:rsidRPr="00924BCB">
        <w:rPr>
          <w:rFonts w:ascii="Arial" w:hAnsi="Arial" w:cs="Arial"/>
        </w:rPr>
        <w:lastRenderedPageBreak/>
        <w:t>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7EBC3997"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92473D">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3457CFDB"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5C17A562"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w:t>
      </w:r>
      <w:r w:rsidR="00070FBB">
        <w:rPr>
          <w:rFonts w:ascii="Arial" w:hAnsi="Arial" w:cs="Arial"/>
        </w:rPr>
        <w:t xml:space="preserve"> ve lhůtě určené ve výzvě KÚPK.</w:t>
      </w:r>
      <w:r w:rsidR="0079525B" w:rsidRPr="00EC4C94">
        <w:rPr>
          <w:rFonts w:ascii="Arial" w:hAnsi="Arial" w:cs="Arial"/>
        </w:rPr>
        <w:t xml:space="preserve"> </w:t>
      </w:r>
      <w:r w:rsidR="00070FBB">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6FE1B209" w:rsidR="001674F3" w:rsidRDefault="001674F3" w:rsidP="00DA1261">
      <w:pPr>
        <w:pStyle w:val="Nadpis2"/>
        <w:spacing w:after="120"/>
        <w:rPr>
          <w:rFonts w:ascii="Arial" w:hAnsi="Arial" w:cs="Arial"/>
          <w:bCs w:val="0"/>
        </w:rPr>
      </w:pPr>
    </w:p>
    <w:p w14:paraId="407806FE" w14:textId="77777777" w:rsidR="00070FBB" w:rsidRPr="00070FBB" w:rsidRDefault="00070FBB" w:rsidP="00070FBB">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2D9B8486" w14:textId="3A6121BC" w:rsidR="0071775E" w:rsidRDefault="0071775E" w:rsidP="00DA1261">
      <w:pPr>
        <w:pStyle w:val="Zkladntext"/>
        <w:tabs>
          <w:tab w:val="center" w:pos="1080"/>
          <w:tab w:val="left" w:pos="5160"/>
          <w:tab w:val="center" w:pos="5940"/>
        </w:tabs>
        <w:spacing w:after="120"/>
        <w:rPr>
          <w:lang w:val="cs-CZ"/>
        </w:rPr>
      </w:pPr>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53E52D8C"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070FBB">
        <w:rPr>
          <w:rFonts w:ascii="Arial" w:hAnsi="Arial" w:cs="Arial"/>
          <w:lang w:val="cs-CZ" w:eastAsia="cs-CZ"/>
        </w:rPr>
        <w:t xml:space="preserve">          </w:t>
      </w:r>
      <w:r w:rsidR="00070FBB" w:rsidRPr="002567D2">
        <w:rPr>
          <w:rFonts w:ascii="Arial" w:hAnsi="Arial" w:cs="Arial"/>
        </w:rPr>
        <w:t xml:space="preserve">MUDr. </w:t>
      </w:r>
      <w:r w:rsidR="00070FBB">
        <w:rPr>
          <w:rFonts w:ascii="Arial" w:hAnsi="Arial" w:cs="Arial"/>
        </w:rPr>
        <w:t>Petr Žižka</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40133D56"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070FBB">
        <w:rPr>
          <w:rFonts w:ascii="Arial" w:hAnsi="Arial" w:cs="Arial"/>
          <w:lang w:val="cs-CZ" w:eastAsia="cs-CZ"/>
        </w:rPr>
        <w:t xml:space="preserve">             </w:t>
      </w:r>
      <w:r w:rsidR="00070FBB" w:rsidRPr="002567D2">
        <w:rPr>
          <w:rFonts w:ascii="Arial" w:hAnsi="Arial" w:cs="Arial"/>
        </w:rPr>
        <w:t>ředitel</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7522"/>
      <w:docPartObj>
        <w:docPartGallery w:val="Page Numbers (Bottom of Page)"/>
        <w:docPartUnique/>
      </w:docPartObj>
    </w:sdtPr>
    <w:sdtEndPr/>
    <w:sdtContent>
      <w:p w14:paraId="54E9F0D3" w14:textId="2923D598" w:rsidR="00327F44" w:rsidRDefault="00327F44">
        <w:pPr>
          <w:pStyle w:val="Zpat"/>
          <w:jc w:val="center"/>
        </w:pPr>
        <w:r>
          <w:fldChar w:fldCharType="begin"/>
        </w:r>
        <w:r>
          <w:instrText>PAGE   \* MERGEFORMAT</w:instrText>
        </w:r>
        <w:r>
          <w:fldChar w:fldCharType="separate"/>
        </w:r>
        <w:r w:rsidR="004C332C" w:rsidRPr="004C332C">
          <w:rPr>
            <w:noProof/>
            <w:lang w:val="cs-CZ"/>
          </w:rPr>
          <w:t>13</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0FBB"/>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27F44"/>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32C"/>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73D"/>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C7569"/>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6AC9"/>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 w:val="00FF6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523F-6B9A-443F-B264-A0084DA3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5172</Words>
  <Characters>30915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36015</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6</cp:revision>
  <cp:lastPrinted>2022-01-18T09:32:00Z</cp:lastPrinted>
  <dcterms:created xsi:type="dcterms:W3CDTF">2023-02-01T15:09:00Z</dcterms:created>
  <dcterms:modified xsi:type="dcterms:W3CDTF">2023-02-14T11:51:00Z</dcterms:modified>
</cp:coreProperties>
</file>