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649B2636" w14:textId="77777777" w:rsidR="00D903D5" w:rsidRPr="004973B8" w:rsidRDefault="00D903D5" w:rsidP="00D903D5">
      <w:pPr>
        <w:ind w:left="2124" w:hanging="2124"/>
        <w:rPr>
          <w:rFonts w:ascii="Arial" w:hAnsi="Arial" w:cs="Arial"/>
          <w:b/>
        </w:rPr>
      </w:pPr>
      <w:r w:rsidRPr="004973B8">
        <w:rPr>
          <w:rFonts w:ascii="Arial" w:hAnsi="Arial" w:cs="Arial"/>
          <w:b/>
        </w:rPr>
        <w:t>Oblastní spolek Českého červeného kříže Tachov</w:t>
      </w:r>
    </w:p>
    <w:p w14:paraId="2F15E273" w14:textId="77777777" w:rsidR="00D903D5" w:rsidRPr="004973B8" w:rsidRDefault="00D903D5" w:rsidP="00D903D5">
      <w:pPr>
        <w:ind w:left="4111" w:hanging="4111"/>
        <w:rPr>
          <w:rFonts w:ascii="Arial" w:hAnsi="Arial" w:cs="Arial"/>
        </w:rPr>
      </w:pPr>
      <w:r w:rsidRPr="004973B8">
        <w:rPr>
          <w:rFonts w:ascii="Arial" w:hAnsi="Arial" w:cs="Arial"/>
        </w:rPr>
        <w:t>Sídlo:</w:t>
      </w:r>
      <w:r w:rsidRPr="004973B8">
        <w:rPr>
          <w:rFonts w:ascii="Arial" w:hAnsi="Arial" w:cs="Arial"/>
        </w:rPr>
        <w:tab/>
      </w:r>
      <w:proofErr w:type="spellStart"/>
      <w:r w:rsidRPr="00D903D5">
        <w:rPr>
          <w:rFonts w:ascii="Arial" w:hAnsi="Arial" w:cs="Arial"/>
        </w:rPr>
        <w:t>Bělojarská</w:t>
      </w:r>
      <w:proofErr w:type="spellEnd"/>
      <w:r w:rsidRPr="00D903D5">
        <w:rPr>
          <w:rFonts w:ascii="Arial" w:hAnsi="Arial" w:cs="Arial"/>
        </w:rPr>
        <w:t xml:space="preserve"> 2288,</w:t>
      </w:r>
      <w:r w:rsidRPr="004973B8">
        <w:rPr>
          <w:rFonts w:ascii="Arial" w:hAnsi="Arial" w:cs="Arial"/>
        </w:rPr>
        <w:t xml:space="preserve"> 347 01  Tachov </w:t>
      </w:r>
    </w:p>
    <w:p w14:paraId="759D20C7" w14:textId="2F3AF4FD" w:rsidR="00D903D5" w:rsidRPr="004973B8" w:rsidRDefault="00D903D5" w:rsidP="00D903D5">
      <w:pPr>
        <w:tabs>
          <w:tab w:val="left" w:pos="1985"/>
        </w:tabs>
        <w:ind w:left="4111" w:hanging="4111"/>
        <w:rPr>
          <w:rFonts w:ascii="Arial" w:hAnsi="Arial" w:cs="Arial"/>
        </w:rPr>
      </w:pPr>
      <w:r w:rsidRPr="004973B8">
        <w:rPr>
          <w:rFonts w:ascii="Arial" w:hAnsi="Arial" w:cs="Arial"/>
        </w:rPr>
        <w:t>Osoba oprávněná k podpisu smlouvy:</w:t>
      </w:r>
      <w:r w:rsidRPr="004973B8">
        <w:rPr>
          <w:rFonts w:ascii="Arial" w:hAnsi="Arial" w:cs="Arial"/>
        </w:rPr>
        <w:tab/>
      </w:r>
      <w:r>
        <w:rPr>
          <w:rFonts w:ascii="Arial" w:hAnsi="Arial" w:cs="Arial"/>
        </w:rPr>
        <w:t xml:space="preserve">Mgr. Blanka </w:t>
      </w:r>
      <w:proofErr w:type="spellStart"/>
      <w:r>
        <w:rPr>
          <w:rFonts w:ascii="Arial" w:hAnsi="Arial" w:cs="Arial"/>
        </w:rPr>
        <w:t>Dobrotová</w:t>
      </w:r>
      <w:proofErr w:type="spellEnd"/>
      <w:r>
        <w:rPr>
          <w:rFonts w:ascii="Arial" w:hAnsi="Arial" w:cs="Arial"/>
        </w:rPr>
        <w:t>,</w:t>
      </w:r>
      <w:r w:rsidRPr="00E54725">
        <w:rPr>
          <w:rFonts w:ascii="Arial" w:hAnsi="Arial" w:cs="Arial"/>
        </w:rPr>
        <w:t xml:space="preserve"> na zákl</w:t>
      </w:r>
      <w:r>
        <w:rPr>
          <w:rFonts w:ascii="Arial" w:hAnsi="Arial" w:cs="Arial"/>
        </w:rPr>
        <w:t>adě plné moci</w:t>
      </w:r>
      <w:r w:rsidRPr="004973B8">
        <w:rPr>
          <w:rFonts w:ascii="Arial" w:hAnsi="Arial" w:cs="Arial"/>
        </w:rPr>
        <w:t xml:space="preserve"> </w:t>
      </w:r>
    </w:p>
    <w:p w14:paraId="27FF6BAE" w14:textId="77777777" w:rsidR="00D903D5" w:rsidRPr="004973B8" w:rsidRDefault="00D903D5" w:rsidP="00D903D5">
      <w:pPr>
        <w:tabs>
          <w:tab w:val="left" w:pos="1985"/>
        </w:tabs>
        <w:ind w:left="4111" w:hanging="4111"/>
        <w:rPr>
          <w:rFonts w:ascii="Arial" w:hAnsi="Arial" w:cs="Arial"/>
        </w:rPr>
      </w:pPr>
      <w:r w:rsidRPr="004973B8">
        <w:rPr>
          <w:rFonts w:ascii="Arial" w:hAnsi="Arial" w:cs="Arial"/>
        </w:rPr>
        <w:t>IČO:</w:t>
      </w:r>
      <w:r w:rsidRPr="004973B8">
        <w:rPr>
          <w:rFonts w:ascii="Arial" w:hAnsi="Arial" w:cs="Arial"/>
        </w:rPr>
        <w:tab/>
      </w:r>
      <w:r w:rsidRPr="004973B8">
        <w:rPr>
          <w:rFonts w:ascii="Arial" w:hAnsi="Arial" w:cs="Arial"/>
        </w:rPr>
        <w:tab/>
        <w:t>00426032</w:t>
      </w:r>
    </w:p>
    <w:p w14:paraId="0CD2AF95" w14:textId="77777777" w:rsidR="00D903D5" w:rsidRPr="004973B8" w:rsidRDefault="00D903D5" w:rsidP="00D903D5">
      <w:pPr>
        <w:ind w:left="4111" w:hanging="4111"/>
        <w:jc w:val="both"/>
        <w:rPr>
          <w:rFonts w:ascii="Arial" w:hAnsi="Arial" w:cs="Arial"/>
        </w:rPr>
      </w:pPr>
      <w:r w:rsidRPr="004973B8">
        <w:rPr>
          <w:rFonts w:ascii="Arial" w:hAnsi="Arial" w:cs="Arial"/>
        </w:rPr>
        <w:t xml:space="preserve">Bankovní spojení: </w:t>
      </w:r>
      <w:r w:rsidRPr="004973B8">
        <w:rPr>
          <w:rFonts w:ascii="Arial" w:hAnsi="Arial" w:cs="Arial"/>
        </w:rPr>
        <w:tab/>
        <w:t>Komerční banka, a.s.</w:t>
      </w:r>
    </w:p>
    <w:p w14:paraId="09A6918B" w14:textId="77777777" w:rsidR="00D903D5" w:rsidRPr="004973B8" w:rsidRDefault="00D903D5" w:rsidP="00D903D5">
      <w:pPr>
        <w:ind w:left="4111" w:hanging="4111"/>
        <w:jc w:val="both"/>
        <w:rPr>
          <w:rFonts w:ascii="Arial" w:hAnsi="Arial" w:cs="Arial"/>
        </w:rPr>
      </w:pPr>
      <w:r w:rsidRPr="004973B8">
        <w:rPr>
          <w:rFonts w:ascii="Arial" w:hAnsi="Arial" w:cs="Arial"/>
        </w:rPr>
        <w:t xml:space="preserve">Číslo účtu:                                     </w:t>
      </w:r>
      <w:r w:rsidRPr="004973B8">
        <w:rPr>
          <w:rFonts w:ascii="Arial" w:hAnsi="Arial" w:cs="Arial"/>
        </w:rPr>
        <w:tab/>
        <w:t>731401/0100</w:t>
      </w:r>
    </w:p>
    <w:p w14:paraId="562A2DA1" w14:textId="77777777" w:rsidR="00D903D5" w:rsidRDefault="00D903D5" w:rsidP="00D903D5">
      <w:pPr>
        <w:tabs>
          <w:tab w:val="left" w:pos="1985"/>
        </w:tabs>
        <w:rPr>
          <w:rFonts w:ascii="Arial" w:hAnsi="Arial" w:cs="Arial"/>
        </w:rPr>
      </w:pPr>
      <w:r w:rsidRPr="004973B8">
        <w:rPr>
          <w:rFonts w:ascii="Arial" w:hAnsi="Arial" w:cs="Arial"/>
        </w:rPr>
        <w:t>Zapsán ve spolkovém rejstříku vedeném Městským soudem v Praze oddíl L, vložka 39596.</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3A3EF3B4"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3D76E0">
        <w:rPr>
          <w:rFonts w:ascii="Arial" w:hAnsi="Arial" w:cs="Arial"/>
          <w:b/>
          <w:bCs/>
        </w:rPr>
        <w:t>02232023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623D435C" w:rsidR="004E4091" w:rsidRDefault="00D903D5" w:rsidP="00DA1261">
      <w:pPr>
        <w:spacing w:after="120"/>
        <w:jc w:val="center"/>
        <w:rPr>
          <w:rFonts w:ascii="Arial" w:hAnsi="Arial" w:cs="Arial"/>
          <w:b/>
          <w:bCs/>
        </w:rPr>
      </w:pPr>
      <w:r>
        <w:rPr>
          <w:rFonts w:ascii="Arial" w:hAnsi="Arial" w:cs="Arial"/>
          <w:b/>
          <w:bCs/>
        </w:rPr>
        <w:t xml:space="preserve"> </w:t>
      </w:r>
    </w:p>
    <w:p w14:paraId="634E02A7" w14:textId="77777777" w:rsidR="00D903D5" w:rsidRPr="00035E67" w:rsidRDefault="00D903D5"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102C99C7"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byl Příjemce Pověřením výkonem služby obecného hospodářského zájmu č. </w:t>
      </w:r>
      <w:r w:rsidR="00D903D5" w:rsidRPr="00D903D5">
        <w:rPr>
          <w:rFonts w:ascii="Arial" w:hAnsi="Arial" w:cs="Arial"/>
          <w:b/>
        </w:rPr>
        <w:t>58662022</w:t>
      </w:r>
      <w:r w:rsidRPr="00D903D5">
        <w:rPr>
          <w:rFonts w:ascii="Arial" w:hAnsi="Arial" w:cs="Arial"/>
        </w:rPr>
        <w:t xml:space="preserve"> ze dne </w:t>
      </w:r>
      <w:r w:rsidR="00D903D5" w:rsidRPr="00D903D5">
        <w:rPr>
          <w:rFonts w:ascii="Arial" w:hAnsi="Arial" w:cs="Arial"/>
          <w:b/>
        </w:rPr>
        <w:t>16. 1. 2023</w:t>
      </w:r>
      <w:r w:rsidRPr="00D903D5">
        <w:rPr>
          <w:rFonts w:ascii="Arial" w:hAnsi="Arial" w:cs="Arial"/>
        </w:rPr>
        <w:t xml:space="preserve"> vydaným Plzeňským krajem (dále jen </w:t>
      </w:r>
      <w:r w:rsidR="00434E9B" w:rsidRPr="00D903D5">
        <w:rPr>
          <w:rFonts w:ascii="Arial" w:hAnsi="Arial" w:cs="Arial"/>
        </w:rPr>
        <w:t>„</w:t>
      </w:r>
      <w:r w:rsidRPr="00D903D5">
        <w:rPr>
          <w:rFonts w:ascii="Arial" w:hAnsi="Arial" w:cs="Arial"/>
        </w:rPr>
        <w:t>Pověření</w:t>
      </w:r>
      <w:r w:rsidR="00434E9B" w:rsidRPr="00D903D5">
        <w:rPr>
          <w:rFonts w:ascii="Arial" w:hAnsi="Arial" w:cs="Arial"/>
        </w:rPr>
        <w:t>“</w:t>
      </w:r>
      <w:r w:rsidRPr="00D903D5">
        <w:rPr>
          <w:rFonts w:ascii="Arial" w:hAnsi="Arial" w:cs="Arial"/>
        </w:rPr>
        <w:t>) po</w:t>
      </w:r>
      <w:r w:rsidR="005A68A9" w:rsidRPr="00D903D5">
        <w:rPr>
          <w:rFonts w:ascii="Arial" w:hAnsi="Arial" w:cs="Arial"/>
        </w:rPr>
        <w:t>věřen poskytováním služby uvedené</w:t>
      </w:r>
      <w:r w:rsidRPr="00D903D5">
        <w:rPr>
          <w:rFonts w:ascii="Arial" w:hAnsi="Arial" w:cs="Arial"/>
        </w:rPr>
        <w:t xml:space="preserve"> v čl. II.</w:t>
      </w:r>
      <w:r w:rsidR="005A68A9" w:rsidRPr="00D903D5">
        <w:rPr>
          <w:rFonts w:ascii="Arial" w:hAnsi="Arial" w:cs="Arial"/>
        </w:rPr>
        <w:t xml:space="preserve"> této smlouvy jako služby</w:t>
      </w:r>
      <w:r w:rsidRPr="00D903D5">
        <w:rPr>
          <w:rFonts w:ascii="Arial" w:hAnsi="Arial" w:cs="Arial"/>
        </w:rPr>
        <w:t xml:space="preserve"> obecného hospodářského</w:t>
      </w:r>
      <w:r w:rsidRPr="00004CA6">
        <w:rPr>
          <w:rFonts w:ascii="Arial" w:hAnsi="Arial" w:cs="Arial"/>
        </w:rPr>
        <w:t xml:space="preserve">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0CC73FC5"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w:t>
      </w:r>
      <w:r w:rsidR="00144F68" w:rsidRPr="00D903D5">
        <w:rPr>
          <w:rFonts w:ascii="Arial" w:hAnsi="Arial" w:cs="Arial"/>
        </w:rPr>
        <w:t>dále</w:t>
      </w:r>
      <w:r w:rsidR="00144F68" w:rsidRPr="00004CA6">
        <w:rPr>
          <w:rFonts w:ascii="Arial" w:hAnsi="Arial" w:cs="Arial"/>
        </w:rPr>
        <w:t xml:space="preserv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D903D5" w:rsidRPr="004973B8">
        <w:rPr>
          <w:rFonts w:ascii="Arial" w:hAnsi="Arial" w:cs="Arial"/>
          <w:b/>
        </w:rPr>
        <w:t xml:space="preserve">Pečovatelská služba </w:t>
      </w:r>
      <w:r w:rsidR="00D903D5" w:rsidRPr="004973B8">
        <w:rPr>
          <w:rFonts w:ascii="Arial" w:hAnsi="Arial" w:cs="Arial"/>
          <w:b/>
        </w:rPr>
        <w:br/>
        <w:t xml:space="preserve">(ID: 5567588) </w:t>
      </w:r>
      <w:r w:rsidR="007A066E" w:rsidRPr="00004CA6">
        <w:rPr>
          <w:rFonts w:ascii="Arial" w:hAnsi="Arial" w:cs="Arial"/>
        </w:rPr>
        <w:t>v rozsahu stanoveném v</w:t>
      </w:r>
      <w:r w:rsidR="00635A65">
        <w:rPr>
          <w:rFonts w:ascii="Arial" w:hAnsi="Arial" w:cs="Arial"/>
        </w:rPr>
        <w:t> </w:t>
      </w:r>
      <w:r w:rsidR="007A066E" w:rsidRPr="00004CA6">
        <w:rPr>
          <w:rFonts w:ascii="Arial" w:hAnsi="Arial" w:cs="Arial"/>
        </w:rPr>
        <w:t>Pověření</w:t>
      </w:r>
      <w:r w:rsidR="00635A65">
        <w:rPr>
          <w:rFonts w:ascii="Arial" w:hAnsi="Arial" w:cs="Arial"/>
        </w:rPr>
        <w:t xml:space="preserve"> </w:t>
      </w:r>
      <w:r w:rsidR="008A5D8C" w:rsidRPr="00635A65">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D903D5">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4F5B60E4" w:rsidR="005A68A9" w:rsidRPr="005A68A9" w:rsidRDefault="004E755D" w:rsidP="00D903D5">
      <w:pPr>
        <w:numPr>
          <w:ilvl w:val="0"/>
          <w:numId w:val="1"/>
        </w:numPr>
        <w:tabs>
          <w:tab w:val="clear" w:pos="720"/>
          <w:tab w:val="num" w:pos="567"/>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D903D5">
        <w:rPr>
          <w:rFonts w:ascii="Arial" w:hAnsi="Arial" w:cs="Arial"/>
        </w:rPr>
        <w:br/>
      </w:r>
      <w:r w:rsidR="00D903D5">
        <w:rPr>
          <w:rFonts w:ascii="Arial" w:hAnsi="Arial" w:cs="Arial"/>
          <w:b/>
        </w:rPr>
        <w:t>1.741.531</w:t>
      </w:r>
      <w:r w:rsidRPr="00924BCB">
        <w:rPr>
          <w:rFonts w:ascii="Arial" w:hAnsi="Arial" w:cs="Arial"/>
          <w:b/>
        </w:rPr>
        <w:t xml:space="preserve"> Kč </w:t>
      </w:r>
      <w:r w:rsidRPr="00924BCB">
        <w:rPr>
          <w:rFonts w:ascii="Arial" w:hAnsi="Arial" w:cs="Arial"/>
        </w:rPr>
        <w:t xml:space="preserve">(slovy: </w:t>
      </w:r>
      <w:r w:rsidR="00D903D5" w:rsidRPr="00D903D5">
        <w:rPr>
          <w:rFonts w:ascii="Arial" w:hAnsi="Arial" w:cs="Arial"/>
        </w:rPr>
        <w:t>jeden milion sedm set čtyřicet jedna tisíc pět set třicet jedna korun českých</w:t>
      </w:r>
      <w:r w:rsidRPr="00924BCB">
        <w:rPr>
          <w:rFonts w:ascii="Arial" w:hAnsi="Arial" w:cs="Arial"/>
        </w:rPr>
        <w:t>)</w:t>
      </w:r>
      <w:r w:rsidR="002B582F">
        <w:rPr>
          <w:rFonts w:ascii="Arial" w:hAnsi="Arial" w:cs="Arial"/>
        </w:rPr>
        <w:t xml:space="preserve">. </w:t>
      </w:r>
      <w:bookmarkStart w:id="0" w:name="_GoBack"/>
      <w:bookmarkEnd w:id="0"/>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w:t>
      </w:r>
      <w:r w:rsidR="005D236B">
        <w:rPr>
          <w:rFonts w:ascii="Arial" w:hAnsi="Arial" w:cs="Arial"/>
        </w:rPr>
        <w:br/>
      </w:r>
      <w:r w:rsidRPr="00924BCB">
        <w:rPr>
          <w:rFonts w:ascii="Arial" w:hAnsi="Arial" w:cs="Arial"/>
        </w:rPr>
        <w:t>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 xml:space="preserve">„Podpora sociálních služeb dle § 101a zákona </w:t>
      </w:r>
      <w:r w:rsidR="006507DD">
        <w:rPr>
          <w:rFonts w:ascii="Arial" w:hAnsi="Arial" w:cs="Arial"/>
          <w:b/>
        </w:rPr>
        <w:br/>
      </w:r>
      <w:r w:rsidRPr="00924BCB">
        <w:rPr>
          <w:rFonts w:ascii="Arial" w:hAnsi="Arial" w:cs="Arial"/>
          <w:b/>
        </w:rPr>
        <w:t>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C1B7F31"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6507DD">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w:t>
      </w:r>
      <w:r w:rsidR="00206646" w:rsidRPr="00924BCB">
        <w:rPr>
          <w:rFonts w:ascii="Arial" w:hAnsi="Arial" w:cs="Arial"/>
        </w:rPr>
        <w:lastRenderedPageBreak/>
        <w:t xml:space="preserve">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tohoto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360B56EB" w:rsidR="00B80214" w:rsidRDefault="00B80214" w:rsidP="00B80214">
      <w:pPr>
        <w:spacing w:after="120"/>
        <w:ind w:left="567"/>
        <w:jc w:val="both"/>
        <w:rPr>
          <w:rFonts w:ascii="Arial" w:hAnsi="Arial" w:cs="Arial"/>
        </w:rPr>
      </w:pPr>
    </w:p>
    <w:p w14:paraId="6C1233EF" w14:textId="77777777" w:rsidR="003C141C" w:rsidRPr="00924BCB" w:rsidRDefault="003C141C"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 xml:space="preserve">umístěnou na pevném a rovném podkladu, přičemž </w:t>
      </w:r>
      <w:r w:rsidRPr="00924BCB">
        <w:rPr>
          <w:rFonts w:ascii="Arial" w:hAnsi="Arial" w:cs="Arial"/>
        </w:rPr>
        <w:lastRenderedPageBreak/>
        <w:t>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134609AB"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B604FA">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w:t>
      </w:r>
      <w:r w:rsidRPr="00C911C7">
        <w:rPr>
          <w:rFonts w:ascii="Arial" w:hAnsi="Arial" w:cs="Arial"/>
        </w:rPr>
        <w:t xml:space="preserve">ve znění pozdějších předpisů </w:t>
      </w:r>
      <w:r w:rsidRPr="00C911C7">
        <w:rPr>
          <w:rFonts w:ascii="Arial" w:hAnsi="Arial"/>
        </w:rPr>
        <w:t xml:space="preserve">schváleno usnesením Zastupitelstva Plzeňského kraje č. </w:t>
      </w:r>
      <w:r w:rsidR="00C911C7" w:rsidRPr="00C911C7">
        <w:rPr>
          <w:rFonts w:ascii="Arial" w:hAnsi="Arial"/>
        </w:rPr>
        <w:t>1099/23</w:t>
      </w:r>
      <w:r w:rsidRPr="00C911C7">
        <w:rPr>
          <w:rFonts w:ascii="Arial" w:hAnsi="Arial"/>
        </w:rPr>
        <w:t xml:space="preserve"> ze</w:t>
      </w:r>
      <w:r w:rsidRPr="00924BCB">
        <w:rPr>
          <w:rFonts w:ascii="Arial" w:hAnsi="Arial"/>
        </w:rPr>
        <w:t xml:space="preserve"> dne </w:t>
      </w:r>
      <w:r w:rsidR="00C0103C" w:rsidRPr="00924BCB">
        <w:rPr>
          <w:rFonts w:ascii="Arial" w:hAnsi="Arial"/>
        </w:rPr>
        <w:t xml:space="preserve"> </w:t>
      </w:r>
      <w:r w:rsidR="003C141C" w:rsidRPr="003C141C">
        <w:rPr>
          <w:rFonts w:ascii="Arial" w:hAnsi="Arial"/>
        </w:rPr>
        <w:t>6. 2. 2023.</w:t>
      </w:r>
      <w:r w:rsidR="007901E1" w:rsidRPr="003C141C">
        <w:rPr>
          <w:rFonts w:ascii="Arial" w:hAnsi="Arial"/>
        </w:rPr>
        <w:t xml:space="preserve"> </w:t>
      </w:r>
      <w:r w:rsidR="0003073C" w:rsidRPr="003C141C">
        <w:rPr>
          <w:rFonts w:ascii="Arial" w:hAnsi="Arial"/>
        </w:rPr>
        <w:t xml:space="preserve">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10C93895"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0B316C">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128C78DC"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0B316C">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lastRenderedPageBreak/>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lastRenderedPageBreak/>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w:t>
      </w:r>
      <w:r w:rsidR="00EF5A8E" w:rsidRPr="00EC4C94">
        <w:rPr>
          <w:rFonts w:ascii="Arial" w:hAnsi="Arial" w:cs="Arial"/>
        </w:rPr>
        <w:lastRenderedPageBreak/>
        <w:t xml:space="preserve">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lastRenderedPageBreak/>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69585C31"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lastRenderedPageBreak/>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68739981"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w:t>
      </w:r>
      <w:r w:rsidR="00D903D5">
        <w:rPr>
          <w:rFonts w:ascii="Arial" w:hAnsi="Arial" w:cs="Arial"/>
        </w:rPr>
        <w:t xml:space="preserve">ve lhůtě určené ve výzvě KÚPK. </w:t>
      </w:r>
      <w:r w:rsidR="00D903D5">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lastRenderedPageBreak/>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tohoto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tohoto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tohoto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lastRenderedPageBreak/>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této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lastRenderedPageBreak/>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12085701" w:rsidR="001674F3" w:rsidRDefault="001674F3" w:rsidP="00DA1261">
      <w:pPr>
        <w:pStyle w:val="Nadpis2"/>
        <w:spacing w:after="120"/>
        <w:rPr>
          <w:rFonts w:ascii="Arial" w:hAnsi="Arial" w:cs="Arial"/>
          <w:bCs w:val="0"/>
        </w:rPr>
      </w:pPr>
    </w:p>
    <w:p w14:paraId="64FE76A3" w14:textId="77777777" w:rsidR="00D903D5" w:rsidRPr="00D903D5" w:rsidRDefault="00D903D5" w:rsidP="00D903D5">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lastRenderedPageBreak/>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2D9B8486" w14:textId="3A6121BC" w:rsidR="0071775E" w:rsidRDefault="0071775E" w:rsidP="00DA1261">
      <w:pPr>
        <w:pStyle w:val="Zkladntext"/>
        <w:tabs>
          <w:tab w:val="center" w:pos="1080"/>
          <w:tab w:val="left" w:pos="5160"/>
          <w:tab w:val="center" w:pos="5940"/>
        </w:tabs>
        <w:spacing w:after="120"/>
        <w:rPr>
          <w:lang w:val="cs-CZ"/>
        </w:rPr>
      </w:pPr>
    </w:p>
    <w:p w14:paraId="452C2949" w14:textId="36E76CB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6089A48B" w14:textId="40377977" w:rsidR="00341B8B" w:rsidRPr="00EC4C94" w:rsidRDefault="0071775E" w:rsidP="0071775E">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3E100D23"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D903D5">
        <w:rPr>
          <w:rFonts w:ascii="Arial" w:hAnsi="Arial" w:cs="Arial"/>
          <w:lang w:val="cs-CZ" w:eastAsia="cs-CZ"/>
        </w:rPr>
        <w:t xml:space="preserve">     </w:t>
      </w:r>
      <w:r w:rsidR="00D903D5">
        <w:rPr>
          <w:rFonts w:ascii="Arial" w:hAnsi="Arial" w:cs="Arial"/>
        </w:rPr>
        <w:t xml:space="preserve">Mgr. Blanka </w:t>
      </w:r>
      <w:proofErr w:type="spellStart"/>
      <w:r w:rsidR="00D903D5">
        <w:rPr>
          <w:rFonts w:ascii="Arial" w:hAnsi="Arial" w:cs="Arial"/>
        </w:rPr>
        <w:t>Dobrotová</w:t>
      </w:r>
      <w:proofErr w:type="spellEnd"/>
      <w:r>
        <w:rPr>
          <w:rFonts w:ascii="Arial" w:hAnsi="Arial" w:cs="Arial"/>
          <w:color w:val="FF0000"/>
          <w:lang w:val="cs-CZ" w:eastAsia="cs-CZ"/>
        </w:rPr>
        <w:tab/>
        <w:t xml:space="preserve">                     </w:t>
      </w:r>
      <w:r w:rsidR="0071775E">
        <w:rPr>
          <w:rFonts w:ascii="Arial" w:hAnsi="Arial" w:cs="Arial"/>
          <w:color w:val="FF0000"/>
          <w:lang w:val="cs-CZ" w:eastAsia="cs-CZ"/>
        </w:rPr>
        <w:t xml:space="preserve">  </w:t>
      </w:r>
      <w:r w:rsidR="006507DD">
        <w:rPr>
          <w:rFonts w:ascii="Arial" w:hAnsi="Arial" w:cs="Arial"/>
          <w:color w:val="FF0000"/>
          <w:lang w:val="cs-CZ" w:eastAsia="cs-CZ"/>
        </w:rPr>
        <w:t xml:space="preserve">  </w:t>
      </w:r>
      <w:r w:rsidR="0071775E">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E49837E" w14:textId="14662C84" w:rsidR="00FE76F3" w:rsidRDefault="006507DD"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D903D5">
        <w:rPr>
          <w:rFonts w:ascii="Arial" w:hAnsi="Arial" w:cs="Arial"/>
          <w:lang w:val="cs-CZ" w:eastAsia="cs-CZ"/>
        </w:rPr>
        <w:t xml:space="preserve">              </w:t>
      </w:r>
      <w:r w:rsidR="00D903D5">
        <w:rPr>
          <w:rFonts w:ascii="Arial" w:hAnsi="Arial" w:cs="Arial"/>
          <w:lang w:val="cs-CZ"/>
        </w:rPr>
        <w:t>zmocněnec</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4A6440A"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6507DD">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57522"/>
      <w:docPartObj>
        <w:docPartGallery w:val="Page Numbers (Bottom of Page)"/>
        <w:docPartUnique/>
      </w:docPartObj>
    </w:sdtPr>
    <w:sdtEndPr/>
    <w:sdtContent>
      <w:p w14:paraId="54E9F0D3" w14:textId="379BE274" w:rsidR="00327F44" w:rsidRDefault="00327F44">
        <w:pPr>
          <w:pStyle w:val="Zpat"/>
          <w:jc w:val="center"/>
        </w:pPr>
        <w:r>
          <w:fldChar w:fldCharType="begin"/>
        </w:r>
        <w:r>
          <w:instrText>PAGE   \* MERGEFORMAT</w:instrText>
        </w:r>
        <w:r>
          <w:fldChar w:fldCharType="separate"/>
        </w:r>
        <w:r w:rsidR="002B582F" w:rsidRPr="002B582F">
          <w:rPr>
            <w:noProof/>
            <w:lang w:val="cs-CZ"/>
          </w:rPr>
          <w:t>13</w:t>
        </w:r>
        <w:r>
          <w:fldChar w:fldCharType="end"/>
        </w:r>
      </w:p>
    </w:sdtContent>
  </w:sdt>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16C"/>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82F"/>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27F44"/>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141C"/>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6E0"/>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7DD"/>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04FA"/>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11C7"/>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3D5"/>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6AC9"/>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4F48-96B0-41A7-B8BA-85073A19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5185</Words>
  <Characters>30997</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36110</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Trhlíková Markéta</cp:lastModifiedBy>
  <cp:revision>5</cp:revision>
  <cp:lastPrinted>2022-01-18T09:32:00Z</cp:lastPrinted>
  <dcterms:created xsi:type="dcterms:W3CDTF">2023-02-01T13:12:00Z</dcterms:created>
  <dcterms:modified xsi:type="dcterms:W3CDTF">2023-02-14T10:35:00Z</dcterms:modified>
</cp:coreProperties>
</file>