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en-US" sz="22" baseline="0" dirty="0">
          <w:jc w:val="left"/>
          <w:rFonts w:ascii="Calibri" w:hAnsi="Calibri" w:cs="Calibri"/>
          <w:color w:val="1F497D"/>
          <w:spacing w:val="-2"/>
          <w:sz w:val="22"/>
          <w:szCs w:val="22"/>
        </w:rPr>
        <w:t>Dobrý den,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1595" w:firstLine="0"/>
      </w:pPr>
      <w:r/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potvrzuji p</w:t>
      </w:r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ř</w:t>
      </w:r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ijetí spot</w:t>
      </w:r>
      <w:r>
        <w:rPr lang="en-US" sz="22" baseline="0" dirty="0">
          <w:jc w:val="left"/>
          <w:rFonts w:ascii="Calibri" w:hAnsi="Calibri" w:cs="Calibri"/>
          <w:color w:val="1F497D"/>
          <w:spacing w:val="-3"/>
          <w:sz w:val="22"/>
          <w:szCs w:val="22"/>
        </w:rPr>
        <w:t>ř</w:t>
      </w:r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eby ze dne 24.02.2023; bude fakturovaná </w:t>
      </w:r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ástkou</w:t>
      </w:r>
      <w:r>
        <w:rPr lang="en-US" sz="22" baseline="0" dirty="0">
          <w:jc w:val="left"/>
          <w:rFonts w:ascii="Calibri" w:hAnsi="Calibri" w:cs="Calibri"/>
          <w:color w:val="1F497D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92.774,</w:t>
      </w:r>
      <w:r>
        <w:rPr lang="en-US" sz="22" baseline="0" dirty="0">
          <w:jc w:val="left"/>
          <w:rFonts w:ascii="Calibri" w:hAnsi="Calibri" w:cs="Calibri"/>
          <w:color w:val="1F497D"/>
          <w:spacing w:val="-1"/>
          <w:sz w:val="22"/>
          <w:szCs w:val="22"/>
        </w:rPr>
        <w:t>- </w:t>
      </w:r>
      <w:r>
        <w:rPr lang="en-US" sz="22" baseline="0" dirty="0">
          <w:jc w:val="left"/>
          <w:rFonts w:ascii="Calibri" w:hAnsi="Calibri" w:cs="Calibri"/>
          <w:color w:val="1F497D"/>
          <w:spacing w:val="-3"/>
          <w:sz w:val="22"/>
          <w:szCs w:val="22"/>
        </w:rPr>
        <w:t>K</w:t>
      </w:r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 bez </w:t>
      </w:r>
      <w:r>
        <w:rPr lang="en-US" sz="22" baseline="0" dirty="0">
          <w:jc w:val="left"/>
          <w:rFonts w:ascii="Calibri" w:hAnsi="Calibri" w:cs="Calibri"/>
          <w:color w:val="1F497D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1F497D"/>
          <w:spacing w:val="-5"/>
          <w:sz w:val="22"/>
          <w:szCs w:val="22"/>
        </w:rPr>
        <w:t>PH 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106.690,10,</w:t>
      </w:r>
      <w:r>
        <w:rPr lang="en-US" sz="22" baseline="0" dirty="0">
          <w:jc w:val="left"/>
          <w:rFonts w:ascii="Calibri" w:hAnsi="Calibri" w:cs="Calibri"/>
          <w:color w:val="1F497D"/>
          <w:spacing w:val="-1"/>
          <w:sz w:val="22"/>
          <w:szCs w:val="22"/>
        </w:rPr>
        <w:t>- </w:t>
      </w:r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K</w:t>
      </w:r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1F497D"/>
          <w:spacing w:val="-2"/>
          <w:sz w:val="22"/>
          <w:szCs w:val="22"/>
        </w:rPr>
        <w:t>s </w:t>
      </w:r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DPH 15%.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V </w:t>
      </w:r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ř</w:t>
      </w:r>
      <w:r>
        <w:rPr lang="en-US" sz="22" baseline="0" dirty="0">
          <w:jc w:val="left"/>
          <w:rFonts w:ascii="Calibri" w:hAnsi="Calibri" w:cs="Calibri"/>
          <w:color w:val="1F497D"/>
          <w:spacing w:val="-1"/>
          <w:sz w:val="22"/>
          <w:szCs w:val="22"/>
        </w:rPr>
        <w:t>íloze zasílám fakturu.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S </w:t>
      </w:r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pozdravem a p</w:t>
      </w:r>
      <w:r>
        <w:rPr lang="en-US" sz="22" baseline="0" dirty="0">
          <w:jc w:val="left"/>
          <w:rFonts w:ascii="Calibri" w:hAnsi="Calibri" w:cs="Calibri"/>
          <w:color w:val="1F497D"/>
          <w:sz w:val="22"/>
          <w:szCs w:val="22"/>
        </w:rPr>
        <w:t>ř</w:t>
      </w:r>
      <w:r>
        <w:rPr lang="en-US" sz="22" baseline="0" dirty="0">
          <w:jc w:val="left"/>
          <w:rFonts w:ascii="Calibri" w:hAnsi="Calibri" w:cs="Calibri"/>
          <w:color w:val="1F497D"/>
          <w:spacing w:val="-2"/>
          <w:sz w:val="22"/>
          <w:szCs w:val="22"/>
        </w:rPr>
        <w:t>áním hezkého dne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-1269</wp:posOffset>
            </wp:positionV>
            <wp:extent cx="1838325" cy="409575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383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7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55958</wp:posOffset>
            </wp:positionV>
            <wp:extent cx="1106957" cy="141292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06957" cy="141292"/>
                    </a:xfrm>
                    <a:custGeom>
                      <a:rect l="l" t="t" r="r" b="b"/>
                      <a:pathLst>
                        <a:path w="1106957" h="141292">
                          <a:moveTo>
                            <a:pt x="0" y="141292"/>
                          </a:moveTo>
                          <a:lnTo>
                            <a:pt x="1106957" y="141292"/>
                          </a:lnTo>
                          <a:lnTo>
                            <a:pt x="110695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129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50038</wp:posOffset>
            </wp:positionV>
            <wp:extent cx="966314" cy="140208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6314" cy="140208"/>
                    </a:xfrm>
                    <a:custGeom>
                      <a:rect l="l" t="t" r="r" b="b"/>
                      <a:pathLst>
                        <a:path w="966314" h="140208">
                          <a:moveTo>
                            <a:pt x="0" y="140208"/>
                          </a:moveTo>
                          <a:lnTo>
                            <a:pt x="966314" y="140208"/>
                          </a:lnTo>
                          <a:lnTo>
                            <a:pt x="9663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6" w:right="813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+42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0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25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7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28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6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731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+42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222 723 568</w:t>
      </w:r>
      <w:r>
        <w:rPr>
          <w:rFonts w:ascii="Times New Roman" w:hAnsi="Times New Roman" w:cs="Times New Roman"/>
          <w:sz w:val="20"/>
          <w:szCs w:val="20"/>
        </w:rPr>
        <w:t> </w:t>
      </w:r>
    </w:p>
    <w:tbl>
      <w:tblPr>
        <w:tblStyle w:val="TableGrid"/>
        <w:tblLayout w:type="fixed"/>
        <w:tblpPr w:leftFromText="0" w:rightFromText="0" w:vertAnchor="text" w:horzAnchor="page" w:tblpX="1416" w:tblpY="0"/>
        <w:tblOverlap w:val="never"/>
        "
        <w:tblW w:w="3180" w:type="dxa"/>
        <w:tblLook w:val="04A0" w:firstRow="1" w:lastRow="0" w:firstColumn="1" w:lastColumn="0" w:noHBand="0" w:noVBand="1"/>
      </w:tblPr>
      <w:tblGrid>
        <w:gridCol w:w="336"/>
        <w:gridCol w:w="1502"/>
        <w:gridCol w:w="1361"/>
      </w:tblGrid>
      <w:tr>
        <w:trPr>
          <w:trHeight w:hRule="exact" w:val="22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  <w:jc w:val="both"/>
            </w:pPr>
            <w:r/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M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/>
          </w:p>
        </w:tc>
      </w:tr>
      <w:tr>
        <w:trPr>
          <w:trHeight w:hRule="exact" w:val="227"/>
        </w:trPr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  <w:r>
              <w:drawing>
                <wp:anchor simplePos="0" relativeHeight="251658274" behindDoc="0" locked="0" layoutInCell="1" allowOverlap="1">
                  <wp:simplePos x="0" y="0"/>
                  <wp:positionH relativeFrom="page">
                    <wp:posOffset>2032347</wp:posOffset>
                  </wp:positionH>
                  <wp:positionV relativeFrom="paragraph">
                    <wp:posOffset>131680</wp:posOffset>
                  </wp:positionV>
                  <wp:extent cx="4048" cy="9143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48" cy="9143"/>
                          </a:xfrm>
                          <a:custGeom>
                            <a:rect l="l" t="t" r="r" b="b"/>
                            <a:pathLst>
                              <a:path w="4048" h="9143">
                                <a:moveTo>
                                  <a:pt x="0" y="0"/>
                                </a:moveTo>
                                <a:lnTo>
                                  <a:pt x="4048" y="0"/>
                                </a:lnTo>
                                <a:lnTo>
                                  <a:pt x="4048" y="9143"/>
                                </a:ln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after="1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238" w:after="0" w:line="222" w:lineRule="exact"/>
        <w:ind w:left="896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Lima CZ </w:t>
      </w:r>
      <w:hyperlink r:id="rId106" w:history="1">
        <w:r>
          <w:rPr lang="en-US" sz="20" baseline="0" dirty="0">
            <w:jc w:val="left"/>
            <w:rFonts w:ascii="Arial" w:hAnsi="Arial" w:cs="Arial"/>
            <w:color w:val="000000"/>
            <w:sz w:val="20"/>
            <w:szCs w:val="20"/>
          </w:rPr>
          <w:t>s.r.o.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896" w:right="8047" w:firstLine="0"/>
      </w:pPr>
      <w:r/>
      <w:hyperlink r:id="rId106" w:history="1">
        <w:r>
          <w:rPr lang="en-US" sz="20" baseline="0" dirty="0">
            <w:jc w:val="left"/>
            <w:rFonts w:ascii="Arial" w:hAnsi="Arial" w:cs="Arial"/>
            <w:color w:val="000000"/>
            <w:sz w:val="20"/>
            <w:szCs w:val="20"/>
          </w:rPr>
          <w:t>Do</w:t>
        </w:r>
      </w:hyperlink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Zahrádek I, 157/5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155 2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1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Praha 5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80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131366</wp:posOffset>
            </wp:positionV>
            <wp:extent cx="1043890" cy="9144"/>
            <wp:effectExtent l="0" t="0" r="0" b="0"/>
            <wp:wrapNone/>
            <wp:docPr id="107" name="Freeform 107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3890" cy="9144"/>
                    </a:xfrm>
                    <a:custGeom>
                      <a:rect l="l" t="t" r="r" b="b"/>
                      <a:pathLst>
                        <a:path w="1043890" h="9144">
                          <a:moveTo>
                            <a:pt x="0" y="0"/>
                          </a:moveTo>
                          <a:lnTo>
                            <a:pt x="1043890" y="0"/>
                          </a:lnTo>
                          <a:lnTo>
                            <a:pt x="1043890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0" w:history="1">
        <w:r>
          <w:rPr lang="en-US" sz="20" baseline="0" dirty="0">
            <w:jc w:val="left"/>
            <w:rFonts w:ascii="Arial" w:hAnsi="Arial" w:cs="Arial"/>
            <w:color w:val="0000FF"/>
            <w:sz w:val="20"/>
            <w:szCs w:val="20"/>
          </w:rPr>
          <w:t>limacorporate.com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-2907</wp:posOffset>
            </wp:positionV>
            <wp:extent cx="200010" cy="200010"/>
            <wp:effectExtent l="0" t="0" r="0" b="0"/>
            <wp:wrapNone/>
            <wp:docPr id="108" name="Picture 108">
              <a:hlinkClick r:id="rId101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0010" cy="20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-323851</wp:posOffset>
            </wp:positionV>
            <wp:extent cx="4067175" cy="2409825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717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1" w:lineRule="exact"/>
        <w:ind w:left="896" w:right="913" w:firstLine="0"/>
      </w:pPr>
      <w:r/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This message and its attachments are confidential and contain strictly confidential and/or privileged information. 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I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f 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y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ou ar</w:t>
      </w:r>
      <w:r>
        <w:rPr lang="en-US" sz="14" baseline="0" dirty="0">
          <w:jc w:val="left"/>
          <w:rFonts w:ascii="Arial" w:hAnsi="Arial" w:cs="Arial"/>
          <w:color w:val="000000"/>
          <w:spacing w:val="1"/>
          <w:sz w:val="14"/>
          <w:szCs w:val="14"/>
        </w:rPr>
        <w:t>e 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not the intended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recipient please notif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y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 us immediatel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y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 by return and destro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y 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all copies in whatever form they are stored. Unauthorised use of the contents and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attachments of this message is a violation and prosecutable.</w:t>
      </w:r>
      <w:r>
        <w:rPr lang="en-US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 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We 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w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ould like to emphasise that communications throug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h </w:t>
      </w:r>
      <w:r>
        <w:rPr lang="en-US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the Internet are absolutely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not secure and therefore LimaCorporate shall not be held liable for an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y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 abuse thereof b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y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 an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y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 third part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y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 whatsoever, alterations during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transmission or for an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y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 damag</w:t>
      </w:r>
      <w:r>
        <w:rPr lang="en-US" sz="14" baseline="0" dirty="0">
          <w:jc w:val="left"/>
          <w:rFonts w:ascii="Arial" w:hAnsi="Arial" w:cs="Arial"/>
          <w:color w:val="000000"/>
          <w:spacing w:val="-1"/>
          <w:sz w:val="14"/>
          <w:szCs w:val="14"/>
        </w:rPr>
        <w:t>e 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caused by viruses or other irregularities that ma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y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 occur outside its own net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w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ork.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0" w:after="0" w:line="155" w:lineRule="exact"/>
        <w:ind w:left="896" w:right="0" w:firstLine="0"/>
      </w:pPr>
      <w:r/>
      <w:r>
        <w:rPr lang="en-US" sz="14" baseline="0" dirty="0">
          <w:jc w:val="left"/>
          <w:rFonts w:ascii="Arial" w:hAnsi="Arial" w:cs="Arial"/>
          <w:color w:val="46901E"/>
          <w:sz w:val="14"/>
          <w:szCs w:val="14"/>
        </w:rPr>
        <w:t>Please consider the environment before printing m</w:t>
      </w:r>
      <w:r>
        <w:rPr lang="en-US" sz="14" baseline="0" dirty="0">
          <w:jc w:val="left"/>
          <w:rFonts w:ascii="Arial" w:hAnsi="Arial" w:cs="Arial"/>
          <w:color w:val="46901E"/>
          <w:spacing w:val="-3"/>
          <w:sz w:val="14"/>
          <w:szCs w:val="14"/>
        </w:rPr>
        <w:t>y</w:t>
      </w:r>
      <w:r>
        <w:rPr lang="en-US" sz="14" baseline="0" dirty="0">
          <w:jc w:val="left"/>
          <w:rFonts w:ascii="Arial" w:hAnsi="Arial" w:cs="Arial"/>
          <w:color w:val="46901E"/>
          <w:sz w:val="14"/>
          <w:szCs w:val="14"/>
        </w:rPr>
        <w:t> email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r/>
    </w:p>
    <w:sectPr>
      <w:type w:val="continuous"/>
      <w:pgSz w:w="11920" w:h="1685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limacorporate.com/"/><Relationship Id="rId101" Type="http://schemas.openxmlformats.org/officeDocument/2006/relationships/hyperlink" TargetMode="External" Target="https://mailgw.nemjil.cz:8443/fmlurlsvc/?fewReq=:B:JVc9NjI3PSFxOjUpNyFuYzo3Nj03NiF0bmBpZnNydWI6Yz4xMTY0Pj5lNGJmPzJhZGU2ZWZlMz5kZDI0NDVlYWRjP2YxNjQzNiFzOjYxMDA1MzcxNDEhdm5jOjQ2SERGX3BxNzUwMjQ3KjQ2SERGX3B/NzUwMjQ3IXVkd3M6aGVtYmNpZnFsfkdpYmptbmspZH0hZDo1MiFvY2s6Nw==&amp;amp;url=https://www.youtube.com/user/LimaCorporate/featured"/><Relationship Id="rId102" Type="http://schemas.openxmlformats.org/officeDocument/2006/relationships/image" Target="media/image102.png"/><Relationship Id="rId106" Type="http://schemas.openxmlformats.org/officeDocument/2006/relationships/hyperlink" TargetMode="External" Target="http://s.r.o.Do"/><Relationship Id="rId108" Type="http://schemas.openxmlformats.org/officeDocument/2006/relationships/image" Target="media/image108.png"/><Relationship Id="rId109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2023-03-08T12:22:33Z</dcterms:created>
  <dcterms:modified xsi:type="dcterms:W3CDTF">2023-03-08T12:22:33Z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