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1111111111111111111111111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5"/>
          <w:b/>
          <w:bCs/>
        </w:rPr>
        <w:t>2023001707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b/>
          <w:bCs/>
          <w:sz w:val="24"/>
          <w:szCs w:val="24"/>
          <w:u w:val="single"/>
        </w:rPr>
        <w:t>Dodatek č.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7"/>
        </w:rPr>
        <w:t>k mandátní smlouvě ze dne 23. 12. 2009 (dále jen „smlouva“), uzavřené mezi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5" w:val="left"/>
        </w:tabs>
        <w:bidi w:val="0"/>
        <w:spacing w:before="0" w:after="260" w:line="259" w:lineRule="auto"/>
        <w:ind w:left="0" w:right="0" w:firstLine="0"/>
        <w:jc w:val="both"/>
      </w:pPr>
      <w:r>
        <w:rPr>
          <w:rStyle w:val="CharStyle7"/>
          <w:b/>
          <w:bCs/>
          <w:sz w:val="24"/>
          <w:szCs w:val="24"/>
        </w:rPr>
        <w:t xml:space="preserve">Zdravotnickou záchrannou službou Jihomoravského kraje, příspěvkovou organizací, </w:t>
      </w:r>
      <w:r>
        <w:rPr>
          <w:rStyle w:val="CharStyle7"/>
        </w:rPr>
        <w:t>IČ 00346292, se sídlem v Brně, Kamenice Id, zastoupenou svou ředitelkou paní MUDr. Hanou A 1 b r e c h t o v o u jako mandantem (dále jen „mandant“), a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line="266" w:lineRule="auto"/>
        <w:ind w:left="0" w:right="0" w:firstLine="0"/>
        <w:jc w:val="both"/>
      </w:pPr>
      <w:r>
        <w:rPr>
          <w:rStyle w:val="CharStyle7"/>
          <w:b/>
          <w:bCs/>
          <w:sz w:val="24"/>
          <w:szCs w:val="24"/>
        </w:rPr>
        <w:t xml:space="preserve">panem Pavlem Lukášem </w:t>
      </w:r>
      <w:r>
        <w:rPr>
          <w:rStyle w:val="CharStyle7"/>
        </w:rPr>
        <w:t>, podnikatelem, 1Č 10104305, se sídlem ve Vyškově, Nosálovská 338 jako mandatářem (dále jen „mandatář“).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6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440"/>
        <w:jc w:val="both"/>
      </w:pPr>
      <w:r>
        <w:rPr>
          <w:rStyle w:val="CharStyle7"/>
        </w:rPr>
        <w:t>Z důvodu podstatného zvětšení rozsahu činnosti mandatáře podle čl. 2 této smlouvy s ohledem na zprovoznění nových pracovišť mandanta a na zvýšení počtu jeho zaměstnancii se mění Čl. 10 smlouvy s tím, že tento článek nadále zní takto: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440"/>
        <w:jc w:val="both"/>
      </w:pPr>
      <w:r>
        <w:rPr>
          <w:rStyle w:val="CharStyle7"/>
        </w:rPr>
        <w:t>Mandant se zavazuje platit mandatáři za mandátní činnost podle této smlouvy paušální odměnu ve výši 7 500,- Kč měsíčně. Není-li dále ujednáno jinak, je součástí odměny podle tohoto článku této smlouvy náhrada všech nákladů, které mandatář vynaloží ke splnění svých závazků podle této smlouvy’, a daň z přidané hodnoty v její výši podle příslušných právních předpisů.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6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/>
        <w:ind w:left="0" w:right="0"/>
        <w:jc w:val="both"/>
      </w:pPr>
      <w:r>
        <w:rPr>
          <w:rStyle w:val="CharStyle7"/>
        </w:rPr>
        <w:t>Za čl. 10 smlouvy- se vkládá nový čl. 10a, kteiý zní takto: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rStyle w:val="CharStyle7"/>
        </w:rPr>
        <w:t>V závislosti na oslabování měny, v níž byla sjednána odměna podle čl. 10 této smlouvy-, inflací převyšující 2 % ročně, je mandatář oprávněn si zvyšovat tuto odměnu svým jednostranným písemným opatřením, a to vždy k 1.2. dni kalendářního roku a o částku, odpovídající celkovému indexu inflace, jak bude vyhlašován za předchozí kalendářní rok příslušným orgánem státní správy. Do případného zvýšení odměny podle tohoto článku této smlouvy k 1.2. 2023 je přitom mandatář oprávněn si zahrnout inflaci za roční období, v němž převýšila 2 % ročně, a za dobu ode dne účinnosti této smlouvy' do 31. 12. 2022. Mandant se zavazuje respektovat toto opatření mandatáře jako součást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6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420"/>
        <w:jc w:val="both"/>
      </w:pPr>
      <w:r>
        <w:rPr>
          <w:rStyle w:val="CharStyle7"/>
        </w:rPr>
        <w:t>Ostatní ujednání smlouvy nejsou tímto dodatkem nijak dotčena.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20"/>
        <w:jc w:val="left"/>
      </w:pPr>
      <w:r>
        <w:rPr>
          <w:rStyle w:val="CharStyle7"/>
          <w:color w:val="84869A"/>
        </w:rPr>
        <w:t>Tento dodatek nabývá platnosti a účinnosti dnem jeho uzavření.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64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949" w:right="1517" w:bottom="1656" w:left="1785" w:header="521" w:footer="1228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  <w:color w:val="84869A"/>
        </w:rPr>
        <w:t>Dáno v Bmč dne 9. 2. 2023 ve dvou originálních písemných vyhotoveních, z nichž každá ze smluvních stran obdrží po jednom.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39" w:right="0" w:bottom="27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864" w:h="274" w:wrap="none" w:vAnchor="text" w:hAnchor="page" w:x="3015" w:y="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4"/>
        </w:rPr>
        <w:t>mandant</w:t>
      </w:r>
    </w:p>
    <w:p>
      <w:pPr>
        <w:widowControl w:val="0"/>
        <w:spacing w:line="360" w:lineRule="exact"/>
      </w:pPr>
      <w:r>
        <w:drawing>
          <wp:anchor distT="0" distB="176530" distL="39370" distR="0" simplePos="0" relativeHeight="62914690" behindDoc="1" locked="0" layoutInCell="1" allowOverlap="1">
            <wp:simplePos x="0" y="0"/>
            <wp:positionH relativeFrom="page">
              <wp:posOffset>1953260</wp:posOffset>
            </wp:positionH>
            <wp:positionV relativeFrom="paragraph">
              <wp:posOffset>73025</wp:posOffset>
            </wp:positionV>
            <wp:extent cx="1341120" cy="5422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41120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4596130</wp:posOffset>
            </wp:positionH>
            <wp:positionV relativeFrom="paragraph">
              <wp:posOffset>12700</wp:posOffset>
            </wp:positionV>
            <wp:extent cx="1798320" cy="76200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98320" cy="762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739" w:right="1573" w:bottom="2739" w:left="19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84869A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Titulek obrázku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69A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60"/>
      <w:szCs w:val="6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580"/>
      <w:ind w:right="22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540" w:line="262" w:lineRule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Titulek obrázku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69A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