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53" w:rsidRDefault="00F3682B">
      <w:pPr>
        <w:jc w:val="center"/>
        <w:rPr>
          <w:rFonts w:cstheme="minorBidi"/>
        </w:rPr>
      </w:pPr>
      <w:r>
        <w:rPr>
          <w:rFonts w:cstheme="minorBidi"/>
          <w:b/>
          <w:bCs/>
        </w:rPr>
        <w:t xml:space="preserve">SMLOUVA O SPOLUPRÁCI </w:t>
      </w:r>
    </w:p>
    <w:p w:rsidR="006F2D53" w:rsidRDefault="006F2D53">
      <w:pPr>
        <w:rPr>
          <w:rFonts w:cstheme="minorBidi"/>
          <w:b/>
          <w:bCs/>
        </w:rPr>
      </w:pPr>
    </w:p>
    <w:p w:rsidR="006F2D53" w:rsidRDefault="00F3682B">
      <w:pPr>
        <w:rPr>
          <w:rFonts w:cstheme="minorBidi"/>
        </w:rPr>
      </w:pPr>
      <w:r>
        <w:rPr>
          <w:rFonts w:cstheme="minorBidi"/>
          <w:bCs/>
        </w:rPr>
        <w:t>Níže uvedeného dne, měsíce a roku smluvní strany:</w:t>
      </w:r>
    </w:p>
    <w:p w:rsidR="006F2D53" w:rsidRDefault="006F2D53">
      <w:pPr>
        <w:rPr>
          <w:rFonts w:cstheme="minorBidi"/>
          <w:highlight w:val="yellow"/>
        </w:rPr>
      </w:pPr>
    </w:p>
    <w:p w:rsidR="006F2D53" w:rsidRDefault="00F3682B">
      <w:r>
        <w:rPr>
          <w:b/>
        </w:rPr>
        <w:t>Západočeská univerzita v Plzni</w:t>
      </w:r>
      <w:r>
        <w:t xml:space="preserve"> </w:t>
      </w:r>
    </w:p>
    <w:p w:rsidR="006F2D53" w:rsidRDefault="00F3682B">
      <w:pPr>
        <w:rPr>
          <w:rFonts w:cstheme="minorBidi"/>
        </w:rPr>
      </w:pPr>
      <w:r>
        <w:rPr>
          <w:rFonts w:cstheme="minorBidi"/>
        </w:rPr>
        <w:t>Právní forma:</w:t>
      </w:r>
      <w:r>
        <w:rPr>
          <w:rFonts w:cstheme="minorBidi"/>
        </w:rPr>
        <w:tab/>
      </w:r>
      <w:r>
        <w:rPr>
          <w:rFonts w:cstheme="minorBidi"/>
        </w:rPr>
        <w:tab/>
      </w:r>
      <w:r>
        <w:rPr>
          <w:rFonts w:cstheme="minorBidi"/>
        </w:rPr>
        <w:tab/>
        <w:t>veř</w:t>
      </w:r>
      <w:bookmarkStart w:id="0" w:name="_GoBack"/>
      <w:bookmarkEnd w:id="0"/>
      <w:r>
        <w:rPr>
          <w:rFonts w:cstheme="minorBidi"/>
        </w:rPr>
        <w:t>ejná vysoká škola zřízená zákonem</w:t>
      </w:r>
    </w:p>
    <w:p w:rsidR="006F2D53" w:rsidRDefault="00F3682B">
      <w:pPr>
        <w:rPr>
          <w:rFonts w:cstheme="minorBidi"/>
        </w:rPr>
      </w:pPr>
      <w:r>
        <w:rPr>
          <w:rFonts w:cstheme="minorBidi"/>
        </w:rPr>
        <w:t xml:space="preserve">Sídlo: </w:t>
      </w:r>
      <w:r>
        <w:rPr>
          <w:rFonts w:cstheme="minorBidi"/>
        </w:rPr>
        <w:tab/>
      </w:r>
      <w:r>
        <w:rPr>
          <w:rFonts w:cstheme="minorBidi"/>
        </w:rPr>
        <w:tab/>
      </w:r>
      <w:r>
        <w:rPr>
          <w:rFonts w:cstheme="minorBidi"/>
        </w:rPr>
        <w:tab/>
      </w:r>
      <w:r>
        <w:rPr>
          <w:rFonts w:cstheme="minorBidi"/>
        </w:rPr>
        <w:tab/>
        <w:t xml:space="preserve">Univerzitní 2732/8, 301 00 Plzeň </w:t>
      </w:r>
    </w:p>
    <w:p w:rsidR="006F2D53" w:rsidRDefault="00F3682B">
      <w:pPr>
        <w:rPr>
          <w:rFonts w:cstheme="minorBidi"/>
        </w:rPr>
      </w:pPr>
      <w:r>
        <w:rPr>
          <w:rFonts w:cstheme="minorBidi"/>
        </w:rPr>
        <w:t xml:space="preserve">Zastoupená: </w:t>
      </w:r>
      <w:r>
        <w:rPr>
          <w:rFonts w:cstheme="minorBidi"/>
        </w:rPr>
        <w:tab/>
      </w:r>
      <w:r>
        <w:rPr>
          <w:rFonts w:cstheme="minorBidi"/>
        </w:rPr>
        <w:tab/>
      </w:r>
      <w:r>
        <w:rPr>
          <w:rFonts w:cstheme="minorBidi"/>
        </w:rPr>
        <w:tab/>
        <w:t>doc. Dr. RNDr. Miroslavem Holečkem, rektorem</w:t>
      </w:r>
    </w:p>
    <w:p w:rsidR="006F2D53" w:rsidRDefault="00F3682B">
      <w:pPr>
        <w:rPr>
          <w:rFonts w:cstheme="minorBidi"/>
        </w:rPr>
      </w:pPr>
      <w:r>
        <w:rPr>
          <w:rFonts w:cstheme="minorBidi"/>
        </w:rPr>
        <w:t xml:space="preserve">IČO: </w:t>
      </w:r>
      <w:r>
        <w:rPr>
          <w:rFonts w:cstheme="minorBidi"/>
        </w:rPr>
        <w:tab/>
      </w:r>
      <w:r>
        <w:rPr>
          <w:rFonts w:cstheme="minorBidi"/>
        </w:rPr>
        <w:tab/>
      </w:r>
      <w:r>
        <w:rPr>
          <w:rFonts w:cstheme="minorBidi"/>
        </w:rPr>
        <w:tab/>
      </w:r>
      <w:r>
        <w:rPr>
          <w:rFonts w:cstheme="minorBidi"/>
        </w:rPr>
        <w:tab/>
        <w:t>49777513</w:t>
      </w:r>
    </w:p>
    <w:p w:rsidR="006F2D53" w:rsidRDefault="00F3682B">
      <w:pPr>
        <w:rPr>
          <w:rFonts w:cstheme="minorBidi"/>
        </w:rPr>
      </w:pPr>
      <w:r>
        <w:rPr>
          <w:rFonts w:cstheme="minorBidi"/>
        </w:rPr>
        <w:t xml:space="preserve">DIČ: </w:t>
      </w:r>
      <w:r>
        <w:rPr>
          <w:rFonts w:cstheme="minorBidi"/>
        </w:rPr>
        <w:tab/>
      </w:r>
      <w:r>
        <w:rPr>
          <w:rFonts w:cstheme="minorBidi"/>
        </w:rPr>
        <w:tab/>
      </w:r>
      <w:r>
        <w:rPr>
          <w:rFonts w:cstheme="minorBidi"/>
        </w:rPr>
        <w:tab/>
      </w:r>
      <w:r>
        <w:rPr>
          <w:rFonts w:cstheme="minorBidi"/>
        </w:rPr>
        <w:tab/>
        <w:t>CZ49777513</w:t>
      </w:r>
    </w:p>
    <w:p w:rsidR="006F2D53" w:rsidRDefault="00F3682B">
      <w:pPr>
        <w:rPr>
          <w:rFonts w:cstheme="minorBidi"/>
        </w:rPr>
      </w:pPr>
      <w:r>
        <w:rPr>
          <w:rFonts w:cstheme="minorBidi"/>
        </w:rPr>
        <w:t xml:space="preserve">Bankovní spojení:  </w:t>
      </w:r>
      <w:r>
        <w:rPr>
          <w:rFonts w:cstheme="minorBidi"/>
        </w:rPr>
        <w:tab/>
      </w:r>
      <w:r>
        <w:rPr>
          <w:rFonts w:cstheme="minorBidi"/>
        </w:rPr>
        <w:tab/>
        <w:t>Komerční banka, a.s.</w:t>
      </w:r>
    </w:p>
    <w:p w:rsidR="006F2D53" w:rsidRDefault="00F3682B">
      <w:pPr>
        <w:rPr>
          <w:rFonts w:cstheme="minorBidi"/>
        </w:rPr>
      </w:pPr>
      <w:r>
        <w:rPr>
          <w:rFonts w:cstheme="minorBidi"/>
        </w:rPr>
        <w:t xml:space="preserve">Číslo účtu:  </w:t>
      </w:r>
      <w:r>
        <w:rPr>
          <w:rFonts w:cstheme="minorBidi"/>
        </w:rPr>
        <w:tab/>
      </w:r>
      <w:r>
        <w:rPr>
          <w:rFonts w:cstheme="minorBidi"/>
        </w:rPr>
        <w:tab/>
      </w:r>
      <w:r>
        <w:rPr>
          <w:rFonts w:cstheme="minorBidi"/>
        </w:rPr>
        <w:tab/>
        <w:t>4811530257/0100</w:t>
      </w:r>
    </w:p>
    <w:p w:rsidR="006F2D53" w:rsidRDefault="00F3682B">
      <w:pPr>
        <w:rPr>
          <w:rFonts w:cstheme="minorBidi"/>
        </w:rPr>
      </w:pPr>
      <w:r>
        <w:rPr>
          <w:rFonts w:cstheme="minorBidi"/>
        </w:rPr>
        <w:t>Kontaktní osoba:</w:t>
      </w:r>
      <w:r>
        <w:rPr>
          <w:rFonts w:cstheme="minorBidi"/>
        </w:rPr>
        <w:tab/>
      </w:r>
      <w:r>
        <w:rPr>
          <w:rFonts w:cstheme="minorBidi"/>
        </w:rPr>
        <w:tab/>
      </w:r>
      <w:proofErr w:type="spellStart"/>
      <w:r w:rsidR="009A12DD">
        <w:rPr>
          <w:rFonts w:cstheme="minorBidi"/>
        </w:rPr>
        <w:t>xxx</w:t>
      </w:r>
      <w:proofErr w:type="spellEnd"/>
      <w:r>
        <w:rPr>
          <w:rFonts w:cstheme="minorBidi"/>
        </w:rPr>
        <w:br/>
      </w:r>
      <w:r>
        <w:rPr>
          <w:rFonts w:cstheme="minorBidi"/>
        </w:rPr>
        <w:tab/>
      </w:r>
      <w:r>
        <w:rPr>
          <w:rFonts w:cstheme="minorBidi"/>
        </w:rPr>
        <w:tab/>
      </w:r>
      <w:r>
        <w:rPr>
          <w:rFonts w:cstheme="minorBidi"/>
        </w:rPr>
        <w:tab/>
      </w:r>
      <w:r>
        <w:rPr>
          <w:rFonts w:cstheme="minorBidi"/>
        </w:rPr>
        <w:tab/>
        <w:t xml:space="preserve">tel.: </w:t>
      </w:r>
      <w:proofErr w:type="spellStart"/>
      <w:r w:rsidR="009A12DD">
        <w:rPr>
          <w:rFonts w:cstheme="minorBidi"/>
        </w:rPr>
        <w:t>xxx</w:t>
      </w:r>
      <w:proofErr w:type="spellEnd"/>
      <w:r>
        <w:rPr>
          <w:rFonts w:cstheme="minorBidi"/>
        </w:rPr>
        <w:t xml:space="preserve">, e-mail: </w:t>
      </w:r>
      <w:proofErr w:type="spellStart"/>
      <w:r w:rsidR="009A12DD">
        <w:rPr>
          <w:rFonts w:cstheme="minorBidi"/>
        </w:rPr>
        <w:t>xxx</w:t>
      </w:r>
      <w:proofErr w:type="spellEnd"/>
    </w:p>
    <w:p w:rsidR="006F2D53" w:rsidRDefault="00F3682B">
      <w:pPr>
        <w:rPr>
          <w:rFonts w:cstheme="minorBidi"/>
        </w:rPr>
      </w:pPr>
      <w:r>
        <w:rPr>
          <w:rFonts w:cstheme="minorBidi"/>
        </w:rPr>
        <w:t>(dále jen „Poskytovatel“ nebo „ZČU“)</w:t>
      </w:r>
    </w:p>
    <w:p w:rsidR="006F2D53" w:rsidRDefault="006F2D53">
      <w:pPr>
        <w:rPr>
          <w:rFonts w:cstheme="minorBidi"/>
        </w:rPr>
      </w:pPr>
    </w:p>
    <w:p w:rsidR="006F2D53" w:rsidRDefault="00F3682B">
      <w:pPr>
        <w:rPr>
          <w:rFonts w:cstheme="minorBidi"/>
        </w:rPr>
      </w:pPr>
      <w:r>
        <w:rPr>
          <w:rFonts w:cstheme="minorBidi"/>
        </w:rPr>
        <w:t>a</w:t>
      </w:r>
    </w:p>
    <w:p w:rsidR="006F2D53" w:rsidRDefault="006F2D53">
      <w:pPr>
        <w:rPr>
          <w:rFonts w:cstheme="minorBidi"/>
        </w:rPr>
      </w:pPr>
    </w:p>
    <w:p w:rsidR="006F2D53" w:rsidRPr="001B2242" w:rsidRDefault="00F3682B">
      <w:pPr>
        <w:rPr>
          <w:rFonts w:cstheme="minorBidi"/>
        </w:rPr>
      </w:pPr>
      <w:r w:rsidRPr="001B2242">
        <w:rPr>
          <w:rFonts w:cstheme="minorBidi"/>
          <w:b/>
        </w:rPr>
        <w:t xml:space="preserve">Univerzita </w:t>
      </w:r>
      <w:r w:rsidR="00863379" w:rsidRPr="001B2242">
        <w:rPr>
          <w:rFonts w:cstheme="minorBidi"/>
          <w:b/>
        </w:rPr>
        <w:t>Jana Evangelisty Purkyně v Ústí nad Labem</w:t>
      </w:r>
      <w:r w:rsidRPr="001B2242">
        <w:rPr>
          <w:rFonts w:cstheme="minorBidi"/>
          <w:b/>
        </w:rPr>
        <w:t xml:space="preserve"> </w:t>
      </w:r>
    </w:p>
    <w:p w:rsidR="006F2D53" w:rsidRPr="001B2242" w:rsidRDefault="00F3682B">
      <w:pPr>
        <w:rPr>
          <w:rFonts w:cstheme="minorBidi"/>
        </w:rPr>
      </w:pPr>
      <w:r w:rsidRPr="001B2242">
        <w:rPr>
          <w:rFonts w:cstheme="minorBidi"/>
        </w:rPr>
        <w:t>Právní forma:</w:t>
      </w:r>
      <w:r w:rsidRPr="001B2242">
        <w:rPr>
          <w:rFonts w:cstheme="minorBidi"/>
        </w:rPr>
        <w:tab/>
      </w:r>
      <w:r w:rsidRPr="001B2242">
        <w:rPr>
          <w:rFonts w:cstheme="minorBidi"/>
        </w:rPr>
        <w:tab/>
      </w:r>
      <w:r w:rsidRPr="001B2242">
        <w:rPr>
          <w:rFonts w:cstheme="minorBidi"/>
        </w:rPr>
        <w:tab/>
        <w:t>veřejná vysoká škola zřízená zákonem</w:t>
      </w:r>
    </w:p>
    <w:p w:rsidR="006F2D53" w:rsidRPr="001B2242" w:rsidRDefault="00F3682B">
      <w:pPr>
        <w:rPr>
          <w:rFonts w:cstheme="minorBidi"/>
        </w:rPr>
      </w:pPr>
      <w:r w:rsidRPr="001B2242">
        <w:rPr>
          <w:rFonts w:cstheme="minorBidi"/>
        </w:rPr>
        <w:t>Sídlo:</w:t>
      </w:r>
      <w:r w:rsidRPr="001B2242">
        <w:rPr>
          <w:rFonts w:cstheme="minorBidi"/>
        </w:rPr>
        <w:tab/>
      </w:r>
      <w:r w:rsidRPr="001B2242">
        <w:rPr>
          <w:rFonts w:cstheme="minorBidi"/>
        </w:rPr>
        <w:tab/>
      </w:r>
      <w:r w:rsidRPr="001B2242">
        <w:rPr>
          <w:rFonts w:cstheme="minorBidi"/>
        </w:rPr>
        <w:tab/>
      </w:r>
      <w:r w:rsidRPr="001B2242">
        <w:rPr>
          <w:rFonts w:cstheme="minorBidi"/>
        </w:rPr>
        <w:tab/>
      </w:r>
      <w:r w:rsidR="00863379" w:rsidRPr="001B2242">
        <w:rPr>
          <w:rFonts w:cstheme="minorBidi"/>
        </w:rPr>
        <w:t>Pasteurova 3544/1, 400 96 Ústí nad Labem</w:t>
      </w:r>
    </w:p>
    <w:p w:rsidR="006F2D53" w:rsidRPr="001B2242" w:rsidRDefault="00F3682B">
      <w:pPr>
        <w:rPr>
          <w:rFonts w:cstheme="minorBidi"/>
        </w:rPr>
      </w:pPr>
      <w:r w:rsidRPr="001B2242">
        <w:rPr>
          <w:rFonts w:cstheme="minorBidi"/>
        </w:rPr>
        <w:t>Zastoupená:</w:t>
      </w:r>
      <w:r w:rsidRPr="001B2242">
        <w:rPr>
          <w:rFonts w:cstheme="minorBidi"/>
        </w:rPr>
        <w:tab/>
      </w:r>
      <w:r w:rsidRPr="001B2242">
        <w:rPr>
          <w:rFonts w:cstheme="minorBidi"/>
        </w:rPr>
        <w:tab/>
      </w:r>
      <w:r w:rsidRPr="001B2242">
        <w:rPr>
          <w:rFonts w:cstheme="minorBidi"/>
        </w:rPr>
        <w:tab/>
      </w:r>
      <w:r w:rsidR="00863379" w:rsidRPr="001B2242">
        <w:rPr>
          <w:rFonts w:cstheme="minorBidi"/>
        </w:rPr>
        <w:t>doc. RNDr. Martin Balej,</w:t>
      </w:r>
      <w:r w:rsidR="00863379">
        <w:rPr>
          <w:rFonts w:cstheme="minorBidi"/>
        </w:rPr>
        <w:t xml:space="preserve"> Ph.D.,</w:t>
      </w:r>
      <w:r w:rsidR="00863379" w:rsidRPr="001B2242">
        <w:rPr>
          <w:rFonts w:cstheme="minorBidi"/>
        </w:rPr>
        <w:t xml:space="preserve"> rektor</w:t>
      </w:r>
    </w:p>
    <w:p w:rsidR="006F2D53" w:rsidRPr="001B2242" w:rsidRDefault="00F3682B">
      <w:pPr>
        <w:rPr>
          <w:rFonts w:cstheme="minorBidi"/>
        </w:rPr>
      </w:pPr>
      <w:r w:rsidRPr="001B2242">
        <w:rPr>
          <w:rFonts w:cstheme="minorBidi"/>
        </w:rPr>
        <w:t>IČO:</w:t>
      </w:r>
      <w:r w:rsidRPr="001B2242">
        <w:rPr>
          <w:rFonts w:cstheme="minorBidi"/>
        </w:rPr>
        <w:tab/>
      </w:r>
      <w:r w:rsidRPr="001B2242">
        <w:rPr>
          <w:rFonts w:cstheme="minorBidi"/>
        </w:rPr>
        <w:tab/>
      </w:r>
      <w:r w:rsidRPr="001B2242">
        <w:rPr>
          <w:rFonts w:cstheme="minorBidi"/>
        </w:rPr>
        <w:tab/>
      </w:r>
      <w:r w:rsidRPr="001B2242">
        <w:rPr>
          <w:rFonts w:cstheme="minorBidi"/>
        </w:rPr>
        <w:tab/>
      </w:r>
      <w:r w:rsidR="00863379" w:rsidRPr="001B2242">
        <w:rPr>
          <w:rFonts w:cstheme="minorBidi"/>
        </w:rPr>
        <w:t>44555601</w:t>
      </w:r>
    </w:p>
    <w:p w:rsidR="006F2D53" w:rsidRPr="001B2242" w:rsidRDefault="00F3682B">
      <w:pPr>
        <w:rPr>
          <w:rFonts w:cstheme="minorBidi"/>
        </w:rPr>
      </w:pPr>
      <w:r w:rsidRPr="001B2242">
        <w:rPr>
          <w:rFonts w:cstheme="minorBidi"/>
        </w:rPr>
        <w:t>DIČ:</w:t>
      </w:r>
      <w:r w:rsidRPr="001B2242">
        <w:rPr>
          <w:rFonts w:cstheme="minorBidi"/>
        </w:rPr>
        <w:tab/>
      </w:r>
      <w:r w:rsidRPr="001B2242">
        <w:rPr>
          <w:rFonts w:cstheme="minorBidi"/>
        </w:rPr>
        <w:tab/>
      </w:r>
      <w:r w:rsidRPr="001B2242">
        <w:rPr>
          <w:rFonts w:cstheme="minorBidi"/>
        </w:rPr>
        <w:tab/>
      </w:r>
      <w:r w:rsidRPr="001B2242">
        <w:rPr>
          <w:rFonts w:cstheme="minorBidi"/>
        </w:rPr>
        <w:tab/>
      </w:r>
      <w:r w:rsidR="00863379" w:rsidRPr="001B2242">
        <w:rPr>
          <w:rFonts w:cstheme="minorBidi"/>
        </w:rPr>
        <w:t>CZ44555601</w:t>
      </w:r>
    </w:p>
    <w:p w:rsidR="006F2D53" w:rsidRPr="001B2242" w:rsidRDefault="00F3682B">
      <w:pPr>
        <w:rPr>
          <w:rFonts w:cstheme="minorBidi"/>
        </w:rPr>
      </w:pPr>
      <w:r w:rsidRPr="001B2242">
        <w:rPr>
          <w:rFonts w:cstheme="minorBidi"/>
        </w:rPr>
        <w:t>Bankovní spojení:</w:t>
      </w:r>
      <w:r w:rsidRPr="001B2242">
        <w:rPr>
          <w:rFonts w:cstheme="minorBidi"/>
        </w:rPr>
        <w:tab/>
      </w:r>
      <w:r w:rsidRPr="001B2242">
        <w:rPr>
          <w:rFonts w:cstheme="minorBidi"/>
        </w:rPr>
        <w:tab/>
      </w:r>
      <w:r w:rsidR="00863379" w:rsidRPr="001B2242">
        <w:rPr>
          <w:rFonts w:cstheme="minorBidi"/>
        </w:rPr>
        <w:t>Československá obchodní banka</w:t>
      </w:r>
    </w:p>
    <w:p w:rsidR="006F2D53" w:rsidRPr="001B2242" w:rsidRDefault="00F3682B">
      <w:pPr>
        <w:rPr>
          <w:rFonts w:cstheme="minorBidi"/>
        </w:rPr>
      </w:pPr>
      <w:r w:rsidRPr="001B2242">
        <w:rPr>
          <w:rFonts w:cstheme="minorBidi"/>
        </w:rPr>
        <w:t>Číslo účtu:</w:t>
      </w:r>
      <w:r w:rsidRPr="001B2242">
        <w:rPr>
          <w:rFonts w:cstheme="minorBidi"/>
        </w:rPr>
        <w:tab/>
      </w:r>
      <w:r w:rsidRPr="001B2242">
        <w:rPr>
          <w:rFonts w:cstheme="minorBidi"/>
        </w:rPr>
        <w:tab/>
      </w:r>
      <w:r w:rsidRPr="001B2242">
        <w:rPr>
          <w:rFonts w:cstheme="minorBidi"/>
        </w:rPr>
        <w:tab/>
      </w:r>
      <w:r w:rsidR="00BF4198" w:rsidRPr="001B2242">
        <w:rPr>
          <w:rFonts w:cstheme="minorBidi"/>
        </w:rPr>
        <w:t>260112295/0300</w:t>
      </w:r>
    </w:p>
    <w:p w:rsidR="006F2D53" w:rsidRDefault="00F3682B">
      <w:pPr>
        <w:ind w:left="2832" w:hanging="2832"/>
        <w:rPr>
          <w:rFonts w:cstheme="minorBidi"/>
        </w:rPr>
      </w:pPr>
      <w:r w:rsidRPr="001B2242">
        <w:rPr>
          <w:rFonts w:cstheme="minorBidi"/>
        </w:rPr>
        <w:t xml:space="preserve">Odpovědný pracovník: </w:t>
      </w:r>
      <w:r w:rsidRPr="001B2242">
        <w:rPr>
          <w:rFonts w:cstheme="minorBidi"/>
        </w:rPr>
        <w:tab/>
      </w:r>
      <w:proofErr w:type="spellStart"/>
      <w:r w:rsidR="009A12DD">
        <w:rPr>
          <w:rFonts w:cstheme="minorBidi"/>
        </w:rPr>
        <w:t>xxx</w:t>
      </w:r>
      <w:proofErr w:type="spellEnd"/>
      <w:r w:rsidRPr="001B2242">
        <w:rPr>
          <w:rFonts w:cstheme="minorBidi"/>
        </w:rPr>
        <w:br/>
        <w:t>tel.:</w:t>
      </w:r>
      <w:r w:rsidR="00863379" w:rsidRPr="001B2242">
        <w:rPr>
          <w:rFonts w:cstheme="minorBidi"/>
        </w:rPr>
        <w:t xml:space="preserve"> </w:t>
      </w:r>
      <w:proofErr w:type="spellStart"/>
      <w:r w:rsidR="009A12DD">
        <w:rPr>
          <w:rFonts w:cstheme="minorBidi"/>
        </w:rPr>
        <w:t>xxx</w:t>
      </w:r>
      <w:proofErr w:type="spellEnd"/>
      <w:r w:rsidRPr="001B2242">
        <w:rPr>
          <w:rFonts w:cstheme="minorBidi"/>
        </w:rPr>
        <w:t>, e-mai</w:t>
      </w:r>
      <w:r w:rsidR="00863379" w:rsidRPr="001B2242">
        <w:rPr>
          <w:rFonts w:cstheme="minorBidi"/>
        </w:rPr>
        <w:t xml:space="preserve">l: </w:t>
      </w:r>
      <w:proofErr w:type="spellStart"/>
      <w:r w:rsidR="009A12DD">
        <w:rPr>
          <w:rFonts w:cstheme="minorBidi"/>
        </w:rPr>
        <w:t>xxx</w:t>
      </w:r>
      <w:proofErr w:type="spellEnd"/>
    </w:p>
    <w:p w:rsidR="006F2D53" w:rsidRDefault="00F3682B">
      <w:pPr>
        <w:rPr>
          <w:rFonts w:cstheme="minorBidi"/>
        </w:rPr>
      </w:pPr>
      <w:r>
        <w:rPr>
          <w:rFonts w:cstheme="minorBidi"/>
        </w:rPr>
        <w:t xml:space="preserve"> (dále jen „Uživatel“)</w:t>
      </w:r>
    </w:p>
    <w:p w:rsidR="006F2D53" w:rsidRDefault="006F2D53">
      <w:pPr>
        <w:rPr>
          <w:rFonts w:cstheme="minorBidi"/>
        </w:rPr>
      </w:pPr>
    </w:p>
    <w:p w:rsidR="006F2D53" w:rsidRDefault="006F2D53">
      <w:pPr>
        <w:rPr>
          <w:rFonts w:cstheme="minorBidi"/>
        </w:rPr>
      </w:pPr>
    </w:p>
    <w:p w:rsidR="006F2D53" w:rsidRDefault="00F3682B">
      <w:pPr>
        <w:jc w:val="both"/>
        <w:rPr>
          <w:rFonts w:cstheme="minorBidi"/>
        </w:rPr>
      </w:pPr>
      <w:r>
        <w:rPr>
          <w:rFonts w:cstheme="minorBidi"/>
        </w:rPr>
        <w:t>uzavírají dle § 1746 odst. 2 zákona č. 89/2012 Sb., občanský zákoník, ve znění pozdějších předpisů (dále jen „OZ“) tuto smlouvu o spolupráci (dále jen „smlouva“):</w:t>
      </w:r>
    </w:p>
    <w:p w:rsidR="006F2D53" w:rsidRDefault="006F2D53">
      <w:pPr>
        <w:jc w:val="both"/>
        <w:rPr>
          <w:rFonts w:cstheme="minorBidi"/>
        </w:rPr>
      </w:pPr>
    </w:p>
    <w:p w:rsidR="006F2D53" w:rsidRDefault="00F3682B">
      <w:pPr>
        <w:jc w:val="both"/>
      </w:pPr>
      <w:r>
        <w:rPr>
          <w:rFonts w:cstheme="minorBidi"/>
        </w:rPr>
        <w:t>PREAMBULE</w:t>
      </w:r>
    </w:p>
    <w:p w:rsidR="006F2D53" w:rsidRDefault="006F2D53">
      <w:pPr>
        <w:jc w:val="both"/>
        <w:rPr>
          <w:rFonts w:cstheme="minorBidi"/>
        </w:rPr>
      </w:pPr>
    </w:p>
    <w:p w:rsidR="006F2D53" w:rsidRDefault="00F3682B">
      <w:pPr>
        <w:spacing w:line="276" w:lineRule="auto"/>
        <w:jc w:val="both"/>
      </w:pPr>
      <w:r>
        <w:rPr>
          <w:rFonts w:cstheme="minorBidi"/>
        </w:rPr>
        <w:t>Vzhledem k tomu, že:</w:t>
      </w:r>
    </w:p>
    <w:p w:rsidR="006F2D53" w:rsidRDefault="00F3682B">
      <w:pPr>
        <w:pStyle w:val="Odstavecseseznamem"/>
        <w:numPr>
          <w:ilvl w:val="0"/>
          <w:numId w:val="13"/>
        </w:numPr>
        <w:spacing w:line="276" w:lineRule="auto"/>
        <w:jc w:val="both"/>
      </w:pPr>
      <w:r>
        <w:rPr>
          <w:rFonts w:cstheme="minorBidi"/>
        </w:rPr>
        <w:t xml:space="preserve">cílem této smlouvy je spolupráce obou smluvních stran za účelem plnění jejich společného cíle směřujícího k zajišťování veřejných potřeb, resp. uspokojení veřejného zájmu spočívajícího ve vedení spolehlivé a inovativní webové studijní agendy pro zajištění kvalitního vzdělávání studentů, k čemuž slouží jednotná softwarová/webová platforma </w:t>
      </w:r>
      <w:r>
        <w:t>„</w:t>
      </w:r>
      <w:r>
        <w:rPr>
          <w:b/>
        </w:rPr>
        <w:t>STUDIJNÍ  INFORMAČNÍ  SYSTÉM  ZÁPADOČESKÉ UNIVERZITY V PLZNI</w:t>
      </w:r>
      <w:r>
        <w:t xml:space="preserve"> – </w:t>
      </w:r>
      <w:r>
        <w:rPr>
          <w:b/>
        </w:rPr>
        <w:t>IS/STAG“</w:t>
      </w:r>
      <w:r>
        <w:t xml:space="preserve"> (dále jen „IS/STAG“)</w:t>
      </w:r>
      <w:r>
        <w:rPr>
          <w:rFonts w:cstheme="minorBidi"/>
        </w:rPr>
        <w:t>,</w:t>
      </w:r>
    </w:p>
    <w:p w:rsidR="006F2D53" w:rsidRDefault="00F3682B">
      <w:pPr>
        <w:pStyle w:val="Odstavecseseznamem"/>
        <w:numPr>
          <w:ilvl w:val="0"/>
          <w:numId w:val="13"/>
        </w:numPr>
        <w:spacing w:line="276" w:lineRule="auto"/>
        <w:jc w:val="both"/>
      </w:pPr>
      <w:r>
        <w:rPr>
          <w:rFonts w:cstheme="minorBidi"/>
        </w:rPr>
        <w:t>role Poskytovatele spočívá v zajištění zastřešující technické podpory a poskytování  souvisejících činností/služeb pro docílení bezproblémového chodu IS/STAG, jakož i snaha o kontinuální rozvoj jednotlivých funkcionalit,</w:t>
      </w:r>
    </w:p>
    <w:p w:rsidR="006F2D53" w:rsidRDefault="00F3682B">
      <w:pPr>
        <w:pStyle w:val="Odstavecseseznamem"/>
        <w:numPr>
          <w:ilvl w:val="0"/>
          <w:numId w:val="13"/>
        </w:numPr>
        <w:spacing w:line="276" w:lineRule="auto"/>
        <w:jc w:val="both"/>
      </w:pPr>
      <w:r>
        <w:rPr>
          <w:rFonts w:cstheme="minorBidi"/>
        </w:rPr>
        <w:t>role Uživatele spočívá v užívání IS/STAG dle podmínek stanovených v této smlouvě a odpovídající zpětné vazbě směrem k Poskytovali pro zajištění budoucího systémového rozvoje IS/STAG (bližší popis této vzájemné spolupráce je obsažen v příloze č. 3 této smlouvy),</w:t>
      </w:r>
    </w:p>
    <w:p w:rsidR="006F2D53" w:rsidRDefault="00F3682B">
      <w:pPr>
        <w:pStyle w:val="Odstavecseseznamem"/>
        <w:numPr>
          <w:ilvl w:val="0"/>
          <w:numId w:val="13"/>
        </w:numPr>
        <w:spacing w:line="276" w:lineRule="auto"/>
        <w:jc w:val="both"/>
      </w:pPr>
      <w:r>
        <w:rPr>
          <w:rFonts w:cstheme="minorBidi"/>
        </w:rPr>
        <w:lastRenderedPageBreak/>
        <w:t>Poskytovatel i Uživatel prohlašují, že nevykonávají na trhu více než 20 % svých činností, jichž se spolupráce dle této smlouvy týká,</w:t>
      </w:r>
    </w:p>
    <w:p w:rsidR="006F2D53" w:rsidRDefault="00F3682B">
      <w:pPr>
        <w:pStyle w:val="Odstavecseseznamem"/>
        <w:numPr>
          <w:ilvl w:val="0"/>
          <w:numId w:val="13"/>
        </w:numPr>
        <w:spacing w:line="276" w:lineRule="auto"/>
        <w:jc w:val="both"/>
      </w:pPr>
      <w:r>
        <w:rPr>
          <w:rFonts w:cstheme="minorBidi"/>
        </w:rPr>
        <w:t xml:space="preserve">spolupráce se řídí pouze ohledy souvisejícími s veřejným zájmem a negeneruje na straně Poskytovatele žádný provozní zisk (odměny hrazené Uživatelem dle této smlouvy, případně jinými veřejnými vysokými školami, podílejícími se na spolupráci v obdobné roli jako Uživatel slouží pouze k pokrytí nákladů Poskytovatele na údržbu, rozvoj a servis IS/STAG),  </w:t>
      </w:r>
    </w:p>
    <w:p w:rsidR="006F2D53" w:rsidRDefault="00F3682B">
      <w:pPr>
        <w:pStyle w:val="Odstavecseseznamem"/>
        <w:spacing w:line="276" w:lineRule="auto"/>
        <w:jc w:val="both"/>
      </w:pPr>
      <w:r>
        <w:rPr>
          <w:rFonts w:cstheme="minorBidi"/>
        </w:rPr>
        <w:t xml:space="preserve"> </w:t>
      </w:r>
    </w:p>
    <w:p w:rsidR="006F2D53" w:rsidRDefault="00F3682B">
      <w:pPr>
        <w:spacing w:line="276" w:lineRule="auto"/>
        <w:jc w:val="both"/>
      </w:pPr>
      <w:r>
        <w:rPr>
          <w:rFonts w:cstheme="minorBidi"/>
        </w:rPr>
        <w:t xml:space="preserve">mají smluvní strany za to, že právní vztah založený touto smlouvou splňuje veškeré kumulativní podmínky horizontální spolupráce stanovené v § 12 zákona č. 134/2016 Sb., o zadávání veřejných zakázek. </w:t>
      </w:r>
    </w:p>
    <w:p w:rsidR="006F2D53" w:rsidRDefault="006F2D53">
      <w:pPr>
        <w:spacing w:line="276" w:lineRule="auto"/>
        <w:jc w:val="both"/>
        <w:rPr>
          <w:rFonts w:cstheme="minorBidi"/>
          <w:sz w:val="32"/>
          <w:szCs w:val="32"/>
        </w:rPr>
      </w:pPr>
    </w:p>
    <w:p w:rsidR="006F2D53" w:rsidRDefault="00F3682B">
      <w:pPr>
        <w:pStyle w:val="Nadpis1"/>
        <w:numPr>
          <w:ilvl w:val="0"/>
          <w:numId w:val="12"/>
        </w:numPr>
        <w:rPr>
          <w:rFonts w:cstheme="minorBidi"/>
          <w:bCs w:val="0"/>
          <w:szCs w:val="24"/>
        </w:rPr>
      </w:pPr>
      <w:r>
        <w:rPr>
          <w:rFonts w:ascii="Times New Roman" w:hAnsi="Times New Roman" w:cs="Times New Roman"/>
          <w:bCs w:val="0"/>
          <w:szCs w:val="24"/>
        </w:rPr>
        <w:t>Předmět smlouvy</w:t>
      </w:r>
    </w:p>
    <w:p w:rsidR="006F2D53" w:rsidRDefault="00F3682B">
      <w:pPr>
        <w:pStyle w:val="Teclotextu"/>
        <w:jc w:val="both"/>
        <w:rPr>
          <w:rFonts w:cstheme="minorBidi"/>
        </w:rPr>
      </w:pPr>
      <w:r>
        <w:t>Předmětem této smlouvy je stanovení podmínek vzájemné spolupráce (blíže specifikované v příloze č. 3 této smlouvy). Poskytovatel se za tím účelem zavazuje poskytovat Uživateli technickou podporu, konzultační služby, školení a vzdělávání (dále jen „služby“) k softwarovému produktu  IS/STAG. Uživatel se zavazuje poskytovat veškeré související činnosti (blíže stanovené v příloze č. 3 této smlouvy)</w:t>
      </w:r>
    </w:p>
    <w:p w:rsidR="006F2D53" w:rsidRDefault="00F3682B">
      <w:pPr>
        <w:pStyle w:val="Teclotextu"/>
        <w:jc w:val="both"/>
        <w:rPr>
          <w:rFonts w:cstheme="minorBidi"/>
        </w:rPr>
      </w:pPr>
      <w:r>
        <w:t>Účelem poskytovaných služeb je vzájemná spolupráce za účelem  dosažení cílů deklarovaných smluvními stranami v preambuli této smlouvy.</w:t>
      </w:r>
    </w:p>
    <w:p w:rsidR="006F2D53" w:rsidRDefault="00F3682B">
      <w:pPr>
        <w:pStyle w:val="Teclotextu"/>
        <w:jc w:val="both"/>
        <w:rPr>
          <w:rFonts w:cstheme="minorBidi"/>
        </w:rPr>
      </w:pPr>
      <w:r>
        <w:t xml:space="preserve">Poskytované služby mají charakter pohotovosti a schopnosti řešit problémy a připravenosti rozvíjet systém a zapracovávat relevantní požadavky Uživatele. </w:t>
      </w:r>
    </w:p>
    <w:p w:rsidR="006F2D53" w:rsidRDefault="00F3682B">
      <w:pPr>
        <w:pStyle w:val="Nadpis1"/>
        <w:numPr>
          <w:ilvl w:val="0"/>
          <w:numId w:val="12"/>
        </w:numPr>
        <w:rPr>
          <w:rFonts w:cstheme="minorBidi"/>
          <w:bCs w:val="0"/>
          <w:szCs w:val="24"/>
        </w:rPr>
      </w:pPr>
      <w:r>
        <w:rPr>
          <w:rFonts w:ascii="Times New Roman" w:hAnsi="Times New Roman" w:cs="Times New Roman"/>
          <w:bCs w:val="0"/>
          <w:szCs w:val="24"/>
        </w:rPr>
        <w:t>Terminologie</w:t>
      </w:r>
    </w:p>
    <w:p w:rsidR="006F2D53" w:rsidRDefault="00F3682B">
      <w:pPr>
        <w:pStyle w:val="Nadpis2"/>
        <w:numPr>
          <w:ilvl w:val="1"/>
          <w:numId w:val="17"/>
        </w:numPr>
        <w:rPr>
          <w:rFonts w:cstheme="minorBidi"/>
          <w:bCs w:val="0"/>
          <w:i w:val="0"/>
          <w:iCs w:val="0"/>
          <w:szCs w:val="24"/>
        </w:rPr>
      </w:pPr>
      <w:bookmarkStart w:id="1" w:name="_Ref457379898"/>
      <w:bookmarkEnd w:id="1"/>
      <w:r>
        <w:rPr>
          <w:rFonts w:cstheme="minorBidi"/>
          <w:bCs w:val="0"/>
          <w:i w:val="0"/>
          <w:iCs w:val="0"/>
          <w:szCs w:val="24"/>
        </w:rPr>
        <w:t>Definice pojmů</w:t>
      </w:r>
    </w:p>
    <w:p w:rsidR="006F2D53" w:rsidRDefault="00F3682B">
      <w:pPr>
        <w:pStyle w:val="Teclotextu"/>
        <w:numPr>
          <w:ilvl w:val="0"/>
          <w:numId w:val="1"/>
        </w:numPr>
        <w:jc w:val="both"/>
        <w:rPr>
          <w:rFonts w:cstheme="minorBidi"/>
        </w:rPr>
      </w:pPr>
      <w:r>
        <w:rPr>
          <w:b/>
        </w:rPr>
        <w:t>Technickou podporou</w:t>
      </w:r>
      <w:r>
        <w:t xml:space="preserve"> se rozumí veškeré služby spojené s profylaxí stavu prostředí a přípravou návrhů na případné úpravy, diagnostikou, laděním, monitorováním, softwarovým vývojem, testováním, analyzováním, dokumen</w:t>
      </w:r>
      <w:r>
        <w:softHyphen/>
        <w:t xml:space="preserve">továním, implementací, nasazováním a podobně za účelem řešení závad a chybových stavů, které jsou nebo se jeví jako závady nebo chybové stavy IS/STAG. </w:t>
      </w:r>
      <w:r>
        <w:rPr>
          <w:rFonts w:cstheme="minorBidi"/>
        </w:rPr>
        <w:br/>
      </w:r>
      <w:r>
        <w:t>Tyto služby též zahrnují činnosti související s infrastrukturou nezbytně nutnou pro efektivní řešení incidentů, a dále zahrnují z toho vyplývající nezbytnou součinnost Poskytovatele pro pracovníky Uživatele a jeho ostatních dodavatelů. Dále zahrnují projektové řízení změn a komunikaci s klíčovými uživateli IS/STAG.</w:t>
      </w:r>
    </w:p>
    <w:p w:rsidR="006F2D53" w:rsidRDefault="00F3682B">
      <w:pPr>
        <w:pStyle w:val="Teclotextu"/>
        <w:numPr>
          <w:ilvl w:val="0"/>
          <w:numId w:val="1"/>
        </w:numPr>
        <w:jc w:val="both"/>
      </w:pPr>
      <w:r>
        <w:rPr>
          <w:b/>
        </w:rPr>
        <w:t>Školením a vzděláváním</w:t>
      </w:r>
      <w:r>
        <w:t xml:space="preserve"> se rozumí poskytnutí školení pracovníkům Uživatele ve smyslu seznámení se se základy či s novinkami v oblasti SW nástrojů pro provozovaný IS/STAG a souvisejících podpůrných technologiích, případně poskytnutí a předání </w:t>
      </w:r>
      <w:proofErr w:type="spellStart"/>
      <w:r>
        <w:rPr>
          <w:i/>
        </w:rPr>
        <w:t>best</w:t>
      </w:r>
      <w:proofErr w:type="spellEnd"/>
      <w:r>
        <w:rPr>
          <w:i/>
        </w:rPr>
        <w:t xml:space="preserve"> </w:t>
      </w:r>
      <w:proofErr w:type="spellStart"/>
      <w:r>
        <w:rPr>
          <w:i/>
        </w:rPr>
        <w:t>practice</w:t>
      </w:r>
      <w:proofErr w:type="spellEnd"/>
      <w:r>
        <w:t>.</w:t>
      </w:r>
    </w:p>
    <w:p w:rsidR="006F2D53" w:rsidRDefault="00F3682B">
      <w:pPr>
        <w:pStyle w:val="Teclotextu"/>
        <w:numPr>
          <w:ilvl w:val="0"/>
          <w:numId w:val="1"/>
        </w:numPr>
        <w:jc w:val="both"/>
        <w:rPr>
          <w:rFonts w:cstheme="minorBidi"/>
        </w:rPr>
      </w:pPr>
      <w:r>
        <w:rPr>
          <w:b/>
        </w:rPr>
        <w:t>Konzultačními službami</w:t>
      </w:r>
      <w:r>
        <w:t xml:space="preserve"> se rozumí jakékoliv jiné činnosti prováděné v souvislosti s touto smlouvou na základě požadavku Uživatele, zejména </w:t>
      </w:r>
      <w:r>
        <w:rPr>
          <w:i/>
        </w:rPr>
        <w:t>ad hoc</w:t>
      </w:r>
      <w:r>
        <w:t xml:space="preserve"> konzultace na specifické téma poskytnuté Uživateli na základě jeho žádosti odborným specialistou Poskytovatele. Zahrnují poskytování znalostí o možných způsobech použití či vnitřním fungování produktu a o informační podpoře procesů Uživatele, a to i nad rámec běžné dokumentace produktu.</w:t>
      </w:r>
    </w:p>
    <w:p w:rsidR="006F2D53" w:rsidRDefault="00F3682B">
      <w:pPr>
        <w:pStyle w:val="Zakladnitextcislovany2"/>
        <w:numPr>
          <w:ilvl w:val="0"/>
          <w:numId w:val="1"/>
        </w:numPr>
        <w:jc w:val="both"/>
        <w:rPr>
          <w:rFonts w:cstheme="minorBidi"/>
        </w:rPr>
      </w:pPr>
      <w:r>
        <w:rPr>
          <w:b/>
        </w:rPr>
        <w:t xml:space="preserve">Incident </w:t>
      </w:r>
      <w:r>
        <w:t>je záznam problémové události týkající se dodaného produktu či souvisejících služeb. Zejména jej zadává odpovědný pracovník Uživatele.</w:t>
      </w:r>
    </w:p>
    <w:p w:rsidR="006F2D53" w:rsidRDefault="00F3682B">
      <w:pPr>
        <w:pStyle w:val="Zakladnitextcislovany2"/>
        <w:numPr>
          <w:ilvl w:val="0"/>
          <w:numId w:val="1"/>
        </w:numPr>
        <w:jc w:val="both"/>
        <w:rPr>
          <w:rFonts w:cstheme="minorBidi"/>
        </w:rPr>
      </w:pPr>
      <w:r>
        <w:rPr>
          <w:b/>
        </w:rPr>
        <w:t xml:space="preserve">Klasifikace incidentu </w:t>
      </w:r>
      <w:r>
        <w:t xml:space="preserve">je ohodnocení incidentu odpovědným pracovníkem Uživatele pomocí dvou položek: </w:t>
      </w:r>
      <w:r>
        <w:rPr>
          <w:b/>
        </w:rPr>
        <w:t>typ</w:t>
      </w:r>
      <w:r>
        <w:t xml:space="preserve"> a </w:t>
      </w:r>
      <w:r>
        <w:rPr>
          <w:b/>
        </w:rPr>
        <w:t>priorita</w:t>
      </w:r>
      <w:r>
        <w:t xml:space="preserve">. Popis obou klasifikací je uveden v odst. </w:t>
      </w:r>
      <w:r>
        <w:rPr>
          <w:lang w:val="en-US"/>
        </w:rPr>
        <w:t>2.3 a 2.4</w:t>
      </w:r>
      <w:r>
        <w:t xml:space="preserve"> této </w:t>
      </w:r>
      <w:r>
        <w:lastRenderedPageBreak/>
        <w:t>smlouvy.</w:t>
      </w:r>
    </w:p>
    <w:p w:rsidR="006F2D53" w:rsidRDefault="00F3682B">
      <w:pPr>
        <w:pStyle w:val="Zakladnitextcislovany2"/>
        <w:numPr>
          <w:ilvl w:val="0"/>
          <w:numId w:val="1"/>
        </w:numPr>
        <w:jc w:val="both"/>
        <w:rPr>
          <w:rFonts w:cstheme="minorBidi"/>
        </w:rPr>
      </w:pPr>
      <w:bookmarkStart w:id="2" w:name="_Ref429492449"/>
      <w:bookmarkStart w:id="3" w:name="_Ref429493051"/>
      <w:bookmarkEnd w:id="2"/>
      <w:r>
        <w:rPr>
          <w:b/>
        </w:rPr>
        <w:t xml:space="preserve">Hlášení incidentu: </w:t>
      </w:r>
      <w:bookmarkEnd w:id="3"/>
      <w:r>
        <w:t>je činnost, kterou informuje Uživatel Poskytovatele o výskytu incidentu.</w:t>
      </w:r>
    </w:p>
    <w:p w:rsidR="006F2D53" w:rsidRDefault="00F3682B">
      <w:pPr>
        <w:pStyle w:val="Zakladnitextcislovany2"/>
        <w:numPr>
          <w:ilvl w:val="0"/>
          <w:numId w:val="1"/>
        </w:numPr>
        <w:jc w:val="both"/>
        <w:rPr>
          <w:rFonts w:cstheme="minorBidi"/>
        </w:rPr>
      </w:pPr>
      <w:r>
        <w:rPr>
          <w:b/>
        </w:rPr>
        <w:t xml:space="preserve">Reakční doba (R) </w:t>
      </w:r>
      <w:r>
        <w:t>je lhůta, do které bude Uživatel informován o zahájení jednání Poskytovatele, které směřuje k vyřešení incidentu. Začátek reakční doby je stanoven přijetím hlášení incidentu v </w:t>
      </w:r>
      <w:proofErr w:type="spellStart"/>
      <w:r>
        <w:t>helpdesku</w:t>
      </w:r>
      <w:proofErr w:type="spellEnd"/>
      <w:r>
        <w:t xml:space="preserve"> Poskytovatele.</w:t>
      </w:r>
    </w:p>
    <w:p w:rsidR="006F2D53" w:rsidRDefault="00F3682B">
      <w:pPr>
        <w:pStyle w:val="Zakladnitextcislovany2"/>
        <w:numPr>
          <w:ilvl w:val="0"/>
          <w:numId w:val="1"/>
        </w:numPr>
        <w:jc w:val="both"/>
        <w:rPr>
          <w:rFonts w:cstheme="minorBidi"/>
        </w:rPr>
      </w:pPr>
      <w:r>
        <w:rPr>
          <w:b/>
        </w:rPr>
        <w:t xml:space="preserve">Vyřešení chyby </w:t>
      </w:r>
      <w:r>
        <w:t>je její kompletní odstranění nebo vytvoření alternativního řešení, kterým bude chyba překlenuta a nedojde k funkčnímu omezení produktu.</w:t>
      </w:r>
    </w:p>
    <w:p w:rsidR="006F2D53" w:rsidRDefault="00F3682B">
      <w:pPr>
        <w:pStyle w:val="Zakladnitextcislovany2"/>
        <w:numPr>
          <w:ilvl w:val="0"/>
          <w:numId w:val="1"/>
        </w:numPr>
        <w:jc w:val="both"/>
        <w:rPr>
          <w:rFonts w:cstheme="minorBidi"/>
        </w:rPr>
      </w:pPr>
      <w:r>
        <w:rPr>
          <w:b/>
        </w:rPr>
        <w:t>Dokumentace produktu</w:t>
      </w:r>
      <w:r>
        <w:t xml:space="preserve"> je souhrn veškerých dokumentů, textů a materiálů popisujících vzhled, funkcionalitu, vlastnosti a chování produktu.</w:t>
      </w:r>
    </w:p>
    <w:p w:rsidR="006F2D53" w:rsidRDefault="00F3682B">
      <w:pPr>
        <w:pStyle w:val="Nadpis2"/>
        <w:rPr>
          <w:rFonts w:cstheme="minorBidi"/>
          <w:bCs w:val="0"/>
          <w:i w:val="0"/>
          <w:iCs w:val="0"/>
          <w:szCs w:val="24"/>
        </w:rPr>
      </w:pPr>
      <w:bookmarkStart w:id="4" w:name="_Ref429493766"/>
      <w:bookmarkEnd w:id="4"/>
      <w:r>
        <w:rPr>
          <w:rFonts w:cstheme="minorBidi"/>
          <w:bCs w:val="0"/>
          <w:i w:val="0"/>
          <w:iCs w:val="0"/>
          <w:szCs w:val="24"/>
          <w:lang w:val="en-US"/>
        </w:rPr>
        <w:t xml:space="preserve">2.2 </w:t>
      </w:r>
      <w:bookmarkStart w:id="5" w:name="_Ref52961376"/>
      <w:bookmarkStart w:id="6" w:name="_Ref158128671"/>
      <w:r>
        <w:rPr>
          <w:rFonts w:cstheme="minorBidi"/>
          <w:bCs w:val="0"/>
          <w:i w:val="0"/>
          <w:iCs w:val="0"/>
          <w:szCs w:val="24"/>
        </w:rPr>
        <w:t xml:space="preserve">Klasifikace </w:t>
      </w:r>
      <w:bookmarkEnd w:id="5"/>
      <w:bookmarkEnd w:id="6"/>
      <w:r>
        <w:rPr>
          <w:rFonts w:cstheme="minorBidi"/>
          <w:bCs w:val="0"/>
          <w:i w:val="0"/>
          <w:iCs w:val="0"/>
          <w:szCs w:val="24"/>
        </w:rPr>
        <w:t>incidentů</w:t>
      </w:r>
    </w:p>
    <w:p w:rsidR="006F2D53" w:rsidRDefault="00F3682B">
      <w:pPr>
        <w:pStyle w:val="Zakladnitextcislovany2"/>
        <w:spacing w:before="40"/>
        <w:jc w:val="both"/>
        <w:rPr>
          <w:rFonts w:cstheme="minorBidi"/>
        </w:rPr>
      </w:pPr>
      <w:r>
        <w:t>Základní klasifikace incidentu je provedena ihned při jeho vzniku, a to odpovědným pracovníkem Uživatele, který incident hlásí. Může být následně změněna zástupcem Poskytovatele. O této změně musí být Uživatel informován.</w:t>
      </w:r>
    </w:p>
    <w:p w:rsidR="006F2D53" w:rsidRDefault="00F3682B">
      <w:pPr>
        <w:pStyle w:val="Seznamsodre19ekami1"/>
        <w:numPr>
          <w:ilvl w:val="0"/>
          <w:numId w:val="9"/>
        </w:numPr>
        <w:jc w:val="both"/>
        <w:rPr>
          <w:rFonts w:cstheme="minorBidi"/>
        </w:rPr>
      </w:pPr>
      <w:r>
        <w:rPr>
          <w:rFonts w:cstheme="minorBidi"/>
        </w:rPr>
        <w:t xml:space="preserve">Uživatel provede primární označení </w:t>
      </w:r>
      <w:r>
        <w:rPr>
          <w:rFonts w:cstheme="minorBidi"/>
          <w:b/>
        </w:rPr>
        <w:t>typu incidentu</w:t>
      </w:r>
      <w:r>
        <w:rPr>
          <w:rFonts w:cstheme="minorBidi"/>
        </w:rPr>
        <w:t xml:space="preserve"> a jeho </w:t>
      </w:r>
      <w:r>
        <w:rPr>
          <w:rFonts w:cstheme="minorBidi"/>
          <w:b/>
        </w:rPr>
        <w:t>prioritu</w:t>
      </w:r>
      <w:r>
        <w:rPr>
          <w:rFonts w:cstheme="minorBidi"/>
        </w:rPr>
        <w:t xml:space="preserve"> (viz definice pojmů v odst. 2.3 a 2.4 této smlouvy).</w:t>
      </w:r>
    </w:p>
    <w:p w:rsidR="006F2D53" w:rsidRDefault="00F3682B">
      <w:pPr>
        <w:pStyle w:val="Seznamsodre19ekami1"/>
        <w:numPr>
          <w:ilvl w:val="0"/>
          <w:numId w:val="9"/>
        </w:numPr>
        <w:jc w:val="both"/>
        <w:rPr>
          <w:rFonts w:cstheme="minorBidi"/>
        </w:rPr>
      </w:pPr>
      <w:r>
        <w:rPr>
          <w:rFonts w:cstheme="minorBidi"/>
        </w:rPr>
        <w:t>Změnu typu je Poskytovatel povinen zdůvodnit.</w:t>
      </w:r>
    </w:p>
    <w:p w:rsidR="006F2D53" w:rsidRDefault="00F3682B">
      <w:pPr>
        <w:pStyle w:val="Nadpis2"/>
        <w:rPr>
          <w:rFonts w:cstheme="minorBidi"/>
          <w:bCs w:val="0"/>
          <w:i w:val="0"/>
          <w:iCs w:val="0"/>
          <w:szCs w:val="24"/>
        </w:rPr>
      </w:pPr>
      <w:r>
        <w:rPr>
          <w:rFonts w:cstheme="minorBidi"/>
          <w:bCs w:val="0"/>
          <w:i w:val="0"/>
          <w:iCs w:val="0"/>
          <w:szCs w:val="24"/>
          <w:lang w:val="en-US"/>
        </w:rPr>
        <w:t xml:space="preserve">2.3 </w:t>
      </w:r>
      <w:r>
        <w:rPr>
          <w:rFonts w:cstheme="minorBidi"/>
          <w:bCs w:val="0"/>
          <w:i w:val="0"/>
          <w:iCs w:val="0"/>
          <w:szCs w:val="24"/>
        </w:rPr>
        <w:t>Typy incidentů</w:t>
      </w:r>
    </w:p>
    <w:p w:rsidR="006F2D53" w:rsidRDefault="00F3682B">
      <w:pPr>
        <w:pStyle w:val="Zakladnitextcislovany2"/>
        <w:jc w:val="both"/>
        <w:rPr>
          <w:rFonts w:cstheme="minorBidi"/>
        </w:rPr>
      </w:pPr>
      <w:r>
        <w:rPr>
          <w:rFonts w:cstheme="minorBidi"/>
        </w:rPr>
        <w:t xml:space="preserve">Typ incidentu je základní klasifikací incidentu. Jedná se o hlášení chyb, požadavků či konzultací. </w:t>
      </w:r>
    </w:p>
    <w:p w:rsidR="006F2D53" w:rsidRDefault="006F2D53">
      <w:pPr>
        <w:pStyle w:val="Zakladnitextcislovany2"/>
        <w:ind w:hanging="1296"/>
        <w:jc w:val="both"/>
        <w:rPr>
          <w:rFonts w:cstheme="minorBidi"/>
        </w:rPr>
      </w:pPr>
    </w:p>
    <w:tbl>
      <w:tblPr>
        <w:tblW w:w="9224" w:type="dxa"/>
        <w:tblInd w:w="108" w:type="dxa"/>
        <w:tblLayout w:type="fixed"/>
        <w:tblCellMar>
          <w:top w:w="113" w:type="dxa"/>
          <w:left w:w="113" w:type="dxa"/>
          <w:bottom w:w="113" w:type="dxa"/>
          <w:right w:w="113" w:type="dxa"/>
        </w:tblCellMar>
        <w:tblLook w:val="0000" w:firstRow="0" w:lastRow="0" w:firstColumn="0" w:lastColumn="0" w:noHBand="0" w:noVBand="0"/>
      </w:tblPr>
      <w:tblGrid>
        <w:gridCol w:w="1789"/>
        <w:gridCol w:w="7435"/>
      </w:tblGrid>
      <w:tr w:rsidR="006F2D53">
        <w:trPr>
          <w:trHeight w:val="315"/>
        </w:trPr>
        <w:tc>
          <w:tcPr>
            <w:tcW w:w="1789" w:type="dxa"/>
            <w:tcBorders>
              <w:top w:val="single" w:sz="4" w:space="0" w:color="000000"/>
              <w:left w:val="single" w:sz="4" w:space="0" w:color="000000"/>
              <w:bottom w:val="single" w:sz="4" w:space="0" w:color="000000"/>
            </w:tcBorders>
            <w:shd w:val="clear" w:color="auto" w:fill="C0C0C0"/>
          </w:tcPr>
          <w:p w:rsidR="006F2D53" w:rsidRDefault="00F3682B">
            <w:pPr>
              <w:rPr>
                <w:rFonts w:cstheme="minorBidi"/>
              </w:rPr>
            </w:pPr>
            <w:r>
              <w:rPr>
                <w:rFonts w:cstheme="minorBidi"/>
                <w:b/>
                <w:bCs/>
              </w:rPr>
              <w:t>Typ incidentu</w:t>
            </w:r>
          </w:p>
        </w:tc>
        <w:tc>
          <w:tcPr>
            <w:tcW w:w="7434"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0" w:type="dxa"/>
            </w:tcMar>
          </w:tcPr>
          <w:p w:rsidR="006F2D53" w:rsidRDefault="00F3682B">
            <w:pPr>
              <w:ind w:left="270"/>
              <w:rPr>
                <w:rFonts w:cstheme="minorBidi"/>
              </w:rPr>
            </w:pPr>
            <w:r>
              <w:rPr>
                <w:rFonts w:cstheme="minorBidi"/>
                <w:b/>
                <w:bCs/>
              </w:rPr>
              <w:t>Popis</w:t>
            </w:r>
          </w:p>
        </w:tc>
      </w:tr>
      <w:tr w:rsidR="006F2D53">
        <w:trPr>
          <w:trHeight w:val="1215"/>
        </w:trPr>
        <w:tc>
          <w:tcPr>
            <w:tcW w:w="1789" w:type="dxa"/>
            <w:tcBorders>
              <w:left w:val="single" w:sz="4" w:space="0" w:color="000000"/>
              <w:bottom w:val="single" w:sz="4" w:space="0" w:color="000000"/>
            </w:tcBorders>
          </w:tcPr>
          <w:p w:rsidR="006F2D53" w:rsidRDefault="00F3682B">
            <w:pPr>
              <w:pStyle w:val="Zakladnitextcislovany2"/>
              <w:spacing w:after="0"/>
              <w:ind w:left="7" w:right="-8"/>
              <w:rPr>
                <w:rFonts w:cstheme="minorBidi"/>
              </w:rPr>
            </w:pPr>
            <w:r>
              <w:t>Chyba</w:t>
            </w:r>
          </w:p>
        </w:tc>
        <w:tc>
          <w:tcPr>
            <w:tcW w:w="7434"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285" w:right="285"/>
              <w:jc w:val="both"/>
              <w:rPr>
                <w:rFonts w:cstheme="minorBidi"/>
              </w:rPr>
            </w:pPr>
            <w:r>
              <w:t>je nesprávné provádění nebo ztráta již existující funkcionality IS/STAG.</w:t>
            </w:r>
          </w:p>
          <w:p w:rsidR="006F2D53" w:rsidRDefault="00F3682B">
            <w:pPr>
              <w:pStyle w:val="Zakladnitextcislovany2"/>
              <w:spacing w:after="0"/>
              <w:ind w:left="285" w:right="285"/>
              <w:jc w:val="both"/>
              <w:rPr>
                <w:rFonts w:cstheme="minorBidi"/>
              </w:rPr>
            </w:pPr>
            <w:r>
              <w:t>Za nesprávné se považuje pouze takové chování, které není v souladu s popisem uvedeným v dokumentaci IS/STAG. Není-li popis funkce uveden v dokumentaci, je správná funkce taková, která je očekávána Uživatelem a nebrání funkčnosti IS/STAG.</w:t>
            </w:r>
          </w:p>
        </w:tc>
      </w:tr>
      <w:tr w:rsidR="006F2D53">
        <w:trPr>
          <w:trHeight w:val="479"/>
        </w:trPr>
        <w:tc>
          <w:tcPr>
            <w:tcW w:w="1789" w:type="dxa"/>
            <w:tcBorders>
              <w:left w:val="single" w:sz="4" w:space="0" w:color="000000"/>
              <w:bottom w:val="single" w:sz="4" w:space="0" w:color="000000"/>
            </w:tcBorders>
          </w:tcPr>
          <w:p w:rsidR="006F2D53" w:rsidRDefault="00F3682B">
            <w:pPr>
              <w:pStyle w:val="Zakladnitextcislovany2"/>
              <w:spacing w:after="0"/>
              <w:ind w:left="7" w:right="-8"/>
              <w:rPr>
                <w:rFonts w:cstheme="minorBidi"/>
              </w:rPr>
            </w:pPr>
            <w:r>
              <w:t>Požadavek</w:t>
            </w:r>
          </w:p>
        </w:tc>
        <w:tc>
          <w:tcPr>
            <w:tcW w:w="7434"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285" w:right="285"/>
              <w:jc w:val="both"/>
              <w:rPr>
                <w:rFonts w:cstheme="minorBidi"/>
              </w:rPr>
            </w:pPr>
            <w:r>
              <w:t>je požadavek</w:t>
            </w:r>
          </w:p>
          <w:p w:rsidR="006F2D53" w:rsidRDefault="00F3682B">
            <w:pPr>
              <w:pStyle w:val="Zakladnitextcislovany2"/>
              <w:numPr>
                <w:ilvl w:val="0"/>
                <w:numId w:val="10"/>
              </w:numPr>
              <w:spacing w:after="0"/>
              <w:ind w:right="285"/>
              <w:jc w:val="both"/>
              <w:rPr>
                <w:rFonts w:cstheme="minorBidi"/>
              </w:rPr>
            </w:pPr>
            <w:r>
              <w:t>na změnu existující funkcionality IS/STAG, pokud je vyloučeno, že se jedná o chybu, nebo</w:t>
            </w:r>
          </w:p>
          <w:p w:rsidR="006F2D53" w:rsidRDefault="00F3682B">
            <w:pPr>
              <w:pStyle w:val="Zakladnitextcislovany2"/>
              <w:numPr>
                <w:ilvl w:val="0"/>
                <w:numId w:val="10"/>
              </w:numPr>
              <w:spacing w:after="0"/>
              <w:ind w:right="285"/>
              <w:jc w:val="both"/>
              <w:rPr>
                <w:rFonts w:cstheme="minorBidi"/>
              </w:rPr>
            </w:pPr>
            <w:r>
              <w:t>na přidání dosud neexistující funkcionality IS/STAG nebo</w:t>
            </w:r>
          </w:p>
          <w:p w:rsidR="006F2D53" w:rsidRDefault="00F3682B">
            <w:pPr>
              <w:pStyle w:val="Zakladnitextcislovany2"/>
              <w:numPr>
                <w:ilvl w:val="0"/>
                <w:numId w:val="10"/>
              </w:numPr>
              <w:spacing w:after="0"/>
              <w:ind w:right="285"/>
              <w:jc w:val="both"/>
              <w:rPr>
                <w:rFonts w:cstheme="minorBidi"/>
              </w:rPr>
            </w:pPr>
            <w:r>
              <w:t>na rozšíření funkcionality IS/STAG.</w:t>
            </w:r>
          </w:p>
        </w:tc>
      </w:tr>
      <w:tr w:rsidR="006F2D53">
        <w:trPr>
          <w:trHeight w:val="315"/>
        </w:trPr>
        <w:tc>
          <w:tcPr>
            <w:tcW w:w="1789" w:type="dxa"/>
            <w:tcBorders>
              <w:left w:val="single" w:sz="4" w:space="0" w:color="000000"/>
              <w:bottom w:val="single" w:sz="4" w:space="0" w:color="000000"/>
            </w:tcBorders>
          </w:tcPr>
          <w:p w:rsidR="006F2D53" w:rsidRDefault="00F3682B">
            <w:pPr>
              <w:pStyle w:val="Zakladnitextcislovany2"/>
              <w:spacing w:after="0"/>
              <w:ind w:left="7" w:right="-8"/>
              <w:rPr>
                <w:rFonts w:cstheme="minorBidi"/>
              </w:rPr>
            </w:pPr>
            <w:r>
              <w:t>Konzultace</w:t>
            </w:r>
          </w:p>
        </w:tc>
        <w:tc>
          <w:tcPr>
            <w:tcW w:w="7434"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285" w:right="285"/>
              <w:jc w:val="both"/>
              <w:rPr>
                <w:rFonts w:cstheme="minorBidi"/>
              </w:rPr>
            </w:pPr>
            <w:r>
              <w:t>je incident charakteru opakovaného dotazu, který nevyžaduje žádný opravný zásah do IS/STAG, tzn., že jde o vlastnost IS/STAG nebo je incident způsoben jinými důvody než na straně IS/STAG.</w:t>
            </w:r>
          </w:p>
        </w:tc>
      </w:tr>
    </w:tbl>
    <w:p w:rsidR="006F2D53" w:rsidRDefault="006F2D53">
      <w:pPr>
        <w:pStyle w:val="Zakladnitextcislovany2"/>
        <w:ind w:left="-1296"/>
        <w:rPr>
          <w:rFonts w:cstheme="minorBidi"/>
        </w:rPr>
      </w:pPr>
    </w:p>
    <w:p w:rsidR="006F2D53" w:rsidRDefault="00F3682B">
      <w:pPr>
        <w:pStyle w:val="Nadpis2"/>
        <w:rPr>
          <w:rFonts w:cstheme="minorBidi"/>
          <w:bCs w:val="0"/>
          <w:i w:val="0"/>
          <w:iCs w:val="0"/>
          <w:szCs w:val="24"/>
        </w:rPr>
      </w:pPr>
      <w:r>
        <w:rPr>
          <w:rFonts w:cstheme="minorBidi"/>
          <w:bCs w:val="0"/>
          <w:i w:val="0"/>
          <w:iCs w:val="0"/>
          <w:szCs w:val="24"/>
          <w:lang w:val="en-US"/>
        </w:rPr>
        <w:t xml:space="preserve">2.4 </w:t>
      </w:r>
      <w:r>
        <w:rPr>
          <w:rFonts w:cstheme="minorBidi"/>
          <w:bCs w:val="0"/>
          <w:i w:val="0"/>
          <w:iCs w:val="0"/>
          <w:szCs w:val="24"/>
        </w:rPr>
        <w:t>Priority incidentů</w:t>
      </w:r>
    </w:p>
    <w:p w:rsidR="006F2D53" w:rsidRDefault="00F3682B">
      <w:pPr>
        <w:pStyle w:val="Zakladnitextcislovany2"/>
        <w:jc w:val="both"/>
        <w:rPr>
          <w:rFonts w:cstheme="minorBidi"/>
        </w:rPr>
      </w:pPr>
      <w:r>
        <w:rPr>
          <w:rFonts w:cstheme="minorBidi"/>
        </w:rPr>
        <w:t>Priorita incidentu je klasifikací incidentu, která určuje reakční dobu a dobu na jeho vyřešení.</w:t>
      </w:r>
    </w:p>
    <w:p w:rsidR="006F2D53" w:rsidRDefault="006F2D53">
      <w:pPr>
        <w:pStyle w:val="Zakladnitextcislovany2"/>
        <w:ind w:hanging="1296"/>
        <w:jc w:val="both"/>
        <w:rPr>
          <w:rFonts w:cstheme="minorBidi"/>
        </w:rPr>
      </w:pPr>
    </w:p>
    <w:tbl>
      <w:tblPr>
        <w:tblW w:w="9224" w:type="dxa"/>
        <w:tblInd w:w="108" w:type="dxa"/>
        <w:tblLayout w:type="fixed"/>
        <w:tblCellMar>
          <w:top w:w="113" w:type="dxa"/>
          <w:left w:w="113" w:type="dxa"/>
          <w:bottom w:w="113" w:type="dxa"/>
          <w:right w:w="113" w:type="dxa"/>
        </w:tblCellMar>
        <w:tblLook w:val="0000" w:firstRow="0" w:lastRow="0" w:firstColumn="0" w:lastColumn="0" w:noHBand="0" w:noVBand="0"/>
      </w:tblPr>
      <w:tblGrid>
        <w:gridCol w:w="1805"/>
        <w:gridCol w:w="7419"/>
      </w:tblGrid>
      <w:tr w:rsidR="006F2D53">
        <w:trPr>
          <w:trHeight w:val="315"/>
        </w:trPr>
        <w:tc>
          <w:tcPr>
            <w:tcW w:w="1805" w:type="dxa"/>
            <w:tcBorders>
              <w:top w:val="single" w:sz="4" w:space="0" w:color="000000"/>
              <w:left w:val="single" w:sz="4" w:space="0" w:color="000000"/>
              <w:bottom w:val="single" w:sz="4" w:space="0" w:color="000000"/>
            </w:tcBorders>
            <w:shd w:val="clear" w:color="auto" w:fill="C0C0C0"/>
          </w:tcPr>
          <w:p w:rsidR="006F2D53" w:rsidRDefault="00F3682B">
            <w:pPr>
              <w:rPr>
                <w:rFonts w:cstheme="minorBidi"/>
              </w:rPr>
            </w:pPr>
            <w:r>
              <w:rPr>
                <w:rFonts w:cstheme="minorBidi"/>
                <w:b/>
                <w:bCs/>
              </w:rPr>
              <w:t xml:space="preserve">Priorita </w:t>
            </w:r>
            <w:r>
              <w:rPr>
                <w:rFonts w:cstheme="minorBidi"/>
                <w:b/>
                <w:bCs/>
              </w:rPr>
              <w:lastRenderedPageBreak/>
              <w:t>Incidentu</w:t>
            </w:r>
          </w:p>
        </w:tc>
        <w:tc>
          <w:tcPr>
            <w:tcW w:w="7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0" w:type="dxa"/>
            </w:tcMar>
          </w:tcPr>
          <w:p w:rsidR="006F2D53" w:rsidRDefault="00F3682B">
            <w:pPr>
              <w:ind w:left="180"/>
              <w:rPr>
                <w:rFonts w:cstheme="minorBidi"/>
              </w:rPr>
            </w:pPr>
            <w:r>
              <w:rPr>
                <w:rFonts w:cstheme="minorBidi"/>
                <w:b/>
                <w:bCs/>
              </w:rPr>
              <w:lastRenderedPageBreak/>
              <w:t>Popis</w:t>
            </w:r>
          </w:p>
        </w:tc>
      </w:tr>
      <w:tr w:rsidR="006F2D53">
        <w:trPr>
          <w:trHeight w:val="113"/>
        </w:trPr>
        <w:tc>
          <w:tcPr>
            <w:tcW w:w="1805"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Kritická</w:t>
            </w:r>
          </w:p>
        </w:tc>
        <w:tc>
          <w:tcPr>
            <w:tcW w:w="7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ind w:left="195"/>
              <w:rPr>
                <w:rFonts w:cstheme="minorBidi"/>
              </w:rPr>
            </w:pPr>
            <w:r>
              <w:t>Znemožňuje informační podporu hlavních procesů Uživatele</w:t>
            </w:r>
          </w:p>
        </w:tc>
      </w:tr>
      <w:tr w:rsidR="006F2D53">
        <w:trPr>
          <w:trHeight w:val="113"/>
        </w:trPr>
        <w:tc>
          <w:tcPr>
            <w:tcW w:w="1805"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Závažná</w:t>
            </w:r>
          </w:p>
        </w:tc>
        <w:tc>
          <w:tcPr>
            <w:tcW w:w="7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195"/>
              <w:rPr>
                <w:rFonts w:cstheme="minorBidi"/>
              </w:rPr>
            </w:pPr>
            <w:r>
              <w:t>Znesnadňuje práci, lze obejít (např. za cenu výrazného navýšení režie Uživatele)</w:t>
            </w:r>
          </w:p>
        </w:tc>
      </w:tr>
      <w:tr w:rsidR="006F2D53">
        <w:trPr>
          <w:trHeight w:val="113"/>
        </w:trPr>
        <w:tc>
          <w:tcPr>
            <w:tcW w:w="1805"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Drobná</w:t>
            </w:r>
          </w:p>
        </w:tc>
        <w:tc>
          <w:tcPr>
            <w:tcW w:w="74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195"/>
              <w:rPr>
                <w:rFonts w:cstheme="minorBidi"/>
              </w:rPr>
            </w:pPr>
            <w:r>
              <w:t>Znepříjemňuje práci, lze snadno obejít</w:t>
            </w:r>
          </w:p>
        </w:tc>
      </w:tr>
    </w:tbl>
    <w:p w:rsidR="006F2D53" w:rsidRDefault="006F2D53">
      <w:pPr>
        <w:rPr>
          <w:rFonts w:cstheme="minorBidi"/>
        </w:rPr>
      </w:pPr>
    </w:p>
    <w:p w:rsidR="006F2D53" w:rsidRDefault="00F3682B">
      <w:pPr>
        <w:pStyle w:val="Nadpis1"/>
        <w:numPr>
          <w:ilvl w:val="0"/>
          <w:numId w:val="12"/>
        </w:numPr>
        <w:rPr>
          <w:rFonts w:cstheme="minorBidi"/>
          <w:bCs w:val="0"/>
          <w:szCs w:val="24"/>
        </w:rPr>
      </w:pPr>
      <w:bookmarkStart w:id="7" w:name="_Ref158099115"/>
      <w:bookmarkEnd w:id="7"/>
      <w:r>
        <w:rPr>
          <w:rFonts w:ascii="Times New Roman" w:hAnsi="Times New Roman" w:cs="Times New Roman"/>
          <w:bCs w:val="0"/>
          <w:szCs w:val="24"/>
        </w:rPr>
        <w:t>Podmínky smlouvy</w:t>
      </w:r>
    </w:p>
    <w:p w:rsidR="006F2D53" w:rsidRDefault="00F3682B">
      <w:pPr>
        <w:pStyle w:val="Teclotextu"/>
        <w:jc w:val="both"/>
        <w:rPr>
          <w:rFonts w:cstheme="minorBidi"/>
        </w:rPr>
      </w:pPr>
      <w:r>
        <w:t>Poskytovatel se zavazuje v rámci této smlouvy poskytovat k IS/STAG uvedené služby v ceně paušálu.</w:t>
      </w:r>
    </w:p>
    <w:p w:rsidR="006F2D53" w:rsidRDefault="00F3682B">
      <w:pPr>
        <w:pStyle w:val="Nadpis2"/>
        <w:rPr>
          <w:rFonts w:cstheme="minorBidi"/>
          <w:bCs w:val="0"/>
          <w:i w:val="0"/>
          <w:iCs w:val="0"/>
          <w:szCs w:val="24"/>
        </w:rPr>
      </w:pPr>
      <w:r>
        <w:rPr>
          <w:rFonts w:cstheme="minorBidi"/>
          <w:bCs w:val="0"/>
          <w:i w:val="0"/>
          <w:iCs w:val="0"/>
          <w:szCs w:val="24"/>
          <w:lang w:val="en-US"/>
        </w:rPr>
        <w:t xml:space="preserve">3.1 </w:t>
      </w:r>
      <w:r>
        <w:rPr>
          <w:rFonts w:cstheme="minorBidi"/>
          <w:bCs w:val="0"/>
          <w:i w:val="0"/>
          <w:iCs w:val="0"/>
          <w:szCs w:val="24"/>
        </w:rPr>
        <w:t>Poskytované služby</w:t>
      </w:r>
      <w:bookmarkStart w:id="8" w:name="_Ref158116975"/>
      <w:bookmarkEnd w:id="8"/>
    </w:p>
    <w:p w:rsidR="006F2D53" w:rsidRDefault="006F2D53">
      <w:pPr>
        <w:pStyle w:val="Teclotextu"/>
        <w:rPr>
          <w:rFonts w:cstheme="minorBidi"/>
        </w:rPr>
      </w:pPr>
    </w:p>
    <w:tbl>
      <w:tblPr>
        <w:tblW w:w="9331" w:type="dxa"/>
        <w:tblInd w:w="108" w:type="dxa"/>
        <w:tblLayout w:type="fixed"/>
        <w:tblCellMar>
          <w:top w:w="113" w:type="dxa"/>
          <w:left w:w="113" w:type="dxa"/>
          <w:bottom w:w="113" w:type="dxa"/>
          <w:right w:w="113" w:type="dxa"/>
        </w:tblCellMar>
        <w:tblLook w:val="0000" w:firstRow="0" w:lastRow="0" w:firstColumn="0" w:lastColumn="0" w:noHBand="0" w:noVBand="0"/>
      </w:tblPr>
      <w:tblGrid>
        <w:gridCol w:w="669"/>
        <w:gridCol w:w="4571"/>
        <w:gridCol w:w="4091"/>
      </w:tblGrid>
      <w:tr w:rsidR="006F2D53">
        <w:trPr>
          <w:trHeight w:val="315"/>
        </w:trPr>
        <w:tc>
          <w:tcPr>
            <w:tcW w:w="669" w:type="dxa"/>
            <w:tcBorders>
              <w:top w:val="single" w:sz="4" w:space="0" w:color="000000"/>
              <w:left w:val="single" w:sz="4" w:space="0" w:color="000000"/>
              <w:bottom w:val="single" w:sz="4" w:space="0" w:color="000000"/>
            </w:tcBorders>
            <w:shd w:val="clear" w:color="auto" w:fill="C0C0C0"/>
          </w:tcPr>
          <w:p w:rsidR="006F2D53" w:rsidRDefault="00F3682B">
            <w:pPr>
              <w:rPr>
                <w:rFonts w:cstheme="minorBidi"/>
              </w:rPr>
            </w:pPr>
            <w:r>
              <w:rPr>
                <w:rFonts w:cstheme="minorBidi"/>
                <w:b/>
                <w:bCs/>
              </w:rPr>
              <w:t>Kód</w:t>
            </w:r>
          </w:p>
        </w:tc>
        <w:tc>
          <w:tcPr>
            <w:tcW w:w="4571" w:type="dxa"/>
            <w:tcBorders>
              <w:top w:val="single" w:sz="4" w:space="0" w:color="000000"/>
              <w:left w:val="single" w:sz="4" w:space="0" w:color="000000"/>
              <w:bottom w:val="single" w:sz="4" w:space="0" w:color="000000"/>
            </w:tcBorders>
            <w:shd w:val="clear" w:color="auto" w:fill="C0C0C0"/>
            <w:tcMar>
              <w:top w:w="0" w:type="dxa"/>
              <w:left w:w="5" w:type="dxa"/>
              <w:bottom w:w="0" w:type="dxa"/>
              <w:right w:w="0" w:type="dxa"/>
            </w:tcMar>
          </w:tcPr>
          <w:p w:rsidR="006F2D53" w:rsidRDefault="00F3682B">
            <w:pPr>
              <w:ind w:left="150"/>
              <w:rPr>
                <w:rFonts w:cstheme="minorBidi"/>
              </w:rPr>
            </w:pPr>
            <w:r>
              <w:rPr>
                <w:rFonts w:cstheme="minorBidi"/>
                <w:b/>
                <w:bCs/>
              </w:rPr>
              <w:t>Název</w:t>
            </w:r>
          </w:p>
        </w:tc>
        <w:tc>
          <w:tcPr>
            <w:tcW w:w="4091"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0" w:type="dxa"/>
            </w:tcMar>
          </w:tcPr>
          <w:p w:rsidR="006F2D53" w:rsidRDefault="00F3682B">
            <w:pPr>
              <w:ind w:left="210"/>
              <w:rPr>
                <w:rFonts w:cstheme="minorBidi"/>
              </w:rPr>
            </w:pPr>
            <w:r>
              <w:rPr>
                <w:rFonts w:cstheme="minorBidi"/>
                <w:b/>
                <w:bCs/>
              </w:rPr>
              <w:t>Poznámka</w:t>
            </w:r>
          </w:p>
        </w:tc>
      </w:tr>
      <w:tr w:rsidR="006F2D53">
        <w:trPr>
          <w:trHeight w:val="505"/>
        </w:trPr>
        <w:tc>
          <w:tcPr>
            <w:tcW w:w="669" w:type="dxa"/>
            <w:tcBorders>
              <w:left w:val="single" w:sz="4" w:space="0" w:color="000000"/>
              <w:bottom w:val="single" w:sz="4" w:space="0" w:color="000000"/>
            </w:tcBorders>
          </w:tcPr>
          <w:p w:rsidR="006F2D53" w:rsidRDefault="00F3682B">
            <w:pPr>
              <w:pStyle w:val="Teclotextu"/>
              <w:rPr>
                <w:rFonts w:cstheme="minorBidi"/>
              </w:rPr>
            </w:pPr>
            <w:r>
              <w:rPr>
                <w:rFonts w:cstheme="minorBidi"/>
              </w:rPr>
              <w:t>Z1</w:t>
            </w:r>
          </w:p>
        </w:tc>
        <w:tc>
          <w:tcPr>
            <w:tcW w:w="4571" w:type="dxa"/>
            <w:tcBorders>
              <w:left w:val="single" w:sz="4" w:space="0" w:color="000000"/>
              <w:bottom w:val="single" w:sz="4" w:space="0" w:color="000000"/>
            </w:tcBorders>
            <w:tcMar>
              <w:top w:w="0" w:type="dxa"/>
              <w:left w:w="5" w:type="dxa"/>
              <w:bottom w:w="0" w:type="dxa"/>
              <w:right w:w="0" w:type="dxa"/>
            </w:tcMar>
          </w:tcPr>
          <w:p w:rsidR="006F2D53" w:rsidRDefault="00F3682B">
            <w:pPr>
              <w:pStyle w:val="Teclotextu"/>
              <w:ind w:left="165"/>
              <w:rPr>
                <w:rFonts w:cstheme="minorBidi"/>
              </w:rPr>
            </w:pPr>
            <w:r>
              <w:rPr>
                <w:rFonts w:cstheme="minorBidi"/>
                <w:bCs/>
              </w:rPr>
              <w:t>Udržení IS/STAG v chodu</w:t>
            </w:r>
          </w:p>
        </w:tc>
        <w:tc>
          <w:tcPr>
            <w:tcW w:w="4091"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Teclotextu"/>
              <w:ind w:left="225"/>
              <w:rPr>
                <w:rFonts w:cstheme="minorBidi"/>
              </w:rPr>
            </w:pPr>
            <w:r>
              <w:rPr>
                <w:rFonts w:cstheme="minorBidi"/>
                <w:bCs/>
              </w:rPr>
              <w:t>v ceně paušálu</w:t>
            </w:r>
          </w:p>
        </w:tc>
      </w:tr>
      <w:tr w:rsidR="006F2D53">
        <w:trPr>
          <w:trHeight w:val="332"/>
        </w:trPr>
        <w:tc>
          <w:tcPr>
            <w:tcW w:w="669" w:type="dxa"/>
            <w:tcBorders>
              <w:left w:val="single" w:sz="4" w:space="0" w:color="000000"/>
              <w:bottom w:val="single" w:sz="4" w:space="0" w:color="000000"/>
            </w:tcBorders>
          </w:tcPr>
          <w:p w:rsidR="006F2D53" w:rsidRDefault="00F3682B">
            <w:pPr>
              <w:pStyle w:val="Teclotextu"/>
              <w:rPr>
                <w:rFonts w:cstheme="minorBidi"/>
              </w:rPr>
            </w:pPr>
            <w:r>
              <w:rPr>
                <w:rFonts w:cstheme="minorBidi"/>
              </w:rPr>
              <w:t>Z2</w:t>
            </w:r>
          </w:p>
        </w:tc>
        <w:tc>
          <w:tcPr>
            <w:tcW w:w="4571" w:type="dxa"/>
            <w:tcBorders>
              <w:left w:val="single" w:sz="4" w:space="0" w:color="000000"/>
              <w:bottom w:val="single" w:sz="4" w:space="0" w:color="000000"/>
            </w:tcBorders>
            <w:tcMar>
              <w:top w:w="0" w:type="dxa"/>
              <w:left w:w="5" w:type="dxa"/>
              <w:bottom w:w="0" w:type="dxa"/>
              <w:right w:w="0" w:type="dxa"/>
            </w:tcMar>
          </w:tcPr>
          <w:p w:rsidR="006F2D53" w:rsidRDefault="00F3682B">
            <w:pPr>
              <w:pStyle w:val="Teclotextu"/>
              <w:ind w:left="165"/>
              <w:rPr>
                <w:rFonts w:cstheme="minorBidi"/>
              </w:rPr>
            </w:pPr>
            <w:r>
              <w:rPr>
                <w:rFonts w:cstheme="minorBidi"/>
                <w:bCs/>
              </w:rPr>
              <w:t>Monitoring a profylaxe</w:t>
            </w:r>
          </w:p>
        </w:tc>
        <w:tc>
          <w:tcPr>
            <w:tcW w:w="4091"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Teclotextu"/>
              <w:ind w:left="225"/>
              <w:rPr>
                <w:rFonts w:cstheme="minorBidi"/>
              </w:rPr>
            </w:pPr>
            <w:r>
              <w:rPr>
                <w:rFonts w:cstheme="minorBidi"/>
                <w:bCs/>
              </w:rPr>
              <w:t>v ceně paušálu</w:t>
            </w:r>
          </w:p>
        </w:tc>
      </w:tr>
      <w:tr w:rsidR="006F2D53">
        <w:trPr>
          <w:trHeight w:val="315"/>
        </w:trPr>
        <w:tc>
          <w:tcPr>
            <w:tcW w:w="669" w:type="dxa"/>
            <w:tcBorders>
              <w:left w:val="single" w:sz="4" w:space="0" w:color="000000"/>
              <w:bottom w:val="single" w:sz="4" w:space="0" w:color="000000"/>
            </w:tcBorders>
          </w:tcPr>
          <w:p w:rsidR="006F2D53" w:rsidRDefault="00F3682B">
            <w:pPr>
              <w:pStyle w:val="Teclotextu"/>
              <w:rPr>
                <w:rFonts w:cstheme="minorBidi"/>
              </w:rPr>
            </w:pPr>
            <w:r>
              <w:rPr>
                <w:rFonts w:cstheme="minorBidi"/>
              </w:rPr>
              <w:t>Z3</w:t>
            </w:r>
          </w:p>
        </w:tc>
        <w:tc>
          <w:tcPr>
            <w:tcW w:w="4571" w:type="dxa"/>
            <w:tcBorders>
              <w:left w:val="single" w:sz="4" w:space="0" w:color="000000"/>
              <w:bottom w:val="single" w:sz="4" w:space="0" w:color="000000"/>
            </w:tcBorders>
            <w:tcMar>
              <w:top w:w="0" w:type="dxa"/>
              <w:left w:w="5" w:type="dxa"/>
              <w:bottom w:w="0" w:type="dxa"/>
              <w:right w:w="0" w:type="dxa"/>
            </w:tcMar>
          </w:tcPr>
          <w:p w:rsidR="006F2D53" w:rsidRDefault="00F3682B">
            <w:pPr>
              <w:pStyle w:val="Teclotextu"/>
              <w:ind w:left="165"/>
              <w:rPr>
                <w:rFonts w:cstheme="minorBidi"/>
              </w:rPr>
            </w:pPr>
            <w:r>
              <w:rPr>
                <w:rFonts w:cstheme="minorBidi"/>
                <w:bCs/>
              </w:rPr>
              <w:t>Aktualizace prostředí IS/STAG</w:t>
            </w:r>
          </w:p>
        </w:tc>
        <w:tc>
          <w:tcPr>
            <w:tcW w:w="4091"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Teclotextu"/>
              <w:ind w:left="225"/>
              <w:rPr>
                <w:rFonts w:cstheme="minorBidi"/>
              </w:rPr>
            </w:pPr>
            <w:r>
              <w:rPr>
                <w:rFonts w:cstheme="minorBidi"/>
                <w:bCs/>
              </w:rPr>
              <w:t>4 hod./měsíc v ceně paušálu</w:t>
            </w:r>
          </w:p>
        </w:tc>
      </w:tr>
      <w:tr w:rsidR="006F2D53">
        <w:trPr>
          <w:trHeight w:val="315"/>
        </w:trPr>
        <w:tc>
          <w:tcPr>
            <w:tcW w:w="669" w:type="dxa"/>
            <w:tcBorders>
              <w:top w:val="single" w:sz="4" w:space="0" w:color="000000"/>
              <w:left w:val="single" w:sz="4" w:space="0" w:color="000000"/>
              <w:bottom w:val="single" w:sz="4" w:space="0" w:color="000000"/>
            </w:tcBorders>
          </w:tcPr>
          <w:p w:rsidR="006F2D53" w:rsidRDefault="00F3682B">
            <w:pPr>
              <w:pStyle w:val="Teclotextu"/>
              <w:rPr>
                <w:rFonts w:cstheme="minorBidi"/>
              </w:rPr>
            </w:pPr>
            <w:r>
              <w:rPr>
                <w:rFonts w:cstheme="minorBidi"/>
              </w:rPr>
              <w:t>Z4</w:t>
            </w:r>
          </w:p>
        </w:tc>
        <w:tc>
          <w:tcPr>
            <w:tcW w:w="4571" w:type="dxa"/>
            <w:tcBorders>
              <w:top w:val="single" w:sz="4" w:space="0" w:color="000000"/>
              <w:left w:val="single" w:sz="4" w:space="0" w:color="000000"/>
              <w:bottom w:val="single" w:sz="4" w:space="0" w:color="000000"/>
            </w:tcBorders>
            <w:tcMar>
              <w:top w:w="0" w:type="dxa"/>
              <w:left w:w="5" w:type="dxa"/>
              <w:bottom w:w="0" w:type="dxa"/>
              <w:right w:w="0" w:type="dxa"/>
            </w:tcMar>
          </w:tcPr>
          <w:p w:rsidR="006F2D53" w:rsidRDefault="00F3682B">
            <w:pPr>
              <w:pStyle w:val="Teclotextu"/>
              <w:ind w:left="165"/>
              <w:rPr>
                <w:rFonts w:cstheme="minorBidi"/>
              </w:rPr>
            </w:pPr>
            <w:r>
              <w:rPr>
                <w:rFonts w:cstheme="minorBidi"/>
                <w:bCs/>
              </w:rPr>
              <w:t>Konzultační, servisní a vývojové služby</w:t>
            </w:r>
          </w:p>
        </w:tc>
        <w:tc>
          <w:tcPr>
            <w:tcW w:w="409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Teclotextu"/>
              <w:ind w:left="225"/>
              <w:rPr>
                <w:rFonts w:cstheme="minorBidi"/>
              </w:rPr>
            </w:pPr>
            <w:r>
              <w:rPr>
                <w:rFonts w:cstheme="minorBidi"/>
                <w:bCs/>
              </w:rPr>
              <w:t>10 hod./měsíc v ceně paušálu</w:t>
            </w:r>
          </w:p>
        </w:tc>
      </w:tr>
      <w:tr w:rsidR="006F2D53">
        <w:trPr>
          <w:trHeight w:val="315"/>
        </w:trPr>
        <w:tc>
          <w:tcPr>
            <w:tcW w:w="669" w:type="dxa"/>
            <w:tcBorders>
              <w:top w:val="single" w:sz="4" w:space="0" w:color="000000"/>
              <w:left w:val="single" w:sz="4" w:space="0" w:color="000000"/>
              <w:bottom w:val="single" w:sz="4" w:space="0" w:color="000000"/>
            </w:tcBorders>
          </w:tcPr>
          <w:p w:rsidR="006F2D53" w:rsidRDefault="00F3682B">
            <w:pPr>
              <w:pStyle w:val="Teclotextu"/>
              <w:rPr>
                <w:rFonts w:cstheme="minorBidi"/>
              </w:rPr>
            </w:pPr>
            <w:r>
              <w:rPr>
                <w:rFonts w:cstheme="minorBidi"/>
              </w:rPr>
              <w:t>Z5</w:t>
            </w:r>
          </w:p>
        </w:tc>
        <w:tc>
          <w:tcPr>
            <w:tcW w:w="4571" w:type="dxa"/>
            <w:tcBorders>
              <w:top w:val="single" w:sz="4" w:space="0" w:color="000000"/>
              <w:left w:val="single" w:sz="4" w:space="0" w:color="000000"/>
              <w:bottom w:val="single" w:sz="4" w:space="0" w:color="000000"/>
            </w:tcBorders>
            <w:tcMar>
              <w:top w:w="0" w:type="dxa"/>
              <w:left w:w="5" w:type="dxa"/>
              <w:bottom w:w="0" w:type="dxa"/>
              <w:right w:w="0" w:type="dxa"/>
            </w:tcMar>
          </w:tcPr>
          <w:p w:rsidR="006F2D53" w:rsidRDefault="00F3682B">
            <w:pPr>
              <w:pStyle w:val="Teclotextu"/>
              <w:ind w:left="165"/>
              <w:rPr>
                <w:rFonts w:cstheme="minorBidi"/>
                <w:bCs/>
              </w:rPr>
            </w:pPr>
            <w:r>
              <w:rPr>
                <w:rFonts w:cstheme="minorBidi"/>
                <w:bCs/>
              </w:rPr>
              <w:t xml:space="preserve">Přístup na </w:t>
            </w:r>
            <w:proofErr w:type="spellStart"/>
            <w:r>
              <w:rPr>
                <w:rFonts w:cstheme="minorBidi"/>
                <w:bCs/>
              </w:rPr>
              <w:t>HelpDesk</w:t>
            </w:r>
            <w:proofErr w:type="spellEnd"/>
          </w:p>
        </w:tc>
        <w:tc>
          <w:tcPr>
            <w:tcW w:w="409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Teclotextu"/>
              <w:ind w:left="225"/>
              <w:rPr>
                <w:rFonts w:cstheme="minorBidi"/>
                <w:bCs/>
              </w:rPr>
            </w:pPr>
            <w:r>
              <w:rPr>
                <w:rFonts w:cstheme="minorBidi"/>
                <w:bCs/>
              </w:rPr>
              <w:t>Režim 24x7 v ceně paušálu</w:t>
            </w:r>
          </w:p>
        </w:tc>
      </w:tr>
    </w:tbl>
    <w:p w:rsidR="006F2D53" w:rsidRDefault="00F3682B">
      <w:pPr>
        <w:pStyle w:val="Nadpis3"/>
        <w:rPr>
          <w:rFonts w:cstheme="minorBidi"/>
          <w:bCs w:val="0"/>
          <w:szCs w:val="24"/>
        </w:rPr>
      </w:pPr>
      <w:r>
        <w:rPr>
          <w:rFonts w:ascii="Times New Roman" w:hAnsi="Times New Roman" w:cs="Times New Roman"/>
          <w:bCs w:val="0"/>
          <w:szCs w:val="24"/>
        </w:rPr>
        <w:t xml:space="preserve">3.1.1 </w:t>
      </w:r>
      <w:bookmarkStart w:id="9" w:name="_Ref158118017"/>
      <w:bookmarkEnd w:id="9"/>
      <w:r>
        <w:rPr>
          <w:rFonts w:ascii="Times New Roman" w:hAnsi="Times New Roman" w:cs="Times New Roman"/>
          <w:bCs w:val="0"/>
          <w:szCs w:val="24"/>
        </w:rPr>
        <w:t>Udržení IS/STAG v chodu</w:t>
      </w:r>
    </w:p>
    <w:p w:rsidR="006F2D53" w:rsidRDefault="00F3682B">
      <w:pPr>
        <w:pStyle w:val="Teclotextu"/>
        <w:jc w:val="both"/>
        <w:rPr>
          <w:rFonts w:cstheme="minorBidi"/>
        </w:rPr>
      </w:pPr>
      <w:r>
        <w:t>V ceně paušálu služeb je zahrnuto:</w:t>
      </w:r>
    </w:p>
    <w:p w:rsidR="006F2D53" w:rsidRDefault="00F3682B">
      <w:pPr>
        <w:pStyle w:val="Zakladnitextcislovany2"/>
        <w:numPr>
          <w:ilvl w:val="0"/>
          <w:numId w:val="3"/>
        </w:numPr>
        <w:jc w:val="both"/>
        <w:rPr>
          <w:rFonts w:cstheme="minorBidi"/>
        </w:rPr>
      </w:pPr>
      <w:r>
        <w:rPr>
          <w:rFonts w:cstheme="minorBidi"/>
        </w:rPr>
        <w:t>pohotovostní režim 5x8 (běžný pracovní týden a běžné pracovní hodiny Poskytovatele, tj. Po-Pá v době od 8:00 do 16:00 hod.)</w:t>
      </w:r>
    </w:p>
    <w:p w:rsidR="006F2D53" w:rsidRDefault="00F3682B">
      <w:pPr>
        <w:pStyle w:val="Zakladnitextcislovany2"/>
        <w:numPr>
          <w:ilvl w:val="0"/>
          <w:numId w:val="3"/>
        </w:numPr>
        <w:jc w:val="both"/>
        <w:rPr>
          <w:rFonts w:cstheme="minorBidi"/>
        </w:rPr>
      </w:pPr>
      <w:r>
        <w:rPr>
          <w:rFonts w:cstheme="minorBidi"/>
        </w:rPr>
        <w:t>standardní reakční doba a doba pro vyřešení chyby (dle klasifikace priorit – viz tabulka)</w:t>
      </w:r>
    </w:p>
    <w:p w:rsidR="006F2D53" w:rsidRDefault="006F2D53">
      <w:pPr>
        <w:pStyle w:val="Zakladnitextcislovany2"/>
        <w:ind w:left="1296" w:hanging="1296"/>
        <w:rPr>
          <w:rFonts w:cstheme="minorBidi"/>
        </w:rPr>
      </w:pPr>
    </w:p>
    <w:tbl>
      <w:tblPr>
        <w:tblW w:w="8765" w:type="dxa"/>
        <w:tblInd w:w="108" w:type="dxa"/>
        <w:tblLayout w:type="fixed"/>
        <w:tblCellMar>
          <w:top w:w="113" w:type="dxa"/>
          <w:left w:w="113" w:type="dxa"/>
          <w:bottom w:w="113" w:type="dxa"/>
          <w:right w:w="113" w:type="dxa"/>
        </w:tblCellMar>
        <w:tblLook w:val="0000" w:firstRow="0" w:lastRow="0" w:firstColumn="0" w:lastColumn="0" w:noHBand="0" w:noVBand="0"/>
      </w:tblPr>
      <w:tblGrid>
        <w:gridCol w:w="2498"/>
        <w:gridCol w:w="3130"/>
        <w:gridCol w:w="3137"/>
      </w:tblGrid>
      <w:tr w:rsidR="006F2D53">
        <w:trPr>
          <w:trHeight w:val="315"/>
        </w:trPr>
        <w:tc>
          <w:tcPr>
            <w:tcW w:w="2498" w:type="dxa"/>
            <w:tcBorders>
              <w:top w:val="single" w:sz="4" w:space="0" w:color="000000"/>
              <w:left w:val="single" w:sz="4" w:space="0" w:color="000000"/>
              <w:bottom w:val="single" w:sz="4" w:space="0" w:color="000000"/>
            </w:tcBorders>
            <w:shd w:val="clear" w:color="auto" w:fill="C0C0C0"/>
          </w:tcPr>
          <w:p w:rsidR="006F2D53" w:rsidRDefault="00F3682B">
            <w:pPr>
              <w:rPr>
                <w:rFonts w:cstheme="minorBidi"/>
              </w:rPr>
            </w:pPr>
            <w:r>
              <w:rPr>
                <w:rFonts w:cstheme="minorBidi"/>
                <w:b/>
                <w:bCs/>
              </w:rPr>
              <w:t>Priorita Incidentu</w:t>
            </w:r>
          </w:p>
        </w:tc>
        <w:tc>
          <w:tcPr>
            <w:tcW w:w="3130" w:type="dxa"/>
            <w:tcBorders>
              <w:top w:val="single" w:sz="4" w:space="0" w:color="000000"/>
              <w:left w:val="single" w:sz="4" w:space="0" w:color="000000"/>
              <w:bottom w:val="single" w:sz="4" w:space="0" w:color="000000"/>
            </w:tcBorders>
            <w:shd w:val="clear" w:color="auto" w:fill="C0C0C0"/>
            <w:tcMar>
              <w:top w:w="0" w:type="dxa"/>
              <w:left w:w="5" w:type="dxa"/>
              <w:bottom w:w="0" w:type="dxa"/>
              <w:right w:w="0" w:type="dxa"/>
            </w:tcMar>
          </w:tcPr>
          <w:p w:rsidR="006F2D53" w:rsidRDefault="00F3682B">
            <w:pPr>
              <w:ind w:left="375"/>
              <w:jc w:val="center"/>
              <w:rPr>
                <w:rFonts w:cstheme="minorBidi"/>
              </w:rPr>
            </w:pPr>
            <w:r>
              <w:rPr>
                <w:rFonts w:cstheme="minorBidi"/>
                <w:b/>
                <w:bCs/>
              </w:rPr>
              <w:t>Reakční doba (R)</w:t>
            </w:r>
          </w:p>
        </w:tc>
        <w:tc>
          <w:tcPr>
            <w:tcW w:w="3137"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0" w:type="dxa"/>
            </w:tcMar>
          </w:tcPr>
          <w:p w:rsidR="006F2D53" w:rsidRDefault="00F3682B">
            <w:pPr>
              <w:jc w:val="center"/>
              <w:rPr>
                <w:rFonts w:cstheme="minorBidi"/>
              </w:rPr>
            </w:pPr>
            <w:r>
              <w:rPr>
                <w:rFonts w:cstheme="minorBidi"/>
                <w:b/>
                <w:bCs/>
              </w:rPr>
              <w:t>Vyřešení chyby</w:t>
            </w:r>
          </w:p>
        </w:tc>
      </w:tr>
      <w:tr w:rsidR="006F2D53">
        <w:trPr>
          <w:trHeight w:val="227"/>
        </w:trPr>
        <w:tc>
          <w:tcPr>
            <w:tcW w:w="2498"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Kritická</w:t>
            </w:r>
          </w:p>
        </w:tc>
        <w:tc>
          <w:tcPr>
            <w:tcW w:w="3130" w:type="dxa"/>
            <w:tcBorders>
              <w:left w:val="single" w:sz="4" w:space="0" w:color="000000"/>
              <w:bottom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6 pracovních hodin</w:t>
            </w:r>
          </w:p>
        </w:tc>
        <w:tc>
          <w:tcPr>
            <w:tcW w:w="3137"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 xml:space="preserve">R + 5 </w:t>
            </w:r>
            <w:proofErr w:type="spellStart"/>
            <w:r>
              <w:t>prac</w:t>
            </w:r>
            <w:proofErr w:type="spellEnd"/>
            <w:r>
              <w:t>. dnů.</w:t>
            </w:r>
          </w:p>
        </w:tc>
      </w:tr>
      <w:tr w:rsidR="006F2D53">
        <w:trPr>
          <w:trHeight w:val="227"/>
        </w:trPr>
        <w:tc>
          <w:tcPr>
            <w:tcW w:w="2498"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Závažná</w:t>
            </w:r>
          </w:p>
        </w:tc>
        <w:tc>
          <w:tcPr>
            <w:tcW w:w="3130" w:type="dxa"/>
            <w:tcBorders>
              <w:left w:val="single" w:sz="4" w:space="0" w:color="000000"/>
              <w:bottom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12 pracovních hodin</w:t>
            </w:r>
          </w:p>
        </w:tc>
        <w:tc>
          <w:tcPr>
            <w:tcW w:w="3137"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 xml:space="preserve">R + 7 </w:t>
            </w:r>
            <w:proofErr w:type="spellStart"/>
            <w:r>
              <w:t>prac</w:t>
            </w:r>
            <w:proofErr w:type="spellEnd"/>
            <w:r>
              <w:t>. d</w:t>
            </w:r>
            <w:r>
              <w:rPr>
                <w:rFonts w:cstheme="minorBidi"/>
              </w:rPr>
              <w:t>nů</w:t>
            </w:r>
          </w:p>
        </w:tc>
      </w:tr>
      <w:tr w:rsidR="006F2D53">
        <w:trPr>
          <w:trHeight w:val="227"/>
        </w:trPr>
        <w:tc>
          <w:tcPr>
            <w:tcW w:w="2498" w:type="dxa"/>
            <w:tcBorders>
              <w:top w:val="single" w:sz="4" w:space="0" w:color="000000"/>
              <w:left w:val="single" w:sz="4" w:space="0" w:color="000000"/>
              <w:bottom w:val="single" w:sz="4" w:space="0" w:color="000000"/>
            </w:tcBorders>
          </w:tcPr>
          <w:p w:rsidR="006F2D53" w:rsidRDefault="00F3682B">
            <w:pPr>
              <w:pStyle w:val="Zakladnitextcislovany2"/>
              <w:spacing w:after="0"/>
              <w:ind w:left="-8" w:right="-8"/>
              <w:rPr>
                <w:rFonts w:cstheme="minorBidi"/>
              </w:rPr>
            </w:pPr>
            <w:r>
              <w:t>Drobná</w:t>
            </w:r>
          </w:p>
        </w:tc>
        <w:tc>
          <w:tcPr>
            <w:tcW w:w="3130" w:type="dxa"/>
            <w:tcBorders>
              <w:top w:val="single" w:sz="4" w:space="0" w:color="000000"/>
              <w:left w:val="single" w:sz="4" w:space="0" w:color="000000"/>
              <w:bottom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3 pracovní dny</w:t>
            </w:r>
          </w:p>
        </w:tc>
        <w:tc>
          <w:tcPr>
            <w:tcW w:w="3137" w:type="dxa"/>
            <w:tcBorders>
              <w:left w:val="single" w:sz="4" w:space="0" w:color="000000"/>
              <w:bottom w:val="single" w:sz="4" w:space="0" w:color="000000"/>
              <w:right w:val="single" w:sz="4" w:space="0" w:color="000000"/>
            </w:tcBorders>
            <w:tcMar>
              <w:top w:w="0" w:type="dxa"/>
              <w:left w:w="5" w:type="dxa"/>
              <w:bottom w:w="0" w:type="dxa"/>
              <w:right w:w="0" w:type="dxa"/>
            </w:tcMar>
          </w:tcPr>
          <w:p w:rsidR="006F2D53" w:rsidRDefault="00F3682B">
            <w:pPr>
              <w:pStyle w:val="Zakladnitextcislovany2"/>
              <w:spacing w:after="0"/>
              <w:ind w:left="-135"/>
              <w:jc w:val="center"/>
              <w:rPr>
                <w:rFonts w:cstheme="minorBidi"/>
              </w:rPr>
            </w:pPr>
            <w:r>
              <w:t xml:space="preserve">R + 15 </w:t>
            </w:r>
            <w:proofErr w:type="spellStart"/>
            <w:r>
              <w:t>prac</w:t>
            </w:r>
            <w:proofErr w:type="spellEnd"/>
            <w:r>
              <w:t>. d</w:t>
            </w:r>
            <w:r>
              <w:rPr>
                <w:rFonts w:cstheme="minorBidi"/>
              </w:rPr>
              <w:t>nů</w:t>
            </w:r>
          </w:p>
        </w:tc>
      </w:tr>
    </w:tbl>
    <w:p w:rsidR="006F2D53" w:rsidRDefault="006F2D53">
      <w:pPr>
        <w:pStyle w:val="Teclotextu"/>
      </w:pPr>
    </w:p>
    <w:p w:rsidR="006F2D53" w:rsidRDefault="00F3682B">
      <w:pPr>
        <w:pStyle w:val="Teclotextu"/>
        <w:jc w:val="both"/>
        <w:rPr>
          <w:rFonts w:cstheme="minorBidi"/>
        </w:rPr>
      </w:pPr>
      <w:r>
        <w:t xml:space="preserve">V ceně paušálu služeb není zahrnuta pohotovost a připravenost pro zásahy mimo pracovní dny a pracovní hodiny Poskytovatele. Poskytovatel pro tyto případy garantuje vyčlenění kapacit pro </w:t>
      </w:r>
      <w:r>
        <w:lastRenderedPageBreak/>
        <w:t>podporu a přednostní řešení problému. Pohotovost je držena po předchozí domluvě, nejvýše dvakrát ročně, každá pohotovost v délce maximálně 5 kalendářních dnů. Vlastní práce se hradí zvlášť dle ceníku uvedeného v odst. 4.2 této smlouvy.</w:t>
      </w:r>
      <w:r>
        <w:rPr>
          <w:rFonts w:cstheme="minorBidi"/>
        </w:rPr>
        <w:t xml:space="preserve"> </w:t>
      </w:r>
    </w:p>
    <w:p w:rsidR="006F2D53" w:rsidRDefault="00F3682B">
      <w:pPr>
        <w:pStyle w:val="Nadpis3"/>
        <w:rPr>
          <w:rFonts w:cstheme="minorBidi"/>
          <w:bCs w:val="0"/>
          <w:szCs w:val="24"/>
        </w:rPr>
      </w:pPr>
      <w:r>
        <w:rPr>
          <w:rFonts w:ascii="Times New Roman" w:hAnsi="Times New Roman" w:cs="Times New Roman"/>
          <w:bCs w:val="0"/>
          <w:szCs w:val="24"/>
        </w:rPr>
        <w:t>3.1.2 M</w:t>
      </w:r>
      <w:bookmarkStart w:id="10" w:name="_Ref158118025"/>
      <w:r>
        <w:rPr>
          <w:rFonts w:ascii="Times New Roman" w:hAnsi="Times New Roman" w:cs="Times New Roman"/>
          <w:bCs w:val="0"/>
          <w:szCs w:val="24"/>
        </w:rPr>
        <w:t>onitoring</w:t>
      </w:r>
      <w:bookmarkEnd w:id="10"/>
      <w:r>
        <w:rPr>
          <w:rFonts w:ascii="Times New Roman" w:hAnsi="Times New Roman" w:cs="Times New Roman"/>
          <w:bCs w:val="0"/>
          <w:szCs w:val="24"/>
        </w:rPr>
        <w:t xml:space="preserve"> a profylaxe</w:t>
      </w:r>
    </w:p>
    <w:p w:rsidR="006F2D53" w:rsidRDefault="00F3682B">
      <w:pPr>
        <w:pStyle w:val="Teclotextu"/>
        <w:jc w:val="both"/>
        <w:rPr>
          <w:rFonts w:cstheme="minorBidi"/>
        </w:rPr>
      </w:pPr>
      <w:r>
        <w:t>Poskytovatel bude provádět pravidelné sledování chodu IS/STAG a související infrastruktury v rutinním provozu a další činnosti pro Uživatele za účelem:</w:t>
      </w:r>
    </w:p>
    <w:p w:rsidR="006F2D53" w:rsidRDefault="00F3682B">
      <w:pPr>
        <w:pStyle w:val="Zakladnitextcislovany2"/>
        <w:numPr>
          <w:ilvl w:val="0"/>
          <w:numId w:val="2"/>
        </w:numPr>
        <w:jc w:val="both"/>
        <w:rPr>
          <w:rFonts w:cstheme="minorBidi"/>
        </w:rPr>
      </w:pPr>
      <w:r>
        <w:rPr>
          <w:rFonts w:cstheme="minorBidi"/>
        </w:rPr>
        <w:t>predikce provozních problémů;</w:t>
      </w:r>
    </w:p>
    <w:p w:rsidR="006F2D53" w:rsidRDefault="00F3682B">
      <w:pPr>
        <w:pStyle w:val="Zakladnitextcislovany2"/>
        <w:numPr>
          <w:ilvl w:val="0"/>
          <w:numId w:val="2"/>
        </w:numPr>
        <w:jc w:val="both"/>
        <w:rPr>
          <w:rFonts w:cstheme="minorBidi"/>
        </w:rPr>
      </w:pPr>
      <w:r>
        <w:rPr>
          <w:rFonts w:cstheme="minorBidi"/>
        </w:rPr>
        <w:t>operativní optimalizace aplikace;</w:t>
      </w:r>
    </w:p>
    <w:p w:rsidR="006F2D53" w:rsidRDefault="00F3682B">
      <w:pPr>
        <w:pStyle w:val="Zakladnitextcislovany2"/>
        <w:numPr>
          <w:ilvl w:val="0"/>
          <w:numId w:val="2"/>
        </w:numPr>
        <w:jc w:val="both"/>
        <w:rPr>
          <w:rFonts w:cstheme="minorBidi"/>
        </w:rPr>
      </w:pPr>
      <w:r>
        <w:rPr>
          <w:rFonts w:cstheme="minorBidi"/>
        </w:rPr>
        <w:t>doporučení pro hardware a software třetích stran.</w:t>
      </w:r>
    </w:p>
    <w:p w:rsidR="006F2D53" w:rsidRDefault="00F3682B">
      <w:pPr>
        <w:pStyle w:val="Nadpis3"/>
        <w:rPr>
          <w:rFonts w:cstheme="minorBidi"/>
          <w:bCs w:val="0"/>
          <w:szCs w:val="24"/>
        </w:rPr>
      </w:pPr>
      <w:r>
        <w:rPr>
          <w:rFonts w:ascii="Times New Roman" w:hAnsi="Times New Roman" w:cs="Times New Roman"/>
          <w:bCs w:val="0"/>
          <w:szCs w:val="24"/>
        </w:rPr>
        <w:t>3.1.3 Aktualizace</w:t>
      </w:r>
      <w:bookmarkStart w:id="11" w:name="_Ref53280516"/>
      <w:bookmarkEnd w:id="11"/>
      <w:r>
        <w:rPr>
          <w:rFonts w:ascii="Times New Roman" w:hAnsi="Times New Roman" w:cs="Times New Roman"/>
          <w:bCs w:val="0"/>
          <w:szCs w:val="24"/>
        </w:rPr>
        <w:t xml:space="preserve"> produktu</w:t>
      </w:r>
    </w:p>
    <w:p w:rsidR="006F2D53" w:rsidRDefault="00F3682B">
      <w:pPr>
        <w:pStyle w:val="Teclotextu"/>
        <w:jc w:val="both"/>
        <w:rPr>
          <w:rFonts w:cstheme="minorBidi"/>
        </w:rPr>
      </w:pPr>
      <w:r>
        <w:rPr>
          <w:rFonts w:cstheme="minorBidi"/>
        </w:rPr>
        <w:t>Aktualizace IS/STAG v rámci této smlouvy se vztahují na veškeré aplikace nebo jejich moduly</w:t>
      </w:r>
      <w:r>
        <w:t>, které Uživatel dle této smlouvy využívá</w:t>
      </w:r>
      <w:r>
        <w:rPr>
          <w:rFonts w:cstheme="minorBidi"/>
        </w:rPr>
        <w:t xml:space="preserve">. </w:t>
      </w:r>
    </w:p>
    <w:p w:rsidR="006F2D53" w:rsidRDefault="00F3682B">
      <w:pPr>
        <w:pStyle w:val="Teclotextu"/>
        <w:jc w:val="both"/>
        <w:rPr>
          <w:rFonts w:cstheme="minorBidi"/>
        </w:rPr>
      </w:pPr>
      <w:r>
        <w:t>Poskytovatel provádí aktualizace IS/STAG v případě:</w:t>
      </w:r>
    </w:p>
    <w:p w:rsidR="006F2D53" w:rsidRDefault="00F3682B">
      <w:pPr>
        <w:pStyle w:val="Zakladnitextcislovany2"/>
        <w:numPr>
          <w:ilvl w:val="0"/>
          <w:numId w:val="4"/>
        </w:numPr>
        <w:tabs>
          <w:tab w:val="left" w:pos="0"/>
          <w:tab w:val="left" w:pos="1296"/>
        </w:tabs>
        <w:jc w:val="both"/>
        <w:rPr>
          <w:rFonts w:cstheme="minorBidi"/>
        </w:rPr>
      </w:pPr>
      <w:r>
        <w:rPr>
          <w:rFonts w:cstheme="minorBidi"/>
        </w:rPr>
        <w:t>úprav vynucených změnou legislativy;</w:t>
      </w:r>
    </w:p>
    <w:p w:rsidR="006F2D53" w:rsidRDefault="00F3682B">
      <w:pPr>
        <w:pStyle w:val="Zakladnitextcislovany2"/>
        <w:numPr>
          <w:ilvl w:val="0"/>
          <w:numId w:val="4"/>
        </w:numPr>
        <w:tabs>
          <w:tab w:val="left" w:pos="0"/>
          <w:tab w:val="left" w:pos="1296"/>
        </w:tabs>
        <w:jc w:val="both"/>
        <w:rPr>
          <w:rFonts w:cstheme="minorBidi"/>
        </w:rPr>
      </w:pPr>
      <w:r>
        <w:rPr>
          <w:rFonts w:cstheme="minorBidi"/>
        </w:rPr>
        <w:t>opravy chyb;</w:t>
      </w:r>
    </w:p>
    <w:p w:rsidR="006F2D53" w:rsidRDefault="00F3682B">
      <w:pPr>
        <w:pStyle w:val="Zakladnitextcislovany2"/>
        <w:numPr>
          <w:ilvl w:val="0"/>
          <w:numId w:val="4"/>
        </w:numPr>
        <w:tabs>
          <w:tab w:val="left" w:pos="0"/>
          <w:tab w:val="left" w:pos="1296"/>
        </w:tabs>
        <w:jc w:val="both"/>
        <w:rPr>
          <w:rFonts w:cstheme="minorBidi"/>
        </w:rPr>
      </w:pPr>
      <w:r>
        <w:rPr>
          <w:rFonts w:cstheme="minorBidi"/>
        </w:rPr>
        <w:t>změn v jádru aplikace či podpůrných technologiích;</w:t>
      </w:r>
    </w:p>
    <w:p w:rsidR="006F2D53" w:rsidRDefault="00F3682B">
      <w:pPr>
        <w:pStyle w:val="Zakladnitextcislovany2"/>
        <w:numPr>
          <w:ilvl w:val="0"/>
          <w:numId w:val="4"/>
        </w:numPr>
        <w:tabs>
          <w:tab w:val="left" w:pos="0"/>
          <w:tab w:val="left" w:pos="1296"/>
        </w:tabs>
        <w:jc w:val="both"/>
        <w:rPr>
          <w:rFonts w:cstheme="minorBidi"/>
        </w:rPr>
      </w:pPr>
      <w:r>
        <w:rPr>
          <w:rFonts w:cstheme="minorBidi"/>
        </w:rPr>
        <w:t>optimalizačních úprav většího rozsahu.</w:t>
      </w:r>
    </w:p>
    <w:p w:rsidR="006F2D53" w:rsidRDefault="00F3682B">
      <w:pPr>
        <w:pStyle w:val="Teclotextu"/>
        <w:jc w:val="both"/>
        <w:rPr>
          <w:rFonts w:cstheme="minorBidi"/>
        </w:rPr>
      </w:pPr>
      <w:r>
        <w:rPr>
          <w:rFonts w:cstheme="minorBidi"/>
        </w:rPr>
        <w:t xml:space="preserve">Aktualizace nezahrnuje: </w:t>
      </w:r>
    </w:p>
    <w:p w:rsidR="006F2D53" w:rsidRDefault="00F3682B">
      <w:pPr>
        <w:pStyle w:val="Teclotextu"/>
        <w:numPr>
          <w:ilvl w:val="0"/>
          <w:numId w:val="14"/>
        </w:numPr>
        <w:jc w:val="both"/>
      </w:pPr>
      <w:r>
        <w:rPr>
          <w:rFonts w:cstheme="minorBidi"/>
        </w:rPr>
        <w:t>tvorbu nových modulů či rozšiřování IS/STAG na vyžádání Uživatele;</w:t>
      </w:r>
    </w:p>
    <w:p w:rsidR="006F2D53" w:rsidRDefault="00F3682B">
      <w:pPr>
        <w:pStyle w:val="Teclotextu"/>
        <w:numPr>
          <w:ilvl w:val="0"/>
          <w:numId w:val="14"/>
        </w:numPr>
        <w:jc w:val="both"/>
        <w:rPr>
          <w:rFonts w:cstheme="minorBidi"/>
        </w:rPr>
      </w:pPr>
      <w:r>
        <w:t>vývoj další funkcionality či úpravy nad rámec této služby vyžádané Uživatelem.</w:t>
      </w:r>
    </w:p>
    <w:p w:rsidR="006F2D53" w:rsidRDefault="00F3682B">
      <w:pPr>
        <w:pStyle w:val="Teclotextu"/>
        <w:jc w:val="both"/>
        <w:rPr>
          <w:rFonts w:cstheme="minorBidi"/>
        </w:rPr>
      </w:pPr>
      <w:r>
        <w:rPr>
          <w:rFonts w:cstheme="minorBidi"/>
        </w:rPr>
        <w:t xml:space="preserve">Výše uvedené činnosti (nezahrnuté do aktualizace produktu) </w:t>
      </w:r>
      <w:r>
        <w:t>jsou hrazeny dle ceníku doplňkových služeb dle čl. 4.2 této smlouvy, nebo vytvořením nové objednávky. Uživatel podpisem této smlouvy získává zajištění vývojových kapacit Poskytovatele pro tyto dodatečné práce.</w:t>
      </w:r>
    </w:p>
    <w:p w:rsidR="006F2D53" w:rsidRDefault="00F3682B">
      <w:pPr>
        <w:pStyle w:val="Nadpis3"/>
        <w:rPr>
          <w:rFonts w:ascii="Times New Roman" w:hAnsi="Times New Roman" w:cs="Times New Roman"/>
          <w:bCs w:val="0"/>
          <w:szCs w:val="24"/>
        </w:rPr>
      </w:pPr>
      <w:r>
        <w:rPr>
          <w:rFonts w:ascii="Times New Roman" w:hAnsi="Times New Roman" w:cs="Times New Roman"/>
          <w:bCs w:val="0"/>
          <w:szCs w:val="24"/>
        </w:rPr>
        <w:t xml:space="preserve">3.1.4 </w:t>
      </w:r>
      <w:bookmarkStart w:id="12" w:name="_Ref457730799"/>
      <w:bookmarkEnd w:id="12"/>
      <w:r>
        <w:rPr>
          <w:rFonts w:ascii="Times New Roman" w:hAnsi="Times New Roman" w:cs="Times New Roman"/>
          <w:bCs w:val="0"/>
          <w:szCs w:val="24"/>
        </w:rPr>
        <w:t>Konzultační, servisní a vývojové služby</w:t>
      </w:r>
    </w:p>
    <w:p w:rsidR="006F2D53" w:rsidRDefault="00F3682B">
      <w:pPr>
        <w:pStyle w:val="Teclotextu"/>
        <w:jc w:val="both"/>
        <w:rPr>
          <w:rFonts w:cstheme="minorBidi"/>
        </w:rPr>
      </w:pPr>
      <w:r>
        <w:rPr>
          <w:rFonts w:cstheme="minorBidi"/>
        </w:rPr>
        <w:t xml:space="preserve">Poskytovatel se zavazuje Uživateli poskytovat konzultační služby v telefonické, písemné formě nebo při osobní návštěvě, a to na základě doručeného požadavku (e-mailem, poštou, osobně). Požadavek musí obsahovat </w:t>
      </w:r>
    </w:p>
    <w:p w:rsidR="006F2D53" w:rsidRDefault="00F3682B">
      <w:pPr>
        <w:pStyle w:val="Seznamsodre19ekami1"/>
        <w:numPr>
          <w:ilvl w:val="0"/>
          <w:numId w:val="11"/>
        </w:numPr>
        <w:jc w:val="both"/>
        <w:rPr>
          <w:rFonts w:cstheme="minorBidi"/>
        </w:rPr>
      </w:pPr>
      <w:r>
        <w:rPr>
          <w:rFonts w:cstheme="minorBidi"/>
        </w:rPr>
        <w:t>jméno a pracoviště žadatele o konzultaci</w:t>
      </w:r>
    </w:p>
    <w:p w:rsidR="006F2D53" w:rsidRDefault="00F3682B">
      <w:pPr>
        <w:pStyle w:val="Seznamsodre19ekami1"/>
        <w:numPr>
          <w:ilvl w:val="0"/>
          <w:numId w:val="11"/>
        </w:numPr>
        <w:jc w:val="both"/>
        <w:rPr>
          <w:rFonts w:cstheme="minorBidi"/>
        </w:rPr>
      </w:pPr>
      <w:r>
        <w:rPr>
          <w:rFonts w:cstheme="minorBidi"/>
        </w:rPr>
        <w:t>téma (předmět) konzultace.</w:t>
      </w:r>
    </w:p>
    <w:p w:rsidR="006F2D53" w:rsidRDefault="006F2D53">
      <w:pPr>
        <w:pStyle w:val="Seznamsodre19ekami1"/>
        <w:jc w:val="both"/>
        <w:rPr>
          <w:rFonts w:cstheme="minorBidi"/>
        </w:rPr>
      </w:pPr>
    </w:p>
    <w:p w:rsidR="006F2D53" w:rsidRDefault="00F3682B">
      <w:pPr>
        <w:pStyle w:val="Seznamsodre19ekami1"/>
        <w:jc w:val="both"/>
        <w:rPr>
          <w:rFonts w:cstheme="minorBidi"/>
        </w:rPr>
      </w:pPr>
      <w:r>
        <w:rPr>
          <w:rFonts w:cstheme="minorBidi"/>
        </w:rPr>
        <w:t>Rozsah konzultačních služeb je vždy dopředu odsouhlasen mezi Poskytovatelem a Uživatelem a o tomto existuje písemný doklad (e-mail). Tato úroveň služeb bude poskytnuta do 10 pracovních dní od oznámení přesné specifikace o konzultační podporu formou e-mailu.</w:t>
      </w:r>
    </w:p>
    <w:p w:rsidR="006F2D53" w:rsidRDefault="006F2D53">
      <w:pPr>
        <w:pStyle w:val="Seznamsodre19ekami1"/>
        <w:jc w:val="both"/>
        <w:rPr>
          <w:rFonts w:cstheme="minorBidi"/>
        </w:rPr>
      </w:pPr>
    </w:p>
    <w:p w:rsidR="006F2D53" w:rsidRDefault="00F3682B">
      <w:pPr>
        <w:pStyle w:val="Seznamsodre19ekami1"/>
        <w:jc w:val="both"/>
        <w:rPr>
          <w:rFonts w:cstheme="minorBidi"/>
        </w:rPr>
      </w:pPr>
      <w:r>
        <w:rPr>
          <w:rFonts w:cstheme="minorBidi"/>
        </w:rPr>
        <w:t>Vývojové a servisní služby jsou prováděny dle seznamu požadavků a jejich priorit. V daném měsíci jsou provedeny ty požadavky, na které postačuje přidělená kapacita volných hodin dle služby specifikované v čl. 3.1 této smlouvy (Z4). Za zadání vývojových požadavků a určení jejich priorit zodpovídá Uživatel. Za určení časové náročnosti požadavku zodpovídá Poskytovatel.</w:t>
      </w:r>
    </w:p>
    <w:p w:rsidR="006F2D53" w:rsidRDefault="006F2D53">
      <w:pPr>
        <w:pStyle w:val="Seznamsodre19ekami1"/>
        <w:jc w:val="both"/>
        <w:rPr>
          <w:rFonts w:cstheme="minorBidi"/>
        </w:rPr>
      </w:pPr>
    </w:p>
    <w:p w:rsidR="006F2D53" w:rsidRDefault="00F3682B">
      <w:pPr>
        <w:pStyle w:val="Teclotextu"/>
        <w:jc w:val="both"/>
        <w:rPr>
          <w:rFonts w:cstheme="minorBidi"/>
        </w:rPr>
      </w:pPr>
      <w:r>
        <w:rPr>
          <w:rFonts w:cstheme="minorBidi"/>
        </w:rPr>
        <w:lastRenderedPageBreak/>
        <w:t>Další konzultační a vývojové služby nad tento rozsah jsou hrazeny zvlášť dle ceníku doplňkových služeb uvedeného v odst. 4.2 této smlouvy.</w:t>
      </w:r>
    </w:p>
    <w:p w:rsidR="006F2D53" w:rsidRDefault="00F3682B">
      <w:pPr>
        <w:pStyle w:val="Teclotextu"/>
        <w:jc w:val="both"/>
        <w:rPr>
          <w:rFonts w:cstheme="minorBidi"/>
          <w:b/>
        </w:rPr>
      </w:pPr>
      <w:r>
        <w:rPr>
          <w:rFonts w:cstheme="minorBidi"/>
          <w:b/>
        </w:rPr>
        <w:t>3.1.5 PŘÍSTUP NA HELPDESK</w:t>
      </w:r>
    </w:p>
    <w:p w:rsidR="006F2D53" w:rsidRDefault="00F3682B">
      <w:pPr>
        <w:pStyle w:val="Teclotextu"/>
        <w:jc w:val="both"/>
        <w:rPr>
          <w:rFonts w:cstheme="minorBidi"/>
        </w:rPr>
      </w:pPr>
      <w:proofErr w:type="spellStart"/>
      <w:r>
        <w:rPr>
          <w:rFonts w:cstheme="minorBidi"/>
        </w:rPr>
        <w:t>HelpDesk</w:t>
      </w:r>
      <w:proofErr w:type="spellEnd"/>
      <w:r>
        <w:rPr>
          <w:rFonts w:cstheme="minorBidi"/>
        </w:rPr>
        <w:t xml:space="preserve"> (Služba Podpory) je aplikace Poskytovatele, která slouží pro evidenci a řešení incidentů vzniklých v rámci používání produktu, jehož podpora je předmětem plnění této smlouvy. </w:t>
      </w:r>
      <w:proofErr w:type="spellStart"/>
      <w:r>
        <w:rPr>
          <w:rFonts w:cstheme="minorBidi"/>
        </w:rPr>
        <w:t>HelpDesk</w:t>
      </w:r>
      <w:proofErr w:type="spellEnd"/>
      <w:r>
        <w:rPr>
          <w:rFonts w:cstheme="minorBidi"/>
        </w:rPr>
        <w:t xml:space="preserve"> je jediným oficiálním komunikačním kanálem mezi Poskytovatelem a Uživatelem. Poskytovatel si vyhrazuje právo nereagovat na incidenty, které nejsou evidovány v </w:t>
      </w:r>
      <w:proofErr w:type="spellStart"/>
      <w:r>
        <w:rPr>
          <w:rFonts w:cstheme="minorBidi"/>
        </w:rPr>
        <w:t>HelpDesku</w:t>
      </w:r>
      <w:proofErr w:type="spellEnd"/>
      <w:r>
        <w:rPr>
          <w:rFonts w:cstheme="minorBidi"/>
        </w:rPr>
        <w:t xml:space="preserve">. Elektronický </w:t>
      </w:r>
      <w:proofErr w:type="spellStart"/>
      <w:r>
        <w:rPr>
          <w:rFonts w:cstheme="minorBidi"/>
        </w:rPr>
        <w:t>HelpDesk</w:t>
      </w:r>
      <w:proofErr w:type="spellEnd"/>
      <w:r>
        <w:rPr>
          <w:rFonts w:cstheme="minorBidi"/>
        </w:rPr>
        <w:t xml:space="preserve"> systém Poskytovatele je přístupný na adrese  </w:t>
      </w:r>
      <w:hyperlink r:id="rId11">
        <w:r>
          <w:rPr>
            <w:rStyle w:val="Hypertextovodkaz"/>
            <w:rFonts w:cstheme="minorBidi"/>
          </w:rPr>
          <w:t>https://rt.zcu.cz</w:t>
        </w:r>
      </w:hyperlink>
      <w:r>
        <w:rPr>
          <w:rFonts w:cstheme="minorBidi"/>
        </w:rPr>
        <w:t xml:space="preserve"> nebo přes e-mail stag@service.zcu.cz.</w:t>
      </w:r>
    </w:p>
    <w:p w:rsidR="006F2D53" w:rsidRDefault="00F3682B">
      <w:pPr>
        <w:pStyle w:val="Teclotextu"/>
        <w:jc w:val="both"/>
        <w:rPr>
          <w:rFonts w:cstheme="minorBidi"/>
        </w:rPr>
      </w:pPr>
      <w:r>
        <w:rPr>
          <w:rFonts w:cstheme="minorBidi"/>
        </w:rPr>
        <w:t>Přístupové údaje budou dodány na základě žádosti a doručeny Odpovědné osobě Uživatele.</w:t>
      </w:r>
    </w:p>
    <w:p w:rsidR="006F2D53" w:rsidRDefault="00F3682B">
      <w:pPr>
        <w:pStyle w:val="Nadpis2"/>
        <w:rPr>
          <w:i w:val="0"/>
        </w:rPr>
      </w:pPr>
      <w:r>
        <w:rPr>
          <w:rFonts w:cstheme="minorBidi"/>
          <w:i w:val="0"/>
          <w:sz w:val="24"/>
          <w:szCs w:val="24"/>
        </w:rPr>
        <w:t>3.1.6 Exit plán</w:t>
      </w:r>
    </w:p>
    <w:p w:rsidR="006F2D53" w:rsidRDefault="00F3682B">
      <w:pPr>
        <w:pStyle w:val="western"/>
        <w:numPr>
          <w:ilvl w:val="1"/>
          <w:numId w:val="15"/>
        </w:numPr>
        <w:tabs>
          <w:tab w:val="left" w:pos="567"/>
        </w:tabs>
        <w:spacing w:before="280" w:after="119" w:line="276" w:lineRule="auto"/>
        <w:ind w:left="567" w:hanging="567"/>
        <w:jc w:val="both"/>
        <w:rPr>
          <w:rFonts w:cstheme="minorBidi"/>
          <w:kern w:val="2"/>
        </w:rPr>
      </w:pPr>
      <w:r>
        <w:rPr>
          <w:rFonts w:cstheme="minorBidi"/>
          <w:kern w:val="2"/>
        </w:rPr>
        <w:t>Službou exitu se rozumí poskytnutí veškeré potřebné součinnosti ze strany Poskytovatele, dokumentace a informací, účastnění se jednání s Uživatelem a popřípadě třetími osobami za účelem plynulého a řádného převedení všech činností spojených s poskytováním služeb dle smlouvy (dále jen „Služba exitu“).</w:t>
      </w:r>
    </w:p>
    <w:p w:rsidR="006F2D53" w:rsidRDefault="00F3682B">
      <w:pPr>
        <w:pStyle w:val="western"/>
        <w:numPr>
          <w:ilvl w:val="1"/>
          <w:numId w:val="15"/>
        </w:numPr>
        <w:tabs>
          <w:tab w:val="left" w:pos="567"/>
        </w:tabs>
        <w:spacing w:after="119" w:line="276" w:lineRule="auto"/>
        <w:ind w:left="567" w:hanging="567"/>
        <w:jc w:val="both"/>
        <w:rPr>
          <w:rFonts w:cstheme="minorBidi"/>
          <w:kern w:val="2"/>
        </w:rPr>
      </w:pPr>
      <w:r>
        <w:rPr>
          <w:rFonts w:cstheme="minorBidi"/>
          <w:kern w:val="2"/>
        </w:rPr>
        <w:t xml:space="preserve">Cílem Služby exitu je převést veškeré činnosti, které jsou předmětem plnění dle smlouvy, umožnit převod a další užívání zpracovávaných dat, a zajištění plynulého přechodu na nové Uživatelem zvolené řešení bez omezení činností Uživatele. Služba exitu se týká převodu činností na nového dodavatele při skončení účinnosti stávající smlouvy. </w:t>
      </w:r>
    </w:p>
    <w:p w:rsidR="006F2D53" w:rsidRDefault="00F3682B">
      <w:pPr>
        <w:pStyle w:val="western"/>
        <w:numPr>
          <w:ilvl w:val="1"/>
          <w:numId w:val="15"/>
        </w:numPr>
        <w:tabs>
          <w:tab w:val="left" w:pos="567"/>
        </w:tabs>
        <w:spacing w:after="119" w:line="276" w:lineRule="auto"/>
        <w:ind w:left="567" w:hanging="567"/>
        <w:jc w:val="both"/>
        <w:rPr>
          <w:rFonts w:cstheme="minorBidi"/>
          <w:kern w:val="2"/>
        </w:rPr>
      </w:pPr>
      <w:r>
        <w:rPr>
          <w:rFonts w:cstheme="minorBidi"/>
          <w:kern w:val="2"/>
        </w:rPr>
        <w:t xml:space="preserve">Služby exitu zahrnují zejména: </w:t>
      </w:r>
    </w:p>
    <w:p w:rsidR="006F2D53" w:rsidRDefault="00F3682B">
      <w:pPr>
        <w:pStyle w:val="western"/>
        <w:numPr>
          <w:ilvl w:val="2"/>
          <w:numId w:val="16"/>
        </w:numPr>
        <w:spacing w:before="280" w:after="119" w:line="276" w:lineRule="auto"/>
        <w:ind w:left="1134" w:hanging="567"/>
        <w:jc w:val="both"/>
        <w:rPr>
          <w:rFonts w:cstheme="minorBidi"/>
          <w:kern w:val="2"/>
        </w:rPr>
      </w:pPr>
      <w:r>
        <w:rPr>
          <w:rFonts w:cstheme="minorBidi"/>
          <w:kern w:val="2"/>
        </w:rPr>
        <w:t>účast na jednáních s Uživatelem a popřípadě třetími osobami za účelem plynulého a řádného převedení všech činností spojených s poskytováním plnění dle smlouvy;</w:t>
      </w:r>
    </w:p>
    <w:p w:rsidR="006F2D53" w:rsidRDefault="00F3682B">
      <w:pPr>
        <w:pStyle w:val="western"/>
        <w:numPr>
          <w:ilvl w:val="2"/>
          <w:numId w:val="16"/>
        </w:numPr>
        <w:spacing w:after="119" w:line="276" w:lineRule="auto"/>
        <w:ind w:left="1134" w:hanging="567"/>
        <w:jc w:val="both"/>
        <w:rPr>
          <w:rFonts w:cstheme="minorBidi"/>
          <w:kern w:val="2"/>
        </w:rPr>
      </w:pPr>
      <w:r>
        <w:rPr>
          <w:rFonts w:cstheme="minorBidi"/>
          <w:kern w:val="2"/>
        </w:rPr>
        <w:t>provedení analýzy a vypracování dokumentace vymezující postup provedení Služeb exitu (dále jen „Exitový plán“);</w:t>
      </w:r>
    </w:p>
    <w:p w:rsidR="006F2D53" w:rsidRDefault="00F3682B">
      <w:pPr>
        <w:pStyle w:val="western"/>
        <w:numPr>
          <w:ilvl w:val="2"/>
          <w:numId w:val="16"/>
        </w:numPr>
        <w:tabs>
          <w:tab w:val="left" w:pos="1134"/>
        </w:tabs>
        <w:spacing w:after="119" w:line="276" w:lineRule="auto"/>
        <w:ind w:left="1134" w:hanging="567"/>
        <w:jc w:val="both"/>
        <w:rPr>
          <w:rFonts w:cstheme="minorBidi"/>
          <w:kern w:val="2"/>
        </w:rPr>
      </w:pPr>
      <w:r>
        <w:rPr>
          <w:rFonts w:cstheme="minorBidi"/>
          <w:kern w:val="2"/>
        </w:rPr>
        <w:t>poskytnutí plnění (součinnost, dokumentace, informace aj.) nezbytných k realizaci tohoto Exitového plánu za přiměřeného použití vhodných ustanovení této Přílohy, popř. smlouvy.</w:t>
      </w:r>
    </w:p>
    <w:p w:rsidR="006F2D53" w:rsidRDefault="00F3682B">
      <w:pPr>
        <w:pStyle w:val="western"/>
        <w:numPr>
          <w:ilvl w:val="1"/>
          <w:numId w:val="15"/>
        </w:numPr>
        <w:tabs>
          <w:tab w:val="left" w:pos="567"/>
        </w:tabs>
        <w:spacing w:before="280" w:after="119" w:line="276" w:lineRule="auto"/>
        <w:ind w:left="567" w:hanging="567"/>
        <w:jc w:val="both"/>
        <w:rPr>
          <w:rFonts w:cstheme="minorBidi"/>
          <w:kern w:val="2"/>
        </w:rPr>
      </w:pPr>
      <w:r>
        <w:rPr>
          <w:rFonts w:cstheme="minorBidi"/>
          <w:kern w:val="2"/>
        </w:rPr>
        <w:t xml:space="preserve">Služby exitu a vypracování Exit plánu je Uživatel oprávněn využít do uplynutí 6 měsíců od ukončení této smlouvy. Smluvní strany se dohodly, že cena za Služby exitu a vypracování Exit plánu je v rozsahu 30 člověkodní práce specialistů Poskytovatele zahrnuta do paušální ceny za poskytování služeb dle čl. 4.1 této smlouvy. Jakékoli práce nad rámec uvedeného limitu budou Poskytovatelem fakturovány zvlášť dle ceníku doplňkových služeb stanoveném v čl. 4.2 této smlouvy.  </w:t>
      </w:r>
    </w:p>
    <w:p w:rsidR="006F2D53" w:rsidRDefault="00F3682B">
      <w:pPr>
        <w:pStyle w:val="Nadpis1"/>
        <w:numPr>
          <w:ilvl w:val="0"/>
          <w:numId w:val="12"/>
        </w:numPr>
        <w:rPr>
          <w:rFonts w:cstheme="minorBidi"/>
          <w:bCs w:val="0"/>
          <w:szCs w:val="24"/>
        </w:rPr>
      </w:pPr>
      <w:r>
        <w:rPr>
          <w:rFonts w:ascii="Times New Roman" w:hAnsi="Times New Roman" w:cs="Times New Roman"/>
          <w:bCs w:val="0"/>
          <w:szCs w:val="24"/>
        </w:rPr>
        <w:t>Cena a platební podmínky</w:t>
      </w:r>
    </w:p>
    <w:p w:rsidR="006F2D53" w:rsidRDefault="00F3682B">
      <w:pPr>
        <w:pStyle w:val="Teclotextu"/>
        <w:ind w:left="705" w:hanging="705"/>
        <w:rPr>
          <w:rFonts w:cstheme="minorBidi"/>
        </w:rPr>
      </w:pPr>
      <w:r>
        <w:rPr>
          <w:rFonts w:cstheme="minorBidi"/>
        </w:rPr>
        <w:t>4.1</w:t>
      </w:r>
      <w:r>
        <w:rPr>
          <w:rFonts w:cstheme="minorBidi"/>
        </w:rPr>
        <w:tab/>
        <w:t xml:space="preserve">Smluvní strany se dohodly na této ceně za rok poskytování </w:t>
      </w:r>
      <w:r>
        <w:rPr>
          <w:rFonts w:cstheme="minorBidi"/>
          <w:b/>
        </w:rPr>
        <w:t>paušálních služeb</w:t>
      </w:r>
      <w:r>
        <w:rPr>
          <w:rFonts w:cstheme="minorBidi"/>
        </w:rPr>
        <w:t xml:space="preserve"> dle čl. 3 této smlouvy:</w:t>
      </w:r>
    </w:p>
    <w:p w:rsidR="006F2D53" w:rsidRDefault="00F3682B">
      <w:pPr>
        <w:pStyle w:val="Teclotextu"/>
        <w:spacing w:after="0"/>
        <w:ind w:firstLine="705"/>
        <w:rPr>
          <w:rFonts w:cstheme="minorBidi"/>
        </w:rPr>
      </w:pPr>
      <w:r>
        <w:rPr>
          <w:rFonts w:cstheme="minorBidi"/>
        </w:rPr>
        <w:t xml:space="preserve">Cena (bez DPH)/rok: </w:t>
      </w:r>
      <w:r>
        <w:rPr>
          <w:rFonts w:cstheme="minorBidi"/>
        </w:rPr>
        <w:tab/>
      </w:r>
      <w:r>
        <w:rPr>
          <w:rFonts w:cstheme="minorBidi"/>
        </w:rPr>
        <w:tab/>
        <w:t> </w:t>
      </w:r>
      <w:r w:rsidR="00863379" w:rsidRPr="001B2242">
        <w:rPr>
          <w:rFonts w:cstheme="minorBidi"/>
          <w:b/>
        </w:rPr>
        <w:t>955 330</w:t>
      </w:r>
      <w:r w:rsidRPr="001B2242">
        <w:rPr>
          <w:rFonts w:cstheme="minorBidi"/>
          <w:b/>
        </w:rPr>
        <w:t>,- Kč</w:t>
      </w:r>
    </w:p>
    <w:p w:rsidR="006F2D53" w:rsidRDefault="00F3682B">
      <w:pPr>
        <w:rPr>
          <w:rFonts w:cstheme="minorBidi"/>
        </w:rPr>
      </w:pPr>
      <w:r>
        <w:rPr>
          <w:rFonts w:cstheme="minorBidi"/>
        </w:rPr>
        <w:tab/>
      </w:r>
    </w:p>
    <w:p w:rsidR="006F2D53" w:rsidRDefault="00F3682B">
      <w:pPr>
        <w:ind w:left="705"/>
        <w:jc w:val="both"/>
        <w:rPr>
          <w:rFonts w:cstheme="minorBidi"/>
        </w:rPr>
      </w:pPr>
      <w:r>
        <w:rPr>
          <w:rFonts w:cstheme="minorBidi"/>
        </w:rPr>
        <w:t xml:space="preserve">Výše uvedená cena paušálních služeb vychází rovněž z aktuálního počtu studentů Uživatele a tomu odpovídajícího cenového pásma určeného dle přílohy č. 2 této smlouvy. V případě, </w:t>
      </w:r>
      <w:r>
        <w:rPr>
          <w:rFonts w:cstheme="minorBidi"/>
        </w:rPr>
        <w:lastRenderedPageBreak/>
        <w:t xml:space="preserve">že změna v počtu studentů Uživatele má za následek změnu cenového pásma dle přílohy č. 2 této smlouvy, je Uživatel o tomto povinen vždy nejpozději do 31. 12. příslušného kalendářního roku písemně informovat Poskytovatele. Poskytovatel na základě této informace od Uživatele (popř. na základě vlastního zjištění aktuálního počtu studentů a cenového pásma Uživatele) odpovídajícím způsobem upraví (zpětně k 1. lednu daného roku, za nějž se bude platit) cenu paušálních služeb v nejbližším termínu platby a tuto změnu Uživateli písemně oznámí (bez potřeby uzavření dodatku k této smlouvě dle čl. 9.5. této smlouvy). </w:t>
      </w:r>
    </w:p>
    <w:p w:rsidR="006F2D53" w:rsidRDefault="006F2D53">
      <w:pPr>
        <w:ind w:firstLine="705"/>
        <w:rPr>
          <w:rFonts w:cstheme="minorBidi"/>
        </w:rPr>
      </w:pPr>
    </w:p>
    <w:p w:rsidR="006F2D53" w:rsidRDefault="00F3682B">
      <w:pPr>
        <w:ind w:left="705" w:hanging="705"/>
        <w:rPr>
          <w:rFonts w:cstheme="minorBidi"/>
        </w:rPr>
      </w:pPr>
      <w:r>
        <w:rPr>
          <w:rFonts w:cstheme="minorBidi"/>
        </w:rPr>
        <w:t>4.2</w:t>
      </w:r>
      <w:r>
        <w:rPr>
          <w:rFonts w:cstheme="minorBidi"/>
        </w:rPr>
        <w:tab/>
        <w:t xml:space="preserve">Ceník </w:t>
      </w:r>
      <w:r>
        <w:rPr>
          <w:rFonts w:cstheme="minorBidi"/>
          <w:b/>
        </w:rPr>
        <w:t xml:space="preserve">doplňkových služeb </w:t>
      </w:r>
      <w:r>
        <w:rPr>
          <w:rFonts w:cstheme="minorBidi"/>
        </w:rPr>
        <w:t>poskytnutých na základě jednotlivých požadavků (objednávek) Uživatele:</w:t>
      </w:r>
    </w:p>
    <w:p w:rsidR="006F2D53" w:rsidRDefault="006F2D53">
      <w:pPr>
        <w:rPr>
          <w:rFonts w:cstheme="minorBidi"/>
        </w:rPr>
      </w:pPr>
    </w:p>
    <w:p w:rsidR="006F2D53" w:rsidRDefault="00F3682B">
      <w:pPr>
        <w:ind w:firstLine="709"/>
        <w:rPr>
          <w:rFonts w:cstheme="minorBidi"/>
        </w:rPr>
      </w:pPr>
      <w:r>
        <w:rPr>
          <w:b/>
          <w:bCs/>
        </w:rPr>
        <w:t>Konzultant</w:t>
      </w:r>
    </w:p>
    <w:p w:rsidR="006F2D53" w:rsidRDefault="00F3682B">
      <w:pPr>
        <w:ind w:firstLine="709"/>
      </w:pPr>
      <w:r>
        <w:rPr>
          <w:rFonts w:cstheme="minorBidi"/>
        </w:rPr>
        <w:t>Hodinová sazba (bez DPH):</w:t>
      </w:r>
      <w:r>
        <w:rPr>
          <w:rFonts w:cstheme="minorBidi"/>
        </w:rPr>
        <w:tab/>
      </w:r>
      <w:r>
        <w:t xml:space="preserve"> 1750,-</w:t>
      </w:r>
      <w:r>
        <w:rPr>
          <w:rFonts w:cstheme="minorBidi"/>
        </w:rPr>
        <w:t xml:space="preserve"> Kč</w:t>
      </w:r>
    </w:p>
    <w:p w:rsidR="006F2D53" w:rsidRDefault="006F2D53">
      <w:pPr>
        <w:ind w:firstLine="709"/>
        <w:rPr>
          <w:rFonts w:cstheme="minorBidi"/>
        </w:rPr>
      </w:pPr>
    </w:p>
    <w:p w:rsidR="006F2D53" w:rsidRDefault="00F3682B">
      <w:pPr>
        <w:ind w:firstLine="709"/>
      </w:pPr>
      <w:r>
        <w:rPr>
          <w:rFonts w:cstheme="minorBidi"/>
          <w:b/>
        </w:rPr>
        <w:t xml:space="preserve">Vývojář </w:t>
      </w:r>
    </w:p>
    <w:p w:rsidR="006F2D53" w:rsidRDefault="00F3682B">
      <w:pPr>
        <w:ind w:firstLine="709"/>
      </w:pPr>
      <w:r>
        <w:rPr>
          <w:rFonts w:cstheme="minorBidi"/>
        </w:rPr>
        <w:t>Hodinová sazba (bez DPH):</w:t>
      </w:r>
      <w:r>
        <w:rPr>
          <w:rFonts w:cstheme="minorBidi"/>
        </w:rPr>
        <w:tab/>
      </w:r>
      <w:r>
        <w:t xml:space="preserve"> 1250,-</w:t>
      </w:r>
      <w:r>
        <w:rPr>
          <w:rFonts w:cstheme="minorBidi"/>
        </w:rPr>
        <w:t xml:space="preserve"> Kč</w:t>
      </w:r>
    </w:p>
    <w:p w:rsidR="006F2D53" w:rsidRDefault="006F2D53">
      <w:pPr>
        <w:ind w:firstLine="709"/>
        <w:rPr>
          <w:rFonts w:cstheme="minorBidi"/>
          <w:b/>
        </w:rPr>
      </w:pPr>
    </w:p>
    <w:p w:rsidR="006F2D53" w:rsidRDefault="006F2D53">
      <w:pPr>
        <w:ind w:firstLine="709"/>
        <w:rPr>
          <w:rFonts w:cstheme="minorBidi"/>
        </w:rPr>
      </w:pPr>
    </w:p>
    <w:p w:rsidR="006F2D53" w:rsidRDefault="00F3682B">
      <w:pPr>
        <w:ind w:left="709" w:hanging="709"/>
        <w:jc w:val="both"/>
        <w:rPr>
          <w:rFonts w:cstheme="minorBidi"/>
          <w:bCs/>
        </w:rPr>
      </w:pPr>
      <w:r>
        <w:rPr>
          <w:rFonts w:cstheme="minorBidi"/>
          <w:bCs/>
        </w:rPr>
        <w:t>4.3</w:t>
      </w:r>
      <w:r>
        <w:rPr>
          <w:rFonts w:cstheme="minorBidi"/>
          <w:bCs/>
        </w:rPr>
        <w:tab/>
        <w:t>Sjednané ceny ve smlouvě jsou uvedeny bez daně z přidané hodnoty a daň z přidané hodnoty bude k těmto cenám účtována dle daňových předpisů platných v okamžiku uskutečnění zdanitelného plnění dle zákona č. 235/2004 Sb., o dani z přidané hodnoty, v platném znění (dále jen „ZDPH“).</w:t>
      </w:r>
    </w:p>
    <w:p w:rsidR="006F2D53" w:rsidRDefault="006F2D53">
      <w:pPr>
        <w:ind w:left="709" w:hanging="709"/>
        <w:jc w:val="both"/>
        <w:rPr>
          <w:rFonts w:cstheme="minorBidi"/>
          <w:bCs/>
        </w:rPr>
      </w:pPr>
    </w:p>
    <w:p w:rsidR="006F2D53" w:rsidRDefault="00F3682B">
      <w:pPr>
        <w:pStyle w:val="Zakladnitextcislovany2"/>
        <w:ind w:left="705" w:hanging="705"/>
        <w:jc w:val="both"/>
        <w:rPr>
          <w:rFonts w:cstheme="minorBidi"/>
        </w:rPr>
      </w:pPr>
      <w:r>
        <w:rPr>
          <w:rFonts w:cstheme="minorBidi"/>
        </w:rPr>
        <w:t>4.4</w:t>
      </w:r>
      <w:r>
        <w:rPr>
          <w:rFonts w:cstheme="minorBidi"/>
        </w:rPr>
        <w:tab/>
        <w:t>Uživatel se zavazuje hradit cenu na základě Poskytovatelem vystavených daňových dokladů (dále jen „faktur“) takto:</w:t>
      </w:r>
    </w:p>
    <w:p w:rsidR="006F2D53" w:rsidRDefault="00F3682B">
      <w:pPr>
        <w:pStyle w:val="Odstavecseseznamem"/>
        <w:numPr>
          <w:ilvl w:val="0"/>
          <w:numId w:val="5"/>
        </w:numPr>
        <w:ind w:left="1134"/>
        <w:jc w:val="both"/>
        <w:rPr>
          <w:rFonts w:cstheme="minorBidi"/>
        </w:rPr>
      </w:pPr>
      <w:r>
        <w:rPr>
          <w:rFonts w:cstheme="minorBidi"/>
        </w:rPr>
        <w:t>Cena za paušální služby podle odst. 4.1 této smlouvy bude hrazena ročně za aktuální kalendářní rok bezhotovostním převodem na účet Poskytovatele uvedený v úvodních ustanoveních této smlouvy, a to vždy se splatností do 30. 6. daného kalendářního roku.</w:t>
      </w:r>
    </w:p>
    <w:p w:rsidR="006F2D53" w:rsidRDefault="006F2D53">
      <w:pPr>
        <w:pStyle w:val="Odstavecseseznamem"/>
        <w:ind w:left="1134"/>
        <w:jc w:val="both"/>
        <w:rPr>
          <w:rFonts w:cstheme="minorBidi"/>
        </w:rPr>
      </w:pPr>
    </w:p>
    <w:p w:rsidR="006F2D53" w:rsidRDefault="00F3682B">
      <w:pPr>
        <w:pStyle w:val="Zakladnitextcislovany2"/>
        <w:widowControl/>
        <w:numPr>
          <w:ilvl w:val="0"/>
          <w:numId w:val="5"/>
        </w:numPr>
        <w:ind w:left="1134"/>
        <w:jc w:val="both"/>
        <w:rPr>
          <w:rFonts w:cstheme="minorBidi"/>
        </w:rPr>
      </w:pPr>
      <w:r>
        <w:rPr>
          <w:rFonts w:cstheme="minorBidi"/>
        </w:rPr>
        <w:t>Právo fakturovat za ostatní doplňkové služby podle odst. 4.2 této smlouvy vzniká Poskytovateli dnem převzetí řádně poskytnutých služeb odpovědným pracovníkem Uživatele. Cena za tyto služby bude hrazena bezhotovostním převodem na účet Poskytovatele uvedený v úvodních ustanoveních této smlouvy.</w:t>
      </w:r>
    </w:p>
    <w:p w:rsidR="006F2D53" w:rsidRDefault="006F2D53">
      <w:pPr>
        <w:pStyle w:val="Odstavecseseznamem"/>
        <w:rPr>
          <w:rFonts w:cstheme="minorBidi"/>
        </w:rPr>
      </w:pPr>
    </w:p>
    <w:p w:rsidR="006F2D53" w:rsidRDefault="00F3682B">
      <w:pPr>
        <w:pStyle w:val="Zakladnitextcislovany2"/>
        <w:widowControl/>
        <w:ind w:left="705" w:hanging="705"/>
        <w:jc w:val="both"/>
        <w:rPr>
          <w:rFonts w:cstheme="minorBidi"/>
        </w:rPr>
      </w:pPr>
      <w:r>
        <w:rPr>
          <w:rFonts w:cstheme="minorBidi"/>
        </w:rPr>
        <w:t>4.5</w:t>
      </w:r>
      <w:r>
        <w:rPr>
          <w:rFonts w:cstheme="minorBidi"/>
        </w:rPr>
        <w:tab/>
        <w:t>Platby provedené Uživatelem v uplynulém kalendářním roce budou Poskytovatelem při nejbližší fakturaci služeb dle čl. 4.1 této smlouvy v poměrné výši započítány.</w:t>
      </w:r>
    </w:p>
    <w:p w:rsidR="006F2D53" w:rsidRDefault="00F3682B">
      <w:pPr>
        <w:widowControl/>
        <w:ind w:left="705" w:hanging="705"/>
        <w:jc w:val="both"/>
        <w:rPr>
          <w:rFonts w:cstheme="minorBidi"/>
        </w:rPr>
      </w:pPr>
      <w:r>
        <w:rPr>
          <w:rFonts w:cstheme="minorBidi"/>
        </w:rPr>
        <w:t>4.6</w:t>
      </w:r>
      <w:r>
        <w:rPr>
          <w:rFonts w:cstheme="minorBidi"/>
        </w:rPr>
        <w:tab/>
      </w:r>
      <w:r>
        <w:rPr>
          <w:rFonts w:cstheme="minorBidi"/>
        </w:rPr>
        <w:tab/>
        <w:t>Smluvní strany se dohodly, že cena uvedená v čl. 4.1 této smlouvy bude Poskytovatelem každoročně přepočtena (zpětně od 1. ledna daného roku) v závislosti na průměrné roční míře inflace  vyhlášené Českým statistickým úřadem pro uplynulý kalendářní rok. Inflační úpravu ceny provede Poskytovatel po vyhlášení uvedené výše inflace. Poskytovatel toto navýšení oznámí písemně Uživateli a zúčtuje v nejbližším termínu platby (bez potřeby uzavření dodatku k této smlouvě dle čl. 9.5. této smlouvy).</w:t>
      </w:r>
    </w:p>
    <w:p w:rsidR="006F2D53" w:rsidRDefault="006F2D53">
      <w:pPr>
        <w:widowControl/>
        <w:ind w:left="705" w:hanging="705"/>
        <w:jc w:val="both"/>
        <w:rPr>
          <w:rFonts w:cstheme="minorBidi"/>
        </w:rPr>
      </w:pPr>
    </w:p>
    <w:p w:rsidR="006F2D53" w:rsidRDefault="00F3682B">
      <w:pPr>
        <w:widowControl/>
        <w:ind w:left="705" w:hanging="705"/>
        <w:jc w:val="both"/>
        <w:rPr>
          <w:rFonts w:cstheme="minorBidi"/>
        </w:rPr>
      </w:pPr>
      <w:r>
        <w:rPr>
          <w:rFonts w:cstheme="minorBidi"/>
        </w:rPr>
        <w:t>4.7</w:t>
      </w:r>
      <w:r>
        <w:rPr>
          <w:rFonts w:cstheme="minorBidi"/>
        </w:rPr>
        <w:tab/>
        <w:t>Poskytovatel je povinen, po vzniku práva fakturovat, vystavit a do 15 dnů doručit Uživateli fakturu za řádně poskytnuté služby. Faktura bude mít náležitosti řádného účetního a daňového dokladu ve smyslu příslušných právních předpisů, zejména ZDPH. Na faktuře bude uvedeno evidenční číslo této smlouvy zaznamenané v jejím názvu a číslo interní objednávky Uživatele.</w:t>
      </w:r>
    </w:p>
    <w:p w:rsidR="006F2D53" w:rsidRDefault="006F2D53">
      <w:pPr>
        <w:widowControl/>
        <w:ind w:left="705" w:hanging="705"/>
        <w:rPr>
          <w:rFonts w:cstheme="minorBidi"/>
        </w:rPr>
      </w:pPr>
    </w:p>
    <w:p w:rsidR="006F2D53" w:rsidRDefault="00F3682B">
      <w:pPr>
        <w:widowControl/>
        <w:ind w:left="705" w:hanging="705"/>
        <w:jc w:val="both"/>
        <w:rPr>
          <w:rFonts w:cstheme="minorBidi"/>
        </w:rPr>
      </w:pPr>
      <w:r>
        <w:rPr>
          <w:rFonts w:cstheme="minorBidi"/>
        </w:rPr>
        <w:lastRenderedPageBreak/>
        <w:t>4.8</w:t>
      </w:r>
      <w:r>
        <w:rPr>
          <w:rFonts w:cstheme="minorBidi"/>
        </w:rPr>
        <w:tab/>
        <w:t xml:space="preserve">Faktura může mít listinnou nebo elektronickou podobu. Splatnost faktury činí 30 dnů - v případě listinné podoby ode dne jejího prokazatelného doručení na adresu sídla Uživatele uvedenou v úvodních ustanoveních této smlouvy, v případě elektronické podoby ode dne jejího prokazatelného doručení na e-mailovou adresu: </w:t>
      </w:r>
      <w:r w:rsidR="00863379" w:rsidRPr="001B2242">
        <w:rPr>
          <w:rFonts w:cstheme="minorBidi"/>
        </w:rPr>
        <w:t>pavel.polacek@ujep.cz</w:t>
      </w:r>
      <w:r>
        <w:rPr>
          <w:rFonts w:cstheme="minorBidi"/>
        </w:rPr>
        <w:t>. Uživatel tímto souhlasí s elektronickou formou fakturace a zavazuje se neprodleně informovat Poskytovatele o jakékoliv změně e-mailové adresy pro zasílání faktur a dále se zavazuje, že zajistí řádnou funkčnost uvedené e-mailové adresy po dobu trvání této smlouvy. Jestliže bude z okolnosti zřejmé, že fakturu nelze na uvedenou e-mailovou adresu doručit, např. se zpráva vrátí jako nedoručitelná, bude neprodleně na adresu sídla Uživatele uvedenou v úvodních ustanoveních této smlouvy zaslána faktura v listinné podobě, přičemž však bude faktura splatná v termínu, jako by byla úspěšně doručena prostřednictvím e-mailu.</w:t>
      </w:r>
    </w:p>
    <w:p w:rsidR="006F2D53" w:rsidRDefault="006F2D53">
      <w:pPr>
        <w:widowControl/>
        <w:rPr>
          <w:rFonts w:cstheme="minorBidi"/>
        </w:rPr>
      </w:pPr>
    </w:p>
    <w:p w:rsidR="006F2D53" w:rsidRDefault="00F3682B">
      <w:pPr>
        <w:widowControl/>
        <w:ind w:left="705" w:hanging="705"/>
        <w:jc w:val="both"/>
        <w:rPr>
          <w:rFonts w:cstheme="minorBidi"/>
        </w:rPr>
      </w:pPr>
      <w:r>
        <w:rPr>
          <w:rFonts w:cstheme="minorBidi"/>
        </w:rPr>
        <w:t>4.9</w:t>
      </w:r>
      <w:r>
        <w:rPr>
          <w:rFonts w:cstheme="minorBidi"/>
        </w:rPr>
        <w:tab/>
        <w:t>V případě, že faktura bude obsahovat nesprávné nebo neúplné údaje nebo k ní nebudou přiloženy požadované doklady, je Uživatel oprávněn vrátit ji do data její splatnosti Poskytovateli, aniž se tak dostane do prodlení se splatností. Poskytovatel vrácenou fakturu opraví, eventuálně vyhotoví novou, bezvadnou. V takovém případě běží Uživateli nová doba splatnosti ode dne doručení opravené nebo nové faktury.</w:t>
      </w:r>
    </w:p>
    <w:p w:rsidR="006F2D53" w:rsidRDefault="006F2D53">
      <w:pPr>
        <w:widowControl/>
        <w:rPr>
          <w:rFonts w:cstheme="minorBidi"/>
        </w:rPr>
      </w:pPr>
    </w:p>
    <w:p w:rsidR="006F2D53" w:rsidRDefault="00F3682B">
      <w:pPr>
        <w:ind w:left="709" w:hanging="709"/>
        <w:jc w:val="both"/>
        <w:rPr>
          <w:rFonts w:cstheme="minorBidi"/>
        </w:rPr>
      </w:pPr>
      <w:r>
        <w:rPr>
          <w:rFonts w:cstheme="minorBidi"/>
        </w:rPr>
        <w:t>4.10</w:t>
      </w:r>
      <w:r>
        <w:rPr>
          <w:rFonts w:cstheme="minorBidi"/>
        </w:rPr>
        <w:tab/>
        <w:t>Smluvní strany se dohodly, že nastane-li v souvislosti s Poskytovatelem jakákoliv skutečnost, v jejímž důsledku se může vůči Uživateli uplatnit ručení za daň odváděnou Poskytovatelem ve smyslu ZDPH, je Uživatel oprávněn nezaplatit Poskytovateli vyúčtovanou DPH a odvést ji přímo správci daně a Uživatel je rovněž oprávněn odstoupit od této smlouvy.</w:t>
      </w:r>
      <w:bookmarkStart w:id="13" w:name="move851072771"/>
      <w:bookmarkEnd w:id="13"/>
    </w:p>
    <w:p w:rsidR="006F2D53" w:rsidRDefault="00F3682B">
      <w:pPr>
        <w:pStyle w:val="Nadpis1"/>
        <w:numPr>
          <w:ilvl w:val="0"/>
          <w:numId w:val="12"/>
        </w:numPr>
        <w:rPr>
          <w:rFonts w:cstheme="minorBidi"/>
          <w:bCs w:val="0"/>
          <w:szCs w:val="24"/>
        </w:rPr>
      </w:pPr>
      <w:r>
        <w:rPr>
          <w:rFonts w:ascii="Times New Roman" w:hAnsi="Times New Roman" w:cs="Times New Roman"/>
          <w:bCs w:val="0"/>
          <w:szCs w:val="24"/>
        </w:rPr>
        <w:t>Sankce</w:t>
      </w:r>
    </w:p>
    <w:p w:rsidR="006F2D53" w:rsidRDefault="00F3682B">
      <w:pPr>
        <w:pStyle w:val="Zakladnitextcislovany2"/>
        <w:numPr>
          <w:ilvl w:val="1"/>
          <w:numId w:val="6"/>
        </w:numPr>
        <w:ind w:left="567" w:hanging="567"/>
        <w:jc w:val="both"/>
        <w:rPr>
          <w:rFonts w:cstheme="minorBidi"/>
        </w:rPr>
      </w:pPr>
      <w:r>
        <w:t>V případě prodlení Poskytovatele se zahájením opravy (resp. nedodržení standardní reakční doby u incidentů odpovídající klasifikaci incidentu) ve sjednané době dle čl. 3.1.1 této smlouvy, je Uživatel oprávněn požadovat po Poskytovateli smluvní pokutu:</w:t>
      </w:r>
    </w:p>
    <w:p w:rsidR="006F2D53" w:rsidRDefault="00F3682B">
      <w:pPr>
        <w:pStyle w:val="Zakladnitextcislovany2"/>
        <w:numPr>
          <w:ilvl w:val="0"/>
          <w:numId w:val="18"/>
        </w:numPr>
        <w:ind w:left="1134" w:hanging="567"/>
        <w:jc w:val="both"/>
        <w:rPr>
          <w:rFonts w:cstheme="minorBidi"/>
        </w:rPr>
      </w:pPr>
      <w:r>
        <w:t>v případě prodlení u reakční doby incidentů o prioritě „Kritická“ a „Závažná“ činí smluvní pokuta 125,- Kč za každou i započatou pracovní hodinu prodlení;</w:t>
      </w:r>
    </w:p>
    <w:p w:rsidR="006F2D53" w:rsidRDefault="00F3682B">
      <w:pPr>
        <w:pStyle w:val="Zakladnitextcislovany2"/>
        <w:numPr>
          <w:ilvl w:val="0"/>
          <w:numId w:val="18"/>
        </w:numPr>
        <w:ind w:left="1134" w:hanging="567"/>
        <w:jc w:val="both"/>
        <w:rPr>
          <w:rFonts w:cstheme="minorBidi"/>
        </w:rPr>
      </w:pPr>
      <w:r>
        <w:t>v případě prodlení u reakční doby incidentů o prioritě „Drobná“ činí smluvní pokuta 1.000,- Kč za každý i započatý pracovní den prodlení.</w:t>
      </w:r>
    </w:p>
    <w:p w:rsidR="006F2D53" w:rsidRDefault="00F3682B">
      <w:pPr>
        <w:pStyle w:val="Zakladnitextcislovany2"/>
        <w:numPr>
          <w:ilvl w:val="1"/>
          <w:numId w:val="6"/>
        </w:numPr>
        <w:ind w:left="567" w:hanging="567"/>
        <w:jc w:val="both"/>
        <w:rPr>
          <w:rFonts w:cstheme="minorBidi"/>
        </w:rPr>
      </w:pPr>
      <w:r>
        <w:t>V případě prodlení Poskytovatele s vyřešením chyby ve sjednané době dle čl. 3.1.1 této smlouvy, je Uživatel oprávněn požadovat po Poskytovateli smluvní pokutu ve výši 1.000,- Kč za každý i započatý pracovní den prodlení.</w:t>
      </w:r>
    </w:p>
    <w:p w:rsidR="006F2D53" w:rsidRDefault="00F3682B">
      <w:pPr>
        <w:pStyle w:val="Zakladnitextcislovany2"/>
        <w:numPr>
          <w:ilvl w:val="1"/>
          <w:numId w:val="6"/>
        </w:numPr>
        <w:ind w:left="567" w:hanging="567"/>
        <w:jc w:val="both"/>
        <w:rPr>
          <w:rFonts w:cstheme="minorBidi"/>
        </w:rPr>
      </w:pPr>
      <w:r>
        <w:t>Poruší-li Poskytovatel povinnost mlčenlivosti definovanou v odst. 9.8 této smlouvy, je povinen uhradit Uživateli za každé jednotlivé porušení této povinnosti smluvní pokutu ve výši 10.000,-Kč.</w:t>
      </w:r>
    </w:p>
    <w:p w:rsidR="006F2D53" w:rsidRDefault="00F3682B">
      <w:pPr>
        <w:pStyle w:val="Zakladnitextcislovany2"/>
        <w:numPr>
          <w:ilvl w:val="1"/>
          <w:numId w:val="6"/>
        </w:numPr>
        <w:ind w:left="567" w:hanging="567"/>
        <w:jc w:val="both"/>
        <w:rPr>
          <w:rFonts w:cstheme="minorBidi"/>
        </w:rPr>
      </w:pPr>
      <w:r>
        <w:t>Pokud Uživatel pro vadu technického nebo provozního charakteru na straně Poskytovatele mohl využít služby jen částečně, anebo je nebylo možno využít vůbec, anebo s nižší úrovní kvality než byla sjednána touto smlouvou, je Poskytovatel povinen zajistit odstranění vady a přiměřeně snížit cenu nebo po dohodě s Uživatelem zajistit poskytnutí služby náhradním způsobem.</w:t>
      </w:r>
    </w:p>
    <w:p w:rsidR="006F2D53" w:rsidRDefault="00F3682B">
      <w:pPr>
        <w:pStyle w:val="Zakladnitextcislovany2"/>
        <w:numPr>
          <w:ilvl w:val="1"/>
          <w:numId w:val="6"/>
        </w:numPr>
        <w:ind w:left="567" w:hanging="567"/>
        <w:jc w:val="both"/>
        <w:rPr>
          <w:rFonts w:cstheme="minorBidi"/>
        </w:rPr>
      </w:pPr>
      <w:r>
        <w:t>V případě nedodržení termínu splatnosti faktury vystavené Poskytovatelem, je Poskytovatel oprávněn požadovat po Uživateli úrok z prodlení v zákonné výši z dlužné částky za každý i započatý den prodlení s úhradou faktury.</w:t>
      </w:r>
    </w:p>
    <w:p w:rsidR="006F2D53" w:rsidRDefault="00F3682B">
      <w:pPr>
        <w:pStyle w:val="Zakladnitextcislovany2"/>
        <w:numPr>
          <w:ilvl w:val="1"/>
          <w:numId w:val="6"/>
        </w:numPr>
        <w:ind w:left="567" w:hanging="567"/>
        <w:jc w:val="both"/>
        <w:rPr>
          <w:rFonts w:cstheme="minorBidi"/>
        </w:rPr>
      </w:pPr>
      <w:r>
        <w:t>Smluvní pokuta a úrok z prodlení jsou splatné do 30 dnů ode dne doručení písemného oznámení o jejich uplatnění.</w:t>
      </w:r>
    </w:p>
    <w:p w:rsidR="006F2D53" w:rsidRDefault="00F3682B">
      <w:pPr>
        <w:pStyle w:val="Zakladnitextcislovany2"/>
        <w:numPr>
          <w:ilvl w:val="1"/>
          <w:numId w:val="6"/>
        </w:numPr>
        <w:ind w:left="567" w:hanging="567"/>
        <w:jc w:val="both"/>
        <w:rPr>
          <w:rFonts w:cstheme="minorBidi"/>
        </w:rPr>
      </w:pPr>
      <w:r>
        <w:lastRenderedPageBreak/>
        <w:t>Smluvní strany se dohodly, že zaplacením smluvní pokuty není dotčeno právo na náhradu vzniklé majetkové či nemajetkové újmy v plné výši, a to tedy i ve výši přesahující vyúčtovanou, resp. uhrazenou smluvní pokutu, a rovněž není dotčeno plnit řádně povinnosti vyplývající z této smlouvy.</w:t>
      </w:r>
    </w:p>
    <w:p w:rsidR="006F2D53" w:rsidRDefault="00F3682B">
      <w:pPr>
        <w:pStyle w:val="Zakladnitextcislovany2"/>
        <w:numPr>
          <w:ilvl w:val="1"/>
          <w:numId w:val="6"/>
        </w:numPr>
        <w:ind w:left="567" w:hanging="567"/>
        <w:jc w:val="both"/>
        <w:rPr>
          <w:rFonts w:cstheme="minorBidi"/>
        </w:rPr>
      </w:pPr>
      <w:r>
        <w:t>Smluvní pokutu je Uživatel oprávněn započíst proti částce fakturované Poskytovatelem s tím, že odpovědný pracovník Uživatele bude o případné výši smluvní pokuty informovat elektronicky kontaktní osobu Poskytovatele. Poskytovatel podpisem této smlouvy uděluje k takovému postupu souhlas.</w:t>
      </w:r>
    </w:p>
    <w:p w:rsidR="006F2D53" w:rsidRDefault="00F3682B">
      <w:pPr>
        <w:pStyle w:val="Zakladnitextcislovany2"/>
        <w:numPr>
          <w:ilvl w:val="1"/>
          <w:numId w:val="6"/>
        </w:numPr>
        <w:ind w:left="567" w:hanging="567"/>
        <w:jc w:val="both"/>
        <w:rPr>
          <w:rFonts w:cstheme="minorBidi"/>
        </w:rPr>
      </w:pPr>
      <w:r>
        <w:t>Poskytovatel odpovídá za újmu vzniklou Uživateli nebo třetím osobám v souvislosti s plněním předmětu této smlouvy nebo nedodržením a porušením povinností vyplývajících z této smlouvy a zavazuje se ji Uživateli nahradit. Uhrazení a odstranění následků újmy nezbavuje Poskytovatele povinnosti uhradit případné sankce uložené Uživateli příslušným orgánem jako důsledek porušení povinností Poskytovatele.</w:t>
      </w:r>
    </w:p>
    <w:p w:rsidR="006F2D53" w:rsidRDefault="00F3682B">
      <w:pPr>
        <w:pStyle w:val="Zakladnitextcislovany2"/>
        <w:numPr>
          <w:ilvl w:val="1"/>
          <w:numId w:val="6"/>
        </w:numPr>
        <w:ind w:left="567" w:hanging="567"/>
        <w:jc w:val="both"/>
        <w:rPr>
          <w:rFonts w:cstheme="minorBidi"/>
        </w:rPr>
      </w:pPr>
      <w:r>
        <w:t>Smluvní pokuty stíhající Poskytovatele jsou v souhrnu limitovány výší roční paušální ceny služeb dle čl. 4.1 této smlouvy ve výši platné ke dni uzavření této smlouvy.</w:t>
      </w:r>
      <w:r>
        <w:br/>
      </w:r>
    </w:p>
    <w:p w:rsidR="006F2D53" w:rsidRDefault="00F3682B">
      <w:pPr>
        <w:pStyle w:val="Nadpis1"/>
        <w:widowControl/>
        <w:numPr>
          <w:ilvl w:val="0"/>
          <w:numId w:val="12"/>
        </w:numPr>
        <w:spacing w:after="240" w:line="252" w:lineRule="auto"/>
        <w:rPr>
          <w:rFonts w:cstheme="minorBidi"/>
          <w:bCs w:val="0"/>
          <w:szCs w:val="24"/>
        </w:rPr>
      </w:pPr>
      <w:r>
        <w:rPr>
          <w:rFonts w:ascii="Times New Roman" w:hAnsi="Times New Roman" w:cs="Times New Roman"/>
          <w:bCs w:val="0"/>
          <w:szCs w:val="24"/>
        </w:rPr>
        <w:t>Ochrana a zpracování osobních údajů</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 xml:space="preserve">Smluvní strany se zavazují, v souvislosti s touto smlouvou,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„Obecné nařízení o ochraně osobních údajů“. </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Uživatel je a bude nadále považován za Správce osobních údajů, se všemi pro něj vyplývajícími důsledky a povinnostmi.</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Při plnění této smlouvy nepřichází Poskytovatel standardně do styku s osobními údaji, kterých je Uživatel správce (dále jen „chráněné osobní údaje“). Poskytovatel není zpracovatelem osobních údajů ve smyslu článku 28 Obecného nařízení o ochraně osobních údajů.</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Pouze ve výjimečných případech se může stát, že Poskytovatel získá přístup k chráněným osobním údajům. Pokud se tak stane, jedná se o zpracování z pověření správce dle článku 29 Obecného nařízení o ochraně osobních údajů.</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 xml:space="preserve">Poskytovatel se zavazuje zachovávat mlčenlivost o všech chráněných osobních údajích, se kterými přijde do styku v souvislosti s plněním dle této smlouvy. Poskytovatel se zejména zavazuje: </w:t>
      </w:r>
    </w:p>
    <w:p w:rsidR="006F2D53" w:rsidRDefault="00F3682B">
      <w:pPr>
        <w:numPr>
          <w:ilvl w:val="2"/>
          <w:numId w:val="7"/>
        </w:numPr>
        <w:spacing w:after="120"/>
        <w:ind w:left="1134" w:hanging="567"/>
        <w:jc w:val="both"/>
      </w:pPr>
      <w:r>
        <w:t xml:space="preserve">nesdělovat nebo nezpřístupňovat chráněné osobní údaje třetím stranám bez předchozího souhlasu Uživatele, </w:t>
      </w:r>
    </w:p>
    <w:p w:rsidR="006F2D53" w:rsidRDefault="00F3682B">
      <w:pPr>
        <w:numPr>
          <w:ilvl w:val="2"/>
          <w:numId w:val="7"/>
        </w:numPr>
        <w:spacing w:after="120"/>
        <w:ind w:left="1134" w:hanging="567"/>
        <w:jc w:val="both"/>
      </w:pPr>
      <w:r>
        <w:t>zajistit, že jeho zaměstnanci a další osoby, které přijdou do styku s chráněnými osobními údaji v souvislosti s plněním dle Smlouvy, budou zavázány povinností mlčenlivosti ve stejném rozsahu, v jakém je mlčenlivostí vázán on sám, a aby tato povinnost mlčenlivosti trvala i po skončení jejich zaměstnání nebo provádění prací (minimálně po dobu 1 roku),</w:t>
      </w:r>
    </w:p>
    <w:p w:rsidR="006F2D53" w:rsidRDefault="00F3682B">
      <w:pPr>
        <w:numPr>
          <w:ilvl w:val="2"/>
          <w:numId w:val="7"/>
        </w:numPr>
        <w:spacing w:after="120"/>
        <w:ind w:left="1134" w:hanging="567"/>
        <w:jc w:val="both"/>
      </w:pPr>
      <w:r>
        <w:t>zajistit, aby osoby, které se budou podílet na plnění dle této smlouvy, při styku nebo nakládání s chráněnými osobními údaji nepořizovaly kopie chráněných osobních údajů bez předchozího písemného souhlasu Uživatele a aby jejich činností nebo opomenutím nedošlo k náhodnému nebo protiprávnímu zničení, ztrátě či pozměnění chráněných osobních údajů, nebo k jejich neoprávněnému zpřístupnění třetím osobám.</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lastRenderedPageBreak/>
        <w:t xml:space="preserve">Poskytovatel je povinen po dobu plnění předmětu této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Obecným nařízením o ochraně osobních údajů. </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 xml:space="preserve">Poskytovatel je povinen písemně seznámit Uživatele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Obecným nařízením o ochraně osobních údajů.  </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Uživatel je oprávněn provádět kontrolu, zda Poskytovatel plní své povinnosti dle tohoto článku. Poskytovatel je povinen a zavazuje se k veškeré součinnosti s Uživatelem, o kterou bude požádán v souvislosti s ochranou osobních údajů. Poskytovatel je povinen na vyžádání zpřístupnit Uživateli písemnou dokumentaci svých technických a organizačních bezpečnostních opatření a umožnit mu případnou kontrolu dodržování předložených technických a organizačních bezpečnostních opatření.</w:t>
      </w:r>
    </w:p>
    <w:p w:rsidR="006F2D53" w:rsidRDefault="00F3682B">
      <w:pPr>
        <w:pStyle w:val="Nadpis2"/>
        <w:widowControl/>
        <w:numPr>
          <w:ilvl w:val="1"/>
          <w:numId w:val="7"/>
        </w:numPr>
        <w:spacing w:before="0"/>
        <w:ind w:left="567" w:hanging="567"/>
        <w:jc w:val="both"/>
        <w:rPr>
          <w:b w:val="0"/>
          <w:bCs w:val="0"/>
          <w:i w:val="0"/>
          <w:iCs w:val="0"/>
          <w:szCs w:val="24"/>
        </w:rPr>
      </w:pPr>
      <w:r>
        <w:rPr>
          <w:b w:val="0"/>
          <w:bCs w:val="0"/>
          <w:i w:val="0"/>
          <w:iCs w:val="0"/>
          <w:sz w:val="24"/>
          <w:szCs w:val="24"/>
        </w:rPr>
        <w:t>Po skončení účinnosti této smlouvy je Poskytovatel povinen veškerá data, která má v držení, vymazat, a pokud je dosud nepředal Uživateli, předat je Uživateli a dále vymazat všechny existující kopie. Pokud má Poskytovatel přístup k chráněným osobním údajům, má povinnost současně tento přístup deaktivovat či vrátit Uživateli. Povinnost uvedená v tomto článku neplatí, stanoví-li právní předpis EU, případně vnitrostátní právní předpis Poskytovateli data ukládat i po skončení účinnosti této smlouvy.</w:t>
      </w:r>
    </w:p>
    <w:p w:rsidR="006F2D53" w:rsidRDefault="00F3682B">
      <w:pPr>
        <w:pStyle w:val="Nadpis1"/>
        <w:numPr>
          <w:ilvl w:val="0"/>
          <w:numId w:val="12"/>
        </w:numPr>
        <w:rPr>
          <w:rFonts w:cstheme="minorBidi"/>
          <w:bCs w:val="0"/>
          <w:szCs w:val="24"/>
        </w:rPr>
      </w:pPr>
      <w:r>
        <w:rPr>
          <w:rFonts w:ascii="Times New Roman" w:hAnsi="Times New Roman" w:cs="Times New Roman"/>
          <w:bCs w:val="0"/>
          <w:szCs w:val="24"/>
        </w:rPr>
        <w:t>Trvání smlouvy, zánik smlouvy</w:t>
      </w:r>
    </w:p>
    <w:p w:rsidR="006F2D53" w:rsidRDefault="00F3682B">
      <w:pPr>
        <w:pStyle w:val="Teclotextu"/>
        <w:numPr>
          <w:ilvl w:val="1"/>
          <w:numId w:val="8"/>
        </w:numPr>
        <w:ind w:left="567" w:hanging="567"/>
        <w:jc w:val="both"/>
        <w:rPr>
          <w:rFonts w:cstheme="minorBidi"/>
        </w:rPr>
      </w:pPr>
      <w:bookmarkStart w:id="14" w:name="_Ref54651925"/>
      <w:r>
        <w:rPr>
          <w:rFonts w:cstheme="minorBidi"/>
        </w:rPr>
        <w:t>Tato smlouva se uzavírá na dobu neurčitou</w:t>
      </w:r>
      <w:bookmarkEnd w:id="14"/>
      <w:r>
        <w:rPr>
          <w:rFonts w:cstheme="minorBidi"/>
        </w:rPr>
        <w:t xml:space="preserve">. </w:t>
      </w:r>
    </w:p>
    <w:p w:rsidR="006F2D53" w:rsidRDefault="00F3682B">
      <w:pPr>
        <w:pStyle w:val="Teclotextu"/>
        <w:numPr>
          <w:ilvl w:val="1"/>
          <w:numId w:val="8"/>
        </w:numPr>
        <w:ind w:left="567" w:hanging="567"/>
        <w:jc w:val="both"/>
        <w:rPr>
          <w:rFonts w:cstheme="minorBidi"/>
        </w:rPr>
      </w:pPr>
      <w:r>
        <w:t xml:space="preserve">Tato </w:t>
      </w:r>
      <w:r>
        <w:rPr>
          <w:rFonts w:cstheme="minorBidi"/>
        </w:rPr>
        <w:t>smlouva</w:t>
      </w:r>
      <w:r>
        <w:t xml:space="preserve"> může být ukončena níže uvedenými způsoby:</w:t>
      </w:r>
    </w:p>
    <w:p w:rsidR="006F2D53" w:rsidRDefault="00F3682B">
      <w:pPr>
        <w:pStyle w:val="Teclotextu"/>
        <w:ind w:left="709"/>
        <w:jc w:val="both"/>
        <w:rPr>
          <w:rFonts w:cstheme="minorBidi"/>
        </w:rPr>
      </w:pPr>
      <w:r>
        <w:t>7.2.1 Dohodou smluvních stran ke sjednanému dni, přičemž součástí dohody bude i návrh vypořádání vzájemných závazků.</w:t>
      </w:r>
    </w:p>
    <w:p w:rsidR="006F2D53" w:rsidRDefault="00F3682B">
      <w:pPr>
        <w:pStyle w:val="Teclotextu"/>
        <w:ind w:left="709"/>
        <w:jc w:val="both"/>
        <w:rPr>
          <w:rFonts w:cstheme="minorBidi"/>
        </w:rPr>
      </w:pPr>
      <w:r>
        <w:t>7.2.2</w:t>
      </w:r>
      <w:r>
        <w:tab/>
        <w:t>Výpovědí kterékoliv ze smluvních stran bez uvedení důvodu s tím, že si strany sjednávají tříměsíční výpovědní dobu. Výpovědní doba začíná běžet prvním dnem kalendářního měsíce následujícího po doručení písemné výpovědi druhé smluvní straně.</w:t>
      </w:r>
    </w:p>
    <w:p w:rsidR="006F2D53" w:rsidRDefault="00F3682B">
      <w:pPr>
        <w:pStyle w:val="Teclotextu"/>
        <w:ind w:left="709"/>
        <w:jc w:val="both"/>
        <w:rPr>
          <w:rFonts w:cstheme="minorBidi"/>
        </w:rPr>
      </w:pPr>
      <w:r>
        <w:t>7.2.3</w:t>
      </w:r>
      <w:r>
        <w:tab/>
        <w:t xml:space="preserve">Odstoupením od smlouvy s účinky </w:t>
      </w:r>
      <w:r>
        <w:rPr>
          <w:i/>
        </w:rPr>
        <w:t xml:space="preserve">ex </w:t>
      </w:r>
      <w:proofErr w:type="spellStart"/>
      <w:r>
        <w:rPr>
          <w:i/>
        </w:rPr>
        <w:t>nunc</w:t>
      </w:r>
      <w:proofErr w:type="spellEnd"/>
      <w:r>
        <w:t>, pokud některá ze smluvních stran podstatným způsobem porušuje své povinnosti dle této smlouvy a ani přes předchozí upozornění druhé smluvní strany a poskytnutí přiměřené dodatečné lhůty k nápravě takové porušování nezastaví, popř. nenapraví jeho následky.</w:t>
      </w:r>
    </w:p>
    <w:p w:rsidR="006F2D53" w:rsidRDefault="00F3682B">
      <w:pPr>
        <w:pStyle w:val="Teclotextu"/>
        <w:numPr>
          <w:ilvl w:val="1"/>
          <w:numId w:val="8"/>
        </w:numPr>
        <w:ind w:left="567" w:hanging="567"/>
        <w:jc w:val="both"/>
      </w:pPr>
      <w:r>
        <w:t xml:space="preserve">Smluvní strany se dohodly, že podstatným porušením smlouvy se vedle případů uvedených v OZ rozumí také: </w:t>
      </w:r>
    </w:p>
    <w:p w:rsidR="006F2D53" w:rsidRDefault="00F3682B">
      <w:pPr>
        <w:pStyle w:val="Teclotextu"/>
        <w:ind w:left="567"/>
        <w:jc w:val="both"/>
      </w:pPr>
      <w:r>
        <w:t>a) prodlení Uživatele se zaplacením finančního závazku vůči Poskytovateli delší než 45 dnů;</w:t>
      </w:r>
    </w:p>
    <w:p w:rsidR="006F2D53" w:rsidRDefault="00F3682B">
      <w:pPr>
        <w:pStyle w:val="Teclotextu"/>
        <w:ind w:left="567"/>
        <w:jc w:val="both"/>
      </w:pPr>
      <w:r>
        <w:t>b) prodlení Poskytovatele se splněním závazku podle této smlouvy delší než 45 dnů;</w:t>
      </w:r>
    </w:p>
    <w:p w:rsidR="006F2D53" w:rsidRDefault="00F3682B">
      <w:pPr>
        <w:pStyle w:val="Teclotextu"/>
        <w:ind w:left="567"/>
        <w:jc w:val="both"/>
      </w:pPr>
      <w:r>
        <w:t>c) Poskytovatel neplní podmínky dle této smlouvy, postupuje s nedostatečnou odbornou péčí, příp. obecně závaznými právními předpisy.</w:t>
      </w:r>
    </w:p>
    <w:p w:rsidR="006F2D53" w:rsidRDefault="00F3682B">
      <w:pPr>
        <w:pStyle w:val="Teclotextu"/>
        <w:ind w:left="567"/>
        <w:jc w:val="both"/>
      </w:pPr>
      <w:r>
        <w:t>Odstoupení od této smlouvy musí být písemné a nabývá účinnosti dnem doručení tohoto písemného oznámení druhé smluvní straně.</w:t>
      </w:r>
    </w:p>
    <w:p w:rsidR="006F2D53" w:rsidRDefault="00F3682B">
      <w:pPr>
        <w:pStyle w:val="Teclotextu"/>
        <w:numPr>
          <w:ilvl w:val="1"/>
          <w:numId w:val="8"/>
        </w:numPr>
        <w:ind w:left="567" w:hanging="567"/>
        <w:jc w:val="both"/>
        <w:rPr>
          <w:rFonts w:cstheme="minorBidi"/>
        </w:rPr>
      </w:pPr>
      <w:r>
        <w:lastRenderedPageBreak/>
        <w:t xml:space="preserve">V případě odstoupení od této smlouvy jsou smluvní strany povinny vypořádat své vzájemné závazky a </w:t>
      </w:r>
      <w:r>
        <w:rPr>
          <w:rFonts w:cstheme="minorBidi"/>
        </w:rPr>
        <w:t>pohledávky</w:t>
      </w:r>
      <w:r>
        <w:t xml:space="preserve"> stanovené v zákoně nebo v této smlouvě, a to do 30 dnů od právních účinků odstoupení nebo v dohodnuté lhůtě.</w:t>
      </w:r>
      <w:r>
        <w:rPr>
          <w:rFonts w:cstheme="minorBidi"/>
        </w:rPr>
        <w:t xml:space="preserve"> </w:t>
      </w:r>
    </w:p>
    <w:p w:rsidR="006F2D53" w:rsidRDefault="00F3682B">
      <w:pPr>
        <w:pStyle w:val="Nadpis1"/>
        <w:widowControl/>
        <w:numPr>
          <w:ilvl w:val="0"/>
          <w:numId w:val="12"/>
        </w:numPr>
        <w:spacing w:after="240" w:line="252" w:lineRule="auto"/>
        <w:rPr>
          <w:rFonts w:ascii="Times New Roman" w:hAnsi="Times New Roman" w:cs="Times New Roman"/>
          <w:bCs w:val="0"/>
          <w:szCs w:val="24"/>
        </w:rPr>
      </w:pPr>
      <w:r>
        <w:rPr>
          <w:rFonts w:ascii="Times New Roman" w:hAnsi="Times New Roman" w:cs="Times New Roman"/>
        </w:rPr>
        <w:t>Řízení bezpečnosti</w:t>
      </w:r>
    </w:p>
    <w:p w:rsidR="006F2D53" w:rsidRDefault="00F3682B">
      <w:pPr>
        <w:pStyle w:val="Teclotextu"/>
        <w:numPr>
          <w:ilvl w:val="1"/>
          <w:numId w:val="19"/>
        </w:numPr>
        <w:ind w:left="567" w:hanging="567"/>
        <w:jc w:val="both"/>
        <w:rPr>
          <w:rFonts w:cstheme="minorBidi"/>
        </w:rPr>
      </w:pPr>
      <w:r>
        <w:rPr>
          <w:rFonts w:cstheme="minorBidi"/>
        </w:rPr>
        <w:t xml:space="preserve">Dodavatel bere na vědomí, že Objednatel je správcem významných informačních systémů dle ustanovení § 3 písm. e) ZKB. Dodavatel dále tímto bere na vědomí, že poskytnutí plnění bude prováděno na aktivech významného informačního systému. </w:t>
      </w:r>
    </w:p>
    <w:p w:rsidR="006F2D53" w:rsidRDefault="00F3682B">
      <w:pPr>
        <w:pStyle w:val="Teclotextu"/>
        <w:numPr>
          <w:ilvl w:val="1"/>
          <w:numId w:val="19"/>
        </w:numPr>
        <w:ind w:left="567" w:hanging="567"/>
        <w:jc w:val="both"/>
        <w:rPr>
          <w:rFonts w:cstheme="minorBidi"/>
        </w:rPr>
      </w:pPr>
      <w:r>
        <w:rPr>
          <w:rFonts w:cstheme="minorBidi"/>
        </w:rPr>
        <w:t xml:space="preserve">Dodavatel je významným dodavatelem ve smyslu § 2 písm. n) a § 8 odst. 1, písm. f) a odst. 2 vyhlášky č. 82/2018 Sb., o bezpečnostních opatřeních, kybernetických bezpečnostních incidentech, reaktivních opatřeních a o stanovení náležitostí podání v oblasti kybernetické bezpečnosti, ve znění pozdějších předpisů (dále jen „VKB“). </w:t>
      </w:r>
    </w:p>
    <w:p w:rsidR="006F2D53" w:rsidRDefault="00F3682B">
      <w:pPr>
        <w:pStyle w:val="Teclotextu"/>
        <w:numPr>
          <w:ilvl w:val="1"/>
          <w:numId w:val="19"/>
        </w:numPr>
        <w:ind w:left="567" w:hanging="567"/>
        <w:jc w:val="both"/>
        <w:rPr>
          <w:rFonts w:cstheme="minorBidi"/>
        </w:rPr>
      </w:pPr>
      <w:r>
        <w:rPr>
          <w:rFonts w:cstheme="minorBidi"/>
        </w:rPr>
        <w:t>Dodavatel bude v rozsahu předmětu plnění respektovat povinnosti Objednavatele uvedené v §18 až §27 VKB. Zejména ve smyslu závazku realizovat přístup do prostředí Objednavatele pouze prostřednictvím zabezpečeného připojení virtuální privátní sítě (VPN) nebo adekvátního technického opatření navrženého Objednavatelem.</w:t>
      </w:r>
    </w:p>
    <w:p w:rsidR="006F2D53" w:rsidRDefault="00F3682B">
      <w:pPr>
        <w:pStyle w:val="Teclotextu"/>
        <w:numPr>
          <w:ilvl w:val="1"/>
          <w:numId w:val="19"/>
        </w:numPr>
        <w:ind w:left="567" w:hanging="567"/>
        <w:jc w:val="both"/>
        <w:rPr>
          <w:rFonts w:cstheme="minorBidi"/>
        </w:rPr>
      </w:pPr>
      <w:r>
        <w:rPr>
          <w:rFonts w:cstheme="minorBidi"/>
        </w:rPr>
        <w:t xml:space="preserve">Dodavatel se zavazuje pro on-line transakce realizované prostřednictvím webových technologií implementovat TLS/SSL certifikáty s cílem zajistit jejich důvěrnost, integritu a identitu komunikujících protistran. Na aktiva Objednatele neinstalovat a nepoužívat v prostředí Objednatele nástroje a programy, které nejsou nezbytnou součástí předmětu plnění. </w:t>
      </w:r>
    </w:p>
    <w:p w:rsidR="006F2D53" w:rsidRDefault="00F3682B">
      <w:pPr>
        <w:pStyle w:val="Teclotextu"/>
        <w:numPr>
          <w:ilvl w:val="1"/>
          <w:numId w:val="19"/>
        </w:numPr>
        <w:ind w:left="567" w:hanging="567"/>
        <w:jc w:val="both"/>
        <w:rPr>
          <w:rFonts w:cstheme="minorBidi"/>
        </w:rPr>
      </w:pPr>
      <w:r>
        <w:rPr>
          <w:rFonts w:cstheme="minorBidi"/>
        </w:rPr>
        <w:t xml:space="preserve">Dodavatel bere na vědomí, že v případě, kdy technické spojení Objednatele s Dodavatelem narušuje chod služeb Objednatele, může být toto spojení ihned ukončeno bez předchozího upozornění, pokud tato smlouva nestanoví jinak. </w:t>
      </w:r>
    </w:p>
    <w:p w:rsidR="006F2D53" w:rsidRDefault="00F3682B">
      <w:pPr>
        <w:pStyle w:val="Teclotextu"/>
        <w:numPr>
          <w:ilvl w:val="1"/>
          <w:numId w:val="19"/>
        </w:numPr>
        <w:ind w:left="567" w:hanging="567"/>
        <w:jc w:val="both"/>
        <w:rPr>
          <w:rFonts w:cstheme="minorBidi"/>
        </w:rPr>
      </w:pPr>
      <w:r>
        <w:rPr>
          <w:rFonts w:cstheme="minorBidi"/>
        </w:rPr>
        <w:t>Dodavatel se zavazuje informovat Objednatele o všech skutečnostech, které mohou mít vliv na zabezpečení kterékoliv poskytované služby a software, zejména o všech kybernetických bezpečnostních incidentech a o všech významných změnách v ovládání Dodavatele (ve smyslu zákona č. 90/2012, Sb., o obchodních korporacích, ve znění pozdějších předpisů). Dodavatel tyto svoje uvedené povinnosti splní bez zbytečného odkladu po zjištění skutečnosti, která byla rozhodná pro vznik dané povinnosti.</w:t>
      </w:r>
    </w:p>
    <w:p w:rsidR="006F2D53" w:rsidRDefault="00F3682B">
      <w:pPr>
        <w:pStyle w:val="Nadpis1"/>
        <w:widowControl/>
        <w:numPr>
          <w:ilvl w:val="0"/>
          <w:numId w:val="12"/>
        </w:numPr>
        <w:spacing w:after="240" w:line="252" w:lineRule="auto"/>
        <w:rPr>
          <w:rFonts w:ascii="Times New Roman" w:hAnsi="Times New Roman" w:cs="Times New Roman"/>
          <w:bCs w:val="0"/>
          <w:szCs w:val="24"/>
        </w:rPr>
      </w:pPr>
      <w:r>
        <w:rPr>
          <w:rFonts w:ascii="Times New Roman" w:hAnsi="Times New Roman" w:cs="Times New Roman"/>
          <w:bCs w:val="0"/>
          <w:szCs w:val="24"/>
        </w:rPr>
        <w:t>Závěrečná ujednání</w:t>
      </w:r>
    </w:p>
    <w:p w:rsidR="006F2D53" w:rsidRDefault="00F3682B">
      <w:pPr>
        <w:pStyle w:val="Teclotextu"/>
        <w:numPr>
          <w:ilvl w:val="1"/>
          <w:numId w:val="12"/>
        </w:numPr>
        <w:ind w:left="567" w:hanging="567"/>
        <w:jc w:val="both"/>
        <w:rPr>
          <w:rFonts w:cstheme="minorBidi"/>
        </w:rPr>
      </w:pPr>
      <w:r>
        <w:rPr>
          <w:rFonts w:cstheme="minorBidi"/>
        </w:rPr>
        <w:t>Tato smlouva plně nahrazuje veškeré dřívější právní vztahy vzniklé mezi smluvními stranami a vztahující se k předmětu této smlouvy.</w:t>
      </w:r>
    </w:p>
    <w:p w:rsidR="006F2D53" w:rsidRDefault="00F3682B">
      <w:pPr>
        <w:pStyle w:val="Teclotextu"/>
        <w:numPr>
          <w:ilvl w:val="1"/>
          <w:numId w:val="12"/>
        </w:numPr>
        <w:ind w:left="567" w:hanging="567"/>
        <w:jc w:val="both"/>
        <w:rPr>
          <w:rFonts w:cstheme="minorBidi"/>
        </w:rPr>
      </w:pPr>
      <w:r>
        <w:t>V otázkách touto smlouvou výslovně neupravených se práva a povinnosti smluvních stran řídí příslušnými ustanoveními obecně závazných právních předpisů platných na území České republiky, zejména OZ a ostatními právními předpisy vztahujícími se k předmětu této smlouvy.</w:t>
      </w:r>
    </w:p>
    <w:p w:rsidR="006F2D53" w:rsidRDefault="00F3682B">
      <w:pPr>
        <w:pStyle w:val="Teclotextu"/>
        <w:numPr>
          <w:ilvl w:val="1"/>
          <w:numId w:val="12"/>
        </w:numPr>
        <w:ind w:left="567" w:hanging="567"/>
        <w:jc w:val="both"/>
        <w:rPr>
          <w:rFonts w:cstheme="minorBidi"/>
        </w:rPr>
      </w:pPr>
      <w:r>
        <w:t>Veškeré spory, které se smluvním stranám nepodaří vyřešit smírnou cestou, budou řešeny věcně a místně příslušným soudem České republiky.</w:t>
      </w:r>
    </w:p>
    <w:p w:rsidR="006F2D53" w:rsidRDefault="00F3682B">
      <w:pPr>
        <w:pStyle w:val="Teclotextu"/>
        <w:numPr>
          <w:ilvl w:val="1"/>
          <w:numId w:val="12"/>
        </w:numPr>
        <w:ind w:left="567" w:hanging="567"/>
        <w:jc w:val="both"/>
        <w:rPr>
          <w:rFonts w:cstheme="minorBidi"/>
        </w:rPr>
      </w:pPr>
      <w:r>
        <w:t>Tato smlouva je vypracována v elektronické podobě, se zaručenými podpisy zástupců smluvních stran založenými na kvalifikovaném certifikátu, nebo v listinné podobě v počtu dvou stejnopisů s platností originálu, z nichž po jednom obdrží každá ze smluvních stran</w:t>
      </w:r>
      <w:r>
        <w:rPr>
          <w:rFonts w:ascii="Garamond" w:hAnsi="Garamond"/>
        </w:rPr>
        <w:t>.</w:t>
      </w:r>
    </w:p>
    <w:p w:rsidR="006F2D53" w:rsidRDefault="00F3682B">
      <w:pPr>
        <w:pStyle w:val="Teclotextu"/>
        <w:numPr>
          <w:ilvl w:val="1"/>
          <w:numId w:val="12"/>
        </w:numPr>
        <w:ind w:left="567" w:hanging="567"/>
        <w:jc w:val="both"/>
        <w:rPr>
          <w:rFonts w:cstheme="minorBidi"/>
        </w:rPr>
      </w:pPr>
      <w:r>
        <w:t>Tato smlouva může být měněna či doplňována pouze písemnými, oboustranně dohodnutými, číslovanými dodatky, které se stávají její nedílnou součástí. Za písemnou formu není pro tento účel považována výměna e-mailových či jiných elektronických zpráv. Za změnu smlouvy se nepovažuje změna identifikačních či kontaktních údajů.</w:t>
      </w:r>
    </w:p>
    <w:p w:rsidR="006F2D53" w:rsidRDefault="00F3682B">
      <w:pPr>
        <w:pStyle w:val="Teclotextu"/>
        <w:numPr>
          <w:ilvl w:val="1"/>
          <w:numId w:val="12"/>
        </w:numPr>
        <w:ind w:left="567" w:hanging="567"/>
        <w:jc w:val="both"/>
        <w:rPr>
          <w:rFonts w:cstheme="minorBidi"/>
        </w:rPr>
      </w:pPr>
      <w:r>
        <w:lastRenderedPageBreak/>
        <w:t>Poskytovatel se zavazuje spolupůsobit při výkonu finanční kontroly. Podle § 2 písm. e) zákona č. 320/2001 Sb., o finanční kontrole ve veřejné správě a o změně některých zákonů (zákon o finanční kontrole), v platném znění, je prodávající osobou povinnou spolupůsobit při výkonu finanční kontroly prováděné v souvislosti s úhradou služby z veřejných výdajů nebo z veřejné finanční podpory. Poskytovatel se zavazuje stejným způsobem zavázat i svoje subdodavatele.</w:t>
      </w:r>
    </w:p>
    <w:p w:rsidR="006F2D53" w:rsidRDefault="00F3682B">
      <w:pPr>
        <w:pStyle w:val="Teclotextu"/>
        <w:numPr>
          <w:ilvl w:val="1"/>
          <w:numId w:val="12"/>
        </w:numPr>
        <w:ind w:left="567" w:hanging="567"/>
        <w:jc w:val="both"/>
      </w:pPr>
      <w:r>
        <w:t>Poskytovatel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w:t>
      </w:r>
    </w:p>
    <w:p w:rsidR="006F2D53" w:rsidRDefault="00F3682B">
      <w:pPr>
        <w:pStyle w:val="Teclotextu"/>
        <w:numPr>
          <w:ilvl w:val="1"/>
          <w:numId w:val="12"/>
        </w:numPr>
        <w:ind w:left="567" w:hanging="567"/>
        <w:jc w:val="both"/>
        <w:rPr>
          <w:rFonts w:cstheme="minorBidi"/>
        </w:rPr>
      </w:pPr>
      <w:r>
        <w:rPr>
          <w:rFonts w:cstheme="minorBidi"/>
        </w:rPr>
        <w:t xml:space="preserve">Poskytovatel bere na vědomí, že všechny informace, které se při plnění, nebo v souvislosti s plněním této smlouvy dozví, jsou důvěrné povahy a mohou představovat i obchodní tajemství. </w:t>
      </w:r>
      <w:r>
        <w:t>Poskytovatel</w:t>
      </w:r>
      <w:r>
        <w:rPr>
          <w:rFonts w:cstheme="minorBidi"/>
        </w:rPr>
        <w:t xml:space="preserve"> se zavazuje zachovávat mlčenlivost o důvěrných informacích a tyto použít pouze za účelem plnění předmětu smlouvy, kromě případů, kdy povinnost zpřístupnit tyto informace vyplývá z platných právních předpisů. Tento závazek platí bez časového omezení, a to i po zániku této smlouvy. </w:t>
      </w:r>
    </w:p>
    <w:p w:rsidR="006F2D53" w:rsidRDefault="00F3682B">
      <w:pPr>
        <w:pStyle w:val="Teclotextu"/>
        <w:numPr>
          <w:ilvl w:val="1"/>
          <w:numId w:val="12"/>
        </w:numPr>
        <w:ind w:left="567" w:hanging="567"/>
        <w:jc w:val="both"/>
        <w:rPr>
          <w:rFonts w:cstheme="minorBidi"/>
        </w:rPr>
      </w:pPr>
      <w:r>
        <w:rPr>
          <w:rFonts w:cstheme="minorBidi"/>
        </w:rPr>
        <w:t xml:space="preserve">Poskytovatel </w:t>
      </w:r>
      <w:r>
        <w:t>nesmí</w:t>
      </w:r>
      <w:r>
        <w:rPr>
          <w:rFonts w:cstheme="minorBidi"/>
        </w:rPr>
        <w:t xml:space="preserve"> postoupit tuto smlouvu, pohledávku nebo její část vyplývající z této smlouvy vůči Uživateli třetí osobě bez předchozího písemného souhlasu Uživatele.</w:t>
      </w:r>
    </w:p>
    <w:p w:rsidR="006F2D53" w:rsidRDefault="00F3682B">
      <w:pPr>
        <w:pStyle w:val="Teclotextu"/>
        <w:numPr>
          <w:ilvl w:val="1"/>
          <w:numId w:val="12"/>
        </w:numPr>
        <w:ind w:left="567" w:hanging="567"/>
        <w:jc w:val="both"/>
        <w:rPr>
          <w:rFonts w:cstheme="minorBidi"/>
        </w:rPr>
      </w:pPr>
      <w:r>
        <w:t>Pokud bude z jakéhokoliv důvodu některé ustanovení této smlouvy shledáno neplatným, nečiní tato skutečnost neplatnou celou smlouvu. V takovém případě jsou smluvní strany povinny bez zbytečného odkladu neplatné ustanovení nahradit novým platným, jenž bude odpovídat smyslu a účelu této smlouvy.</w:t>
      </w:r>
    </w:p>
    <w:p w:rsidR="006F2D53" w:rsidRDefault="00F3682B">
      <w:pPr>
        <w:pStyle w:val="Teclotextu"/>
        <w:numPr>
          <w:ilvl w:val="1"/>
          <w:numId w:val="12"/>
        </w:numPr>
        <w:ind w:left="567" w:hanging="567"/>
        <w:jc w:val="both"/>
        <w:rPr>
          <w:rFonts w:cstheme="minorBidi"/>
        </w:rPr>
      </w:pPr>
      <w:r>
        <w:t>Tato smlouva nabývá platnosti dnem podpisu poslední smluvní stranou a účinnosti dnem uveřejnění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zajistí Uživatel.</w:t>
      </w:r>
    </w:p>
    <w:p w:rsidR="006F2D53" w:rsidRDefault="00F3682B">
      <w:pPr>
        <w:pStyle w:val="Teclotextu"/>
        <w:numPr>
          <w:ilvl w:val="1"/>
          <w:numId w:val="12"/>
        </w:numPr>
        <w:ind w:left="567" w:hanging="567"/>
        <w:jc w:val="both"/>
        <w:rPr>
          <w:rFonts w:cstheme="minorBidi"/>
        </w:rPr>
      </w:pPr>
      <w:r>
        <w:t>Smluvní strany prohlašují, že si tuto smlouvu přečetly, a že byla ujednána po vzájemném projednání podle jejich svobodné vůle, určitě, vážně a srozumitelně, na důkaz čehož připojují oprávnění zástupci smluvních stran své podpisy.</w:t>
      </w:r>
    </w:p>
    <w:p w:rsidR="006F2D53" w:rsidRDefault="00F3682B">
      <w:pPr>
        <w:pStyle w:val="Teclotextu"/>
      </w:pPr>
      <w:r>
        <w:t xml:space="preserve"> </w:t>
      </w:r>
    </w:p>
    <w:p w:rsidR="006F2D53" w:rsidRDefault="00F3682B">
      <w:pPr>
        <w:pStyle w:val="Teclotextu"/>
      </w:pPr>
      <w:r>
        <w:t xml:space="preserve">Přílohy: </w:t>
      </w:r>
    </w:p>
    <w:p w:rsidR="006F2D53" w:rsidRDefault="00F3682B">
      <w:pPr>
        <w:pStyle w:val="Teclotextu"/>
      </w:pPr>
      <w:r>
        <w:t>Příloha č. 1 – Seznam modulů a činností podporovaných touto smlouvou</w:t>
      </w:r>
    </w:p>
    <w:p w:rsidR="006F2D53" w:rsidRDefault="00F3682B">
      <w:pPr>
        <w:pStyle w:val="Teclotextu"/>
      </w:pPr>
      <w:r>
        <w:t>Příloha č. 2 – Cenová pásma podle počtu studentů</w:t>
      </w:r>
    </w:p>
    <w:p w:rsidR="006F2D53" w:rsidRDefault="00F3682B">
      <w:pPr>
        <w:pStyle w:val="Teclotextu"/>
      </w:pPr>
      <w:r>
        <w:t>Příloha č. 3 – Bližší popis horizontální spolupráce</w:t>
      </w:r>
    </w:p>
    <w:p w:rsidR="006F2D53" w:rsidRDefault="006F2D53">
      <w:pPr>
        <w:pStyle w:val="Teclotextu"/>
      </w:pPr>
    </w:p>
    <w:p w:rsidR="006F2D53" w:rsidRDefault="00F3682B">
      <w:pPr>
        <w:pStyle w:val="Teclotextu"/>
        <w:rPr>
          <w:rFonts w:cstheme="minorBidi"/>
        </w:rPr>
      </w:pPr>
      <w:r>
        <w:t>V</w:t>
      </w:r>
      <w:r w:rsidR="001B2242">
        <w:t> </w:t>
      </w:r>
      <w:r w:rsidR="001B2242" w:rsidRPr="001B2242">
        <w:rPr>
          <w:rFonts w:cstheme="minorBidi"/>
        </w:rPr>
        <w:t>Ústí nad Labem</w:t>
      </w:r>
      <w:r>
        <w:rPr>
          <w:rFonts w:cstheme="minorBidi"/>
          <w:b/>
        </w:rPr>
        <w:t xml:space="preserve"> </w:t>
      </w:r>
      <w:r>
        <w:t xml:space="preserve"> dne  </w:t>
      </w:r>
      <w:r>
        <w:tab/>
      </w:r>
      <w:r>
        <w:tab/>
      </w:r>
      <w:r>
        <w:tab/>
      </w:r>
      <w:r>
        <w:tab/>
      </w:r>
      <w:r>
        <w:tab/>
      </w:r>
      <w:r>
        <w:tab/>
        <w:t>V Plzni dne</w:t>
      </w:r>
    </w:p>
    <w:p w:rsidR="006F2D53" w:rsidRDefault="006F2D53">
      <w:pPr>
        <w:pStyle w:val="Teclotextu"/>
      </w:pPr>
    </w:p>
    <w:p w:rsidR="006F2D53" w:rsidRDefault="006F2D53">
      <w:pPr>
        <w:pStyle w:val="Teclotextu"/>
      </w:pPr>
    </w:p>
    <w:p w:rsidR="006F2D53" w:rsidRDefault="00F3682B">
      <w:pPr>
        <w:pStyle w:val="Teclotextu"/>
        <w:tabs>
          <w:tab w:val="center" w:pos="1418"/>
          <w:tab w:val="center" w:pos="7371"/>
        </w:tabs>
        <w:rPr>
          <w:rFonts w:cstheme="minorBidi"/>
        </w:rPr>
      </w:pPr>
      <w:r>
        <w:tab/>
        <w:t>__________________________</w:t>
      </w:r>
      <w:r>
        <w:tab/>
        <w:t>________________________</w:t>
      </w:r>
    </w:p>
    <w:p w:rsidR="006F2D53" w:rsidRDefault="00F3682B">
      <w:pPr>
        <w:pStyle w:val="Teclotextu"/>
        <w:tabs>
          <w:tab w:val="center" w:pos="1418"/>
          <w:tab w:val="center" w:pos="7371"/>
        </w:tabs>
        <w:rPr>
          <w:rFonts w:cstheme="minorBidi"/>
        </w:rPr>
      </w:pPr>
      <w:r>
        <w:rPr>
          <w:b/>
          <w:sz w:val="22"/>
          <w:szCs w:val="22"/>
        </w:rPr>
        <w:tab/>
      </w:r>
      <w:r w:rsidR="001B2242">
        <w:rPr>
          <w:b/>
          <w:sz w:val="22"/>
          <w:szCs w:val="22"/>
        </w:rPr>
        <w:t>doc. RNDr. Martin Balej, Ph.D.</w:t>
      </w:r>
      <w:r>
        <w:rPr>
          <w:rFonts w:cstheme="minorBidi"/>
          <w:b/>
          <w:sz w:val="22"/>
          <w:szCs w:val="22"/>
        </w:rPr>
        <w:t xml:space="preserve"> </w:t>
      </w:r>
      <w:r>
        <w:rPr>
          <w:b/>
          <w:sz w:val="22"/>
          <w:szCs w:val="22"/>
        </w:rPr>
        <w:tab/>
        <w:t xml:space="preserve"> doc. Dr. RNDr. Miroslav Holeček</w:t>
      </w:r>
    </w:p>
    <w:p w:rsidR="006F2D53" w:rsidRDefault="00F3682B">
      <w:pPr>
        <w:pStyle w:val="Teclotextu"/>
        <w:tabs>
          <w:tab w:val="center" w:pos="1418"/>
          <w:tab w:val="center" w:pos="7371"/>
        </w:tabs>
      </w:pPr>
      <w:r>
        <w:tab/>
        <w:t>rektor</w:t>
      </w:r>
      <w:r>
        <w:tab/>
      </w:r>
      <w:proofErr w:type="spellStart"/>
      <w:r>
        <w:t>rektor</w:t>
      </w:r>
      <w:proofErr w:type="spellEnd"/>
      <w:r>
        <w:t xml:space="preserve"> </w:t>
      </w:r>
    </w:p>
    <w:p w:rsidR="006F2D53" w:rsidRDefault="006F2D53">
      <w:pPr>
        <w:pStyle w:val="Teclotextu"/>
        <w:tabs>
          <w:tab w:val="center" w:pos="1418"/>
          <w:tab w:val="center" w:pos="7371"/>
        </w:tabs>
      </w:pPr>
    </w:p>
    <w:p w:rsidR="006F2D53" w:rsidRDefault="006F2D53">
      <w:pPr>
        <w:pStyle w:val="Teclotextu"/>
        <w:tabs>
          <w:tab w:val="center" w:pos="1418"/>
          <w:tab w:val="center" w:pos="7371"/>
        </w:tabs>
      </w:pPr>
    </w:p>
    <w:p w:rsidR="006F2D53" w:rsidRDefault="00F3682B">
      <w:r>
        <w:rPr>
          <w:rFonts w:cstheme="minorBidi"/>
          <w:b/>
          <w:bCs/>
        </w:rPr>
        <w:lastRenderedPageBreak/>
        <w:t>Příloha č. 1 – Seznam modulů a činností podporovaných touto smlouvou v roce 2023</w:t>
      </w:r>
    </w:p>
    <w:p w:rsidR="006F2D53" w:rsidRDefault="006F2D53">
      <w:pPr>
        <w:rPr>
          <w:rFonts w:cstheme="minorBidi"/>
          <w:b/>
          <w:bCs/>
        </w:rPr>
      </w:pPr>
    </w:p>
    <w:tbl>
      <w:tblPr>
        <w:tblW w:w="8963" w:type="dxa"/>
        <w:tblLayout w:type="fixed"/>
        <w:tblCellMar>
          <w:left w:w="0" w:type="dxa"/>
          <w:right w:w="0" w:type="dxa"/>
        </w:tblCellMar>
        <w:tblLook w:val="04A0" w:firstRow="1" w:lastRow="0" w:firstColumn="1" w:lastColumn="0" w:noHBand="0" w:noVBand="1"/>
      </w:tblPr>
      <w:tblGrid>
        <w:gridCol w:w="4762"/>
        <w:gridCol w:w="2437"/>
        <w:gridCol w:w="1764"/>
      </w:tblGrid>
      <w:tr w:rsidR="006F2D53">
        <w:tc>
          <w:tcPr>
            <w:tcW w:w="4762" w:type="dxa"/>
          </w:tcPr>
          <w:p w:rsidR="006F2D53" w:rsidRDefault="00F3682B">
            <w:pPr>
              <w:pStyle w:val="TableContents"/>
            </w:pPr>
            <w:r>
              <w:t>Cenové pásmo pro roční  poplatky</w:t>
            </w:r>
          </w:p>
        </w:tc>
        <w:tc>
          <w:tcPr>
            <w:tcW w:w="2437" w:type="dxa"/>
          </w:tcPr>
          <w:p w:rsidR="006F2D53" w:rsidRDefault="00F3682B">
            <w:pPr>
              <w:jc w:val="center"/>
            </w:pPr>
            <w:r>
              <w:rPr>
                <w:sz w:val="20"/>
              </w:rPr>
              <w:t>4</w:t>
            </w:r>
          </w:p>
        </w:tc>
        <w:tc>
          <w:tcPr>
            <w:tcW w:w="1764" w:type="dxa"/>
          </w:tcPr>
          <w:p w:rsidR="006F2D53" w:rsidRDefault="006F2D53">
            <w:pPr>
              <w:pStyle w:val="TableContents"/>
            </w:pPr>
          </w:p>
        </w:tc>
      </w:tr>
      <w:tr w:rsidR="006F2D53">
        <w:tc>
          <w:tcPr>
            <w:tcW w:w="4762" w:type="dxa"/>
          </w:tcPr>
          <w:p w:rsidR="006F2D53" w:rsidRDefault="006F2D53">
            <w:pPr>
              <w:pStyle w:val="TableContents"/>
            </w:pPr>
          </w:p>
        </w:tc>
        <w:tc>
          <w:tcPr>
            <w:tcW w:w="2437" w:type="dxa"/>
          </w:tcPr>
          <w:p w:rsidR="006F2D53" w:rsidRDefault="00F3682B">
            <w:pPr>
              <w:pStyle w:val="TableContents"/>
              <w:jc w:val="center"/>
            </w:pPr>
            <w:r>
              <w:t>7 – 10 tis. studentů</w:t>
            </w:r>
          </w:p>
        </w:tc>
        <w:tc>
          <w:tcPr>
            <w:tcW w:w="1764" w:type="dxa"/>
          </w:tcPr>
          <w:p w:rsidR="006F2D53" w:rsidRDefault="00F3682B">
            <w:pPr>
              <w:pStyle w:val="TableContents"/>
              <w:jc w:val="center"/>
            </w:pPr>
            <w:r>
              <w:t>instalováno</w:t>
            </w:r>
          </w:p>
        </w:tc>
      </w:tr>
      <w:tr w:rsidR="006F2D53">
        <w:tc>
          <w:tcPr>
            <w:tcW w:w="4762" w:type="dxa"/>
          </w:tcPr>
          <w:p w:rsidR="006F2D53" w:rsidRDefault="00F3682B">
            <w:pPr>
              <w:pStyle w:val="TableContents"/>
            </w:pPr>
            <w:r>
              <w:t>Základní support</w:t>
            </w:r>
          </w:p>
          <w:p w:rsidR="006F2D53" w:rsidRDefault="00F3682B">
            <w:pPr>
              <w:pStyle w:val="TableContents"/>
            </w:pPr>
            <w:r>
              <w:t>Portálová platforma</w:t>
            </w:r>
          </w:p>
          <w:p w:rsidR="006F2D53" w:rsidRDefault="00F3682B">
            <w:pPr>
              <w:pStyle w:val="TableContents"/>
            </w:pPr>
            <w:r>
              <w:t>Evaluace (QA)</w:t>
            </w:r>
          </w:p>
          <w:p w:rsidR="006F2D53" w:rsidRDefault="00F3682B">
            <w:pPr>
              <w:pStyle w:val="TableContents"/>
            </w:pPr>
            <w:proofErr w:type="spellStart"/>
            <w:r>
              <w:t>Webservices</w:t>
            </w:r>
            <w:proofErr w:type="spellEnd"/>
          </w:p>
          <w:p w:rsidR="006F2D53" w:rsidRDefault="00F3682B">
            <w:pPr>
              <w:pStyle w:val="TableContents"/>
            </w:pPr>
            <w:r>
              <w:t>E-přihláška</w:t>
            </w:r>
          </w:p>
          <w:p w:rsidR="006F2D53" w:rsidRDefault="00F3682B">
            <w:pPr>
              <w:pStyle w:val="TableContents"/>
            </w:pPr>
            <w:r>
              <w:t>Semestrální práce (podpora výuky)</w:t>
            </w:r>
          </w:p>
          <w:p w:rsidR="006F2D53" w:rsidRDefault="00F3682B">
            <w:pPr>
              <w:pStyle w:val="TableContents"/>
            </w:pPr>
            <w:r>
              <w:t>Praxe</w:t>
            </w:r>
          </w:p>
          <w:p w:rsidR="006F2D53" w:rsidRDefault="00F3682B">
            <w:pPr>
              <w:pStyle w:val="TableContents"/>
            </w:pPr>
            <w:r>
              <w:t>Erasmus - mobility</w:t>
            </w:r>
          </w:p>
          <w:p w:rsidR="006F2D53" w:rsidRDefault="00F3682B">
            <w:pPr>
              <w:pStyle w:val="TableContents"/>
            </w:pPr>
            <w:r>
              <w:t>Interface - spisová služba (mimo BBM)</w:t>
            </w:r>
          </w:p>
          <w:p w:rsidR="006F2D53" w:rsidRDefault="00F3682B">
            <w:pPr>
              <w:pStyle w:val="TableContents"/>
            </w:pPr>
            <w:r>
              <w:t>Interface - ekonomický systém (mimo FIS)</w:t>
            </w:r>
          </w:p>
          <w:p w:rsidR="006F2D53" w:rsidRDefault="00F3682B">
            <w:pPr>
              <w:pStyle w:val="TableContents"/>
            </w:pPr>
            <w:r>
              <w:t xml:space="preserve">Interface - </w:t>
            </w:r>
            <w:proofErr w:type="spellStart"/>
            <w:r>
              <w:t>Moodle</w:t>
            </w:r>
            <w:proofErr w:type="spellEnd"/>
          </w:p>
          <w:p w:rsidR="006F2D53" w:rsidRDefault="00F3682B">
            <w:pPr>
              <w:pStyle w:val="TableContents"/>
            </w:pPr>
            <w:r>
              <w:t xml:space="preserve">Interface - MS </w:t>
            </w:r>
            <w:proofErr w:type="spellStart"/>
            <w:r>
              <w:t>Teams</w:t>
            </w:r>
            <w:proofErr w:type="spellEnd"/>
          </w:p>
          <w:p w:rsidR="006F2D53" w:rsidRDefault="00F3682B">
            <w:pPr>
              <w:pStyle w:val="TableContents"/>
            </w:pPr>
            <w:r>
              <w:t xml:space="preserve">Interface - Google </w:t>
            </w:r>
            <w:proofErr w:type="spellStart"/>
            <w:r>
              <w:t>Apps</w:t>
            </w:r>
            <w:proofErr w:type="spellEnd"/>
          </w:p>
          <w:p w:rsidR="006F2D53" w:rsidRDefault="00F3682B">
            <w:pPr>
              <w:pStyle w:val="TableContents"/>
            </w:pPr>
            <w:r>
              <w:t xml:space="preserve">Interface - </w:t>
            </w:r>
            <w:proofErr w:type="spellStart"/>
            <w:r>
              <w:t>Eduart</w:t>
            </w:r>
            <w:proofErr w:type="spellEnd"/>
          </w:p>
          <w:p w:rsidR="006F2D53" w:rsidRDefault="00F3682B">
            <w:pPr>
              <w:pStyle w:val="TableContents"/>
            </w:pPr>
            <w:r>
              <w:t xml:space="preserve">Správa </w:t>
            </w:r>
            <w:proofErr w:type="spellStart"/>
            <w:r>
              <w:t>Oracle</w:t>
            </w:r>
            <w:proofErr w:type="spellEnd"/>
            <w:r>
              <w:t xml:space="preserve"> DB</w:t>
            </w:r>
          </w:p>
          <w:p w:rsidR="006F2D53" w:rsidRDefault="00F3682B">
            <w:pPr>
              <w:pStyle w:val="TableContents"/>
            </w:pPr>
            <w:r>
              <w:t xml:space="preserve">Správa </w:t>
            </w:r>
            <w:proofErr w:type="spellStart"/>
            <w:r>
              <w:t>Oracle</w:t>
            </w:r>
            <w:proofErr w:type="spellEnd"/>
            <w:r>
              <w:t xml:space="preserve"> </w:t>
            </w:r>
            <w:proofErr w:type="spellStart"/>
            <w:r>
              <w:t>Forms</w:t>
            </w:r>
            <w:proofErr w:type="spellEnd"/>
            <w:r>
              <w:t xml:space="preserve"> a </w:t>
            </w:r>
            <w:proofErr w:type="spellStart"/>
            <w:r>
              <w:t>reports</w:t>
            </w:r>
            <w:proofErr w:type="spellEnd"/>
            <w:r>
              <w:t xml:space="preserve"> serveru</w:t>
            </w:r>
          </w:p>
          <w:p w:rsidR="006F2D53" w:rsidRDefault="006F2D53">
            <w:pPr>
              <w:pStyle w:val="TableContents"/>
            </w:pPr>
          </w:p>
          <w:p w:rsidR="006F2D53" w:rsidRDefault="00F3682B">
            <w:pPr>
              <w:pStyle w:val="TableContents"/>
            </w:pPr>
            <w:r>
              <w:t>Celkem</w:t>
            </w:r>
          </w:p>
        </w:tc>
        <w:tc>
          <w:tcPr>
            <w:tcW w:w="2437" w:type="dxa"/>
          </w:tcPr>
          <w:p w:rsidR="006F2D53" w:rsidRDefault="00F3682B">
            <w:pPr>
              <w:pStyle w:val="TableContents"/>
              <w:jc w:val="right"/>
            </w:pPr>
            <w:r>
              <w:t>563990</w:t>
            </w:r>
          </w:p>
          <w:p w:rsidR="006F2D53" w:rsidRDefault="00F3682B">
            <w:pPr>
              <w:pStyle w:val="TableContents"/>
              <w:jc w:val="right"/>
            </w:pPr>
            <w:r>
              <w:t>57550</w:t>
            </w:r>
          </w:p>
          <w:p w:rsidR="006F2D53" w:rsidRDefault="00F3682B">
            <w:pPr>
              <w:pStyle w:val="TableContents"/>
              <w:jc w:val="right"/>
            </w:pPr>
            <w:r>
              <w:t>46040</w:t>
            </w:r>
          </w:p>
          <w:p w:rsidR="006F2D53" w:rsidRDefault="00F3682B">
            <w:pPr>
              <w:pStyle w:val="TableContents"/>
              <w:jc w:val="right"/>
            </w:pPr>
            <w:r>
              <w:t>23020</w:t>
            </w:r>
          </w:p>
          <w:p w:rsidR="006F2D53" w:rsidRDefault="00F3682B">
            <w:pPr>
              <w:pStyle w:val="TableContents"/>
              <w:jc w:val="right"/>
            </w:pPr>
            <w:r>
              <w:t>17265</w:t>
            </w:r>
          </w:p>
          <w:p w:rsidR="006F2D53" w:rsidRDefault="00F3682B">
            <w:pPr>
              <w:pStyle w:val="TableContents"/>
              <w:jc w:val="right"/>
            </w:pPr>
            <w:r>
              <w:t>46040</w:t>
            </w:r>
          </w:p>
          <w:p w:rsidR="006F2D53" w:rsidRDefault="00F3682B">
            <w:pPr>
              <w:pStyle w:val="TableContents"/>
              <w:jc w:val="right"/>
            </w:pPr>
            <w:r>
              <w:t>69060</w:t>
            </w:r>
          </w:p>
          <w:p w:rsidR="006F2D53" w:rsidRDefault="00F3682B">
            <w:pPr>
              <w:pStyle w:val="TableContents"/>
              <w:jc w:val="right"/>
            </w:pPr>
            <w:r>
              <w:t>57550</w:t>
            </w:r>
          </w:p>
          <w:p w:rsidR="006F2D53" w:rsidRDefault="00F3682B">
            <w:pPr>
              <w:pStyle w:val="TableContents"/>
              <w:jc w:val="right"/>
            </w:pPr>
            <w:r>
              <w:t>11510</w:t>
            </w:r>
          </w:p>
          <w:p w:rsidR="006F2D53" w:rsidRDefault="00F3682B">
            <w:pPr>
              <w:pStyle w:val="TableContents"/>
              <w:jc w:val="right"/>
            </w:pPr>
            <w:r>
              <w:t>5755</w:t>
            </w:r>
          </w:p>
          <w:p w:rsidR="006F2D53" w:rsidRDefault="00F3682B">
            <w:pPr>
              <w:pStyle w:val="TableContents"/>
              <w:jc w:val="right"/>
            </w:pPr>
            <w:r>
              <w:t>17265</w:t>
            </w:r>
          </w:p>
          <w:p w:rsidR="006F2D53" w:rsidRDefault="00F3682B">
            <w:pPr>
              <w:pStyle w:val="TableContents"/>
              <w:jc w:val="right"/>
            </w:pPr>
            <w:r>
              <w:t>17265</w:t>
            </w:r>
          </w:p>
          <w:p w:rsidR="006F2D53" w:rsidRDefault="00F3682B">
            <w:pPr>
              <w:pStyle w:val="TableContents"/>
              <w:jc w:val="right"/>
            </w:pPr>
            <w:r>
              <w:t>17265</w:t>
            </w:r>
          </w:p>
          <w:p w:rsidR="006F2D53" w:rsidRDefault="00F3682B">
            <w:pPr>
              <w:pStyle w:val="TableContents"/>
              <w:jc w:val="right"/>
            </w:pPr>
            <w:r>
              <w:t>5755</w:t>
            </w:r>
          </w:p>
          <w:p w:rsidR="006F2D53" w:rsidRDefault="00F3682B">
            <w:pPr>
              <w:pStyle w:val="TableContents"/>
              <w:jc w:val="right"/>
            </w:pPr>
            <w:r>
              <w:t>57550</w:t>
            </w:r>
          </w:p>
          <w:p w:rsidR="006F2D53" w:rsidRDefault="00F3682B">
            <w:pPr>
              <w:pStyle w:val="TableContents"/>
              <w:jc w:val="right"/>
            </w:pPr>
            <w:r>
              <w:t>57550</w:t>
            </w:r>
          </w:p>
        </w:tc>
        <w:tc>
          <w:tcPr>
            <w:tcW w:w="1764" w:type="dxa"/>
          </w:tcPr>
          <w:p w:rsidR="006F2D53" w:rsidRDefault="00F3682B">
            <w:pPr>
              <w:jc w:val="right"/>
            </w:pPr>
            <w:r>
              <w:t>563990</w:t>
            </w:r>
          </w:p>
          <w:p w:rsidR="006F2D53" w:rsidRDefault="00F3682B">
            <w:pPr>
              <w:jc w:val="right"/>
            </w:pPr>
            <w:r>
              <w:t>57550</w:t>
            </w:r>
          </w:p>
          <w:p w:rsidR="006F2D53" w:rsidRDefault="00F3682B">
            <w:pPr>
              <w:jc w:val="right"/>
            </w:pPr>
            <w:r>
              <w:t>46040</w:t>
            </w:r>
          </w:p>
          <w:p w:rsidR="006F2D53" w:rsidRDefault="00F3682B">
            <w:pPr>
              <w:jc w:val="right"/>
            </w:pPr>
            <w:r>
              <w:t>23020</w:t>
            </w:r>
          </w:p>
          <w:p w:rsidR="006F2D53" w:rsidRDefault="00F3682B">
            <w:pPr>
              <w:jc w:val="right"/>
            </w:pPr>
            <w:r>
              <w:t>17265</w:t>
            </w:r>
          </w:p>
          <w:p w:rsidR="006F2D53" w:rsidRDefault="00F3682B">
            <w:pPr>
              <w:jc w:val="right"/>
            </w:pPr>
            <w:r>
              <w:t>46040</w:t>
            </w:r>
          </w:p>
          <w:p w:rsidR="006F2D53" w:rsidRDefault="00F3682B">
            <w:pPr>
              <w:jc w:val="right"/>
            </w:pPr>
            <w:r>
              <w:t>69060</w:t>
            </w:r>
          </w:p>
          <w:p w:rsidR="006F2D53" w:rsidRDefault="00F3682B">
            <w:pPr>
              <w:jc w:val="right"/>
            </w:pPr>
            <w:r>
              <w:t>57550</w:t>
            </w:r>
          </w:p>
          <w:p w:rsidR="006F2D53" w:rsidRDefault="006F2D53">
            <w:pPr>
              <w:jc w:val="right"/>
            </w:pPr>
          </w:p>
          <w:p w:rsidR="006F2D53" w:rsidRDefault="006F2D53">
            <w:pPr>
              <w:jc w:val="right"/>
            </w:pPr>
          </w:p>
          <w:p w:rsidR="006F2D53" w:rsidRDefault="00F3682B">
            <w:pPr>
              <w:jc w:val="right"/>
            </w:pPr>
            <w:r>
              <w:t>17265</w:t>
            </w:r>
          </w:p>
          <w:p w:rsidR="006F2D53" w:rsidRDefault="006F2D53">
            <w:pPr>
              <w:jc w:val="right"/>
            </w:pPr>
          </w:p>
          <w:p w:rsidR="006F2D53" w:rsidRDefault="006F2D53">
            <w:pPr>
              <w:jc w:val="right"/>
            </w:pPr>
          </w:p>
          <w:p w:rsidR="006F2D53" w:rsidRDefault="006F2D53">
            <w:pPr>
              <w:jc w:val="right"/>
            </w:pPr>
          </w:p>
          <w:p w:rsidR="006F2D53" w:rsidRDefault="00F3682B">
            <w:pPr>
              <w:jc w:val="right"/>
            </w:pPr>
            <w:r>
              <w:t>57550</w:t>
            </w:r>
          </w:p>
          <w:p w:rsidR="006F2D53" w:rsidRDefault="006F2D53">
            <w:pPr>
              <w:jc w:val="right"/>
            </w:pPr>
          </w:p>
          <w:p w:rsidR="006F2D53" w:rsidRDefault="006F2D53">
            <w:pPr>
              <w:jc w:val="right"/>
            </w:pPr>
          </w:p>
          <w:p w:rsidR="006F2D53" w:rsidRDefault="00F3682B">
            <w:pPr>
              <w:jc w:val="right"/>
            </w:pPr>
            <w:r>
              <w:t>955330</w:t>
            </w:r>
          </w:p>
        </w:tc>
      </w:tr>
    </w:tbl>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F3682B">
      <w:r>
        <w:rPr>
          <w:rFonts w:cstheme="minorBidi"/>
          <w:b/>
          <w:bCs/>
        </w:rPr>
        <w:lastRenderedPageBreak/>
        <w:t>Příloha č. 2</w:t>
      </w:r>
    </w:p>
    <w:p w:rsidR="006F2D53" w:rsidRDefault="006F2D53">
      <w:pPr>
        <w:rPr>
          <w:rFonts w:cstheme="minorBidi"/>
          <w:b/>
          <w:bCs/>
        </w:rPr>
      </w:pPr>
    </w:p>
    <w:tbl>
      <w:tblPr>
        <w:tblW w:w="8050" w:type="dxa"/>
        <w:tblLayout w:type="fixed"/>
        <w:tblCellMar>
          <w:left w:w="0" w:type="dxa"/>
          <w:right w:w="0" w:type="dxa"/>
        </w:tblCellMar>
        <w:tblLook w:val="04A0" w:firstRow="1" w:lastRow="0" w:firstColumn="1" w:lastColumn="0" w:noHBand="0" w:noVBand="1"/>
      </w:tblPr>
      <w:tblGrid>
        <w:gridCol w:w="4087"/>
        <w:gridCol w:w="3963"/>
      </w:tblGrid>
      <w:tr w:rsidR="006F2D53">
        <w:tc>
          <w:tcPr>
            <w:tcW w:w="4086" w:type="dxa"/>
          </w:tcPr>
          <w:p w:rsidR="006F2D53" w:rsidRDefault="00F3682B">
            <w:pPr>
              <w:pStyle w:val="TableContents"/>
              <w:jc w:val="center"/>
            </w:pPr>
            <w:r>
              <w:rPr>
                <w:b/>
                <w:bCs/>
              </w:rPr>
              <w:t>Cenová pásma pro roční  poplatky</w:t>
            </w:r>
          </w:p>
        </w:tc>
        <w:tc>
          <w:tcPr>
            <w:tcW w:w="3963" w:type="dxa"/>
          </w:tcPr>
          <w:p w:rsidR="006F2D53" w:rsidRDefault="00F3682B">
            <w:pPr>
              <w:jc w:val="center"/>
            </w:pPr>
            <w:r>
              <w:rPr>
                <w:b/>
                <w:bCs/>
              </w:rPr>
              <w:t>Rozmezí počtu studentů</w:t>
            </w:r>
          </w:p>
        </w:tc>
      </w:tr>
      <w:tr w:rsidR="006F2D53">
        <w:tc>
          <w:tcPr>
            <w:tcW w:w="4086" w:type="dxa"/>
          </w:tcPr>
          <w:p w:rsidR="006F2D53" w:rsidRDefault="00F3682B">
            <w:pPr>
              <w:pStyle w:val="TableContents"/>
              <w:jc w:val="center"/>
            </w:pPr>
            <w:r>
              <w:t>0</w:t>
            </w:r>
          </w:p>
          <w:p w:rsidR="006F2D53" w:rsidRDefault="00F3682B">
            <w:pPr>
              <w:pStyle w:val="TableContents"/>
              <w:jc w:val="center"/>
            </w:pPr>
            <w:r>
              <w:t>1</w:t>
            </w:r>
          </w:p>
          <w:p w:rsidR="006F2D53" w:rsidRDefault="00F3682B">
            <w:pPr>
              <w:pStyle w:val="TableContents"/>
              <w:jc w:val="center"/>
            </w:pPr>
            <w:r>
              <w:t>2</w:t>
            </w:r>
          </w:p>
          <w:p w:rsidR="006F2D53" w:rsidRDefault="00F3682B">
            <w:pPr>
              <w:pStyle w:val="TableContents"/>
              <w:jc w:val="center"/>
            </w:pPr>
            <w:r>
              <w:t>3</w:t>
            </w:r>
          </w:p>
          <w:p w:rsidR="006F2D53" w:rsidRDefault="00F3682B">
            <w:pPr>
              <w:pStyle w:val="TableContents"/>
              <w:jc w:val="center"/>
            </w:pPr>
            <w:r>
              <w:t>4</w:t>
            </w:r>
          </w:p>
          <w:p w:rsidR="006F2D53" w:rsidRDefault="00F3682B">
            <w:pPr>
              <w:pStyle w:val="TableContents"/>
              <w:jc w:val="center"/>
            </w:pPr>
            <w:r>
              <w:t>5</w:t>
            </w:r>
          </w:p>
          <w:p w:rsidR="006F2D53" w:rsidRDefault="00F3682B">
            <w:pPr>
              <w:pStyle w:val="TableContents"/>
              <w:jc w:val="center"/>
            </w:pPr>
            <w:r>
              <w:t>6</w:t>
            </w:r>
          </w:p>
        </w:tc>
        <w:tc>
          <w:tcPr>
            <w:tcW w:w="3963" w:type="dxa"/>
          </w:tcPr>
          <w:p w:rsidR="006F2D53" w:rsidRDefault="00F3682B">
            <w:pPr>
              <w:pStyle w:val="TableContents"/>
              <w:ind w:left="408"/>
              <w:jc w:val="center"/>
            </w:pPr>
            <w:r>
              <w:t>do 650 studentů</w:t>
            </w:r>
          </w:p>
          <w:p w:rsidR="006F2D53" w:rsidRDefault="00F3682B">
            <w:pPr>
              <w:pStyle w:val="TableContents"/>
              <w:ind w:left="408"/>
              <w:jc w:val="center"/>
            </w:pPr>
            <w:r>
              <w:t>do 2 tis. studentů</w:t>
            </w:r>
          </w:p>
          <w:p w:rsidR="006F2D53" w:rsidRDefault="00F3682B">
            <w:pPr>
              <w:pStyle w:val="TableContents"/>
              <w:ind w:left="408"/>
              <w:jc w:val="center"/>
            </w:pPr>
            <w:r>
              <w:t>do 4 tis. studentů</w:t>
            </w:r>
          </w:p>
          <w:p w:rsidR="006F2D53" w:rsidRDefault="00F3682B">
            <w:pPr>
              <w:pStyle w:val="TableContents"/>
              <w:ind w:left="408"/>
              <w:jc w:val="center"/>
            </w:pPr>
            <w:r>
              <w:t>4 – 7 tis. studentů</w:t>
            </w:r>
          </w:p>
          <w:p w:rsidR="006F2D53" w:rsidRDefault="00F3682B">
            <w:pPr>
              <w:pStyle w:val="TableContents"/>
              <w:ind w:left="408"/>
              <w:jc w:val="center"/>
            </w:pPr>
            <w:r>
              <w:t>7 – 10 tis. studentů</w:t>
            </w:r>
          </w:p>
          <w:p w:rsidR="006F2D53" w:rsidRDefault="00F3682B">
            <w:pPr>
              <w:pStyle w:val="TableContents"/>
              <w:ind w:left="408"/>
              <w:jc w:val="center"/>
            </w:pPr>
            <w:r>
              <w:t>10 – 13 tis. studentů</w:t>
            </w:r>
          </w:p>
          <w:p w:rsidR="006F2D53" w:rsidRDefault="00F3682B">
            <w:pPr>
              <w:pStyle w:val="TableContents"/>
              <w:ind w:left="408"/>
              <w:jc w:val="center"/>
            </w:pPr>
            <w:r>
              <w:t>nad 13 tis. studentů</w:t>
            </w:r>
          </w:p>
        </w:tc>
      </w:tr>
    </w:tbl>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9A12DD" w:rsidRDefault="009A12DD">
      <w:pPr>
        <w:pStyle w:val="Teclotextu"/>
        <w:tabs>
          <w:tab w:val="center" w:pos="1418"/>
          <w:tab w:val="center" w:pos="7371"/>
        </w:tabs>
        <w:rPr>
          <w:rFonts w:cstheme="minorBidi"/>
        </w:rPr>
      </w:pPr>
    </w:p>
    <w:p w:rsidR="009A12DD" w:rsidRDefault="009A12DD">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6F2D53">
      <w:pPr>
        <w:pStyle w:val="Teclotextu"/>
        <w:tabs>
          <w:tab w:val="center" w:pos="1418"/>
          <w:tab w:val="center" w:pos="7371"/>
        </w:tabs>
        <w:rPr>
          <w:rFonts w:cstheme="minorBidi"/>
        </w:rPr>
      </w:pPr>
    </w:p>
    <w:p w:rsidR="006F2D53" w:rsidRDefault="00F3682B">
      <w:pPr>
        <w:shd w:val="clear" w:color="auto" w:fill="FFFFFF"/>
        <w:spacing w:after="192"/>
        <w:jc w:val="both"/>
      </w:pPr>
      <w:r>
        <w:rPr>
          <w:rFonts w:cs="Helvetica"/>
          <w:b/>
          <w:color w:val="232323"/>
          <w:u w:val="single"/>
        </w:rPr>
        <w:lastRenderedPageBreak/>
        <w:t>Příloha č. 3 – Bližší popis horizontální spolupráce</w:t>
      </w:r>
    </w:p>
    <w:p w:rsidR="006F2D53" w:rsidRDefault="006F2D53">
      <w:pPr>
        <w:shd w:val="clear" w:color="auto" w:fill="FFFFFF"/>
        <w:jc w:val="both"/>
        <w:rPr>
          <w:rFonts w:cs="Helvetica"/>
          <w:color w:val="232323"/>
        </w:rPr>
      </w:pPr>
    </w:p>
    <w:p w:rsidR="006F2D53" w:rsidRDefault="00F3682B">
      <w:pPr>
        <w:shd w:val="clear" w:color="auto" w:fill="FFFFFF"/>
        <w:spacing w:after="192"/>
        <w:jc w:val="both"/>
      </w:pPr>
      <w:r>
        <w:rPr>
          <w:rFonts w:cs="Helvetica"/>
          <w:color w:val="232323"/>
        </w:rPr>
        <w:t>IS/STAG je informační systém studijní agendy vysoké školy nebo vyšší odborné školy. Systém vznikl a je zastřešován Centrem informatizace a výpočetní techniky na Západočeské univerzitě v Plzni.</w:t>
      </w:r>
    </w:p>
    <w:p w:rsidR="006F2D53" w:rsidRDefault="00F3682B">
      <w:pPr>
        <w:shd w:val="clear" w:color="auto" w:fill="FFFFFF"/>
        <w:spacing w:after="192"/>
        <w:jc w:val="both"/>
      </w:pPr>
      <w:r>
        <w:rPr>
          <w:rFonts w:cs="Helvetica"/>
          <w:color w:val="232323"/>
        </w:rPr>
        <w:t>Poprvé se IS/STAG použil v roce 1993 na ZČU. V současnosti je na ZČU provozována v rutinním provozu již třetí vývojová verze tohoto systému. IS/STAG je celouniverzitní systém určený pro administraci studia. IS/STAG eviduje jak kreditní, tak i nekreditní systém studia.</w:t>
      </w:r>
    </w:p>
    <w:p w:rsidR="006F2D53" w:rsidRDefault="00F3682B">
      <w:pPr>
        <w:shd w:val="clear" w:color="auto" w:fill="FFFFFF"/>
        <w:spacing w:after="192"/>
        <w:jc w:val="both"/>
      </w:pPr>
      <w:r>
        <w:rPr>
          <w:rFonts w:cs="Helvetica"/>
          <w:color w:val="232323"/>
        </w:rPr>
        <w:t>IS/STAG v současnosti využívá 14 škol v České republice. Z toho je 11 veřejnoprávních vysokých škol a 3 jsou soukromé vysoké školy.</w:t>
      </w:r>
    </w:p>
    <w:p w:rsidR="006F2D53" w:rsidRDefault="00F3682B">
      <w:pPr>
        <w:shd w:val="clear" w:color="auto" w:fill="FFFFFF"/>
        <w:spacing w:after="192"/>
        <w:jc w:val="both"/>
      </w:pPr>
      <w:r>
        <w:rPr>
          <w:rFonts w:cs="Helvetica"/>
          <w:b/>
          <w:color w:val="232323"/>
          <w:u w:val="single"/>
        </w:rPr>
        <w:br/>
        <w:t>NAPLNĚNÍ PODMÍNEK HORIZONTÁLNÍ SPOLUPRÁCE ZADAVATELŮ</w:t>
      </w:r>
    </w:p>
    <w:p w:rsidR="006F2D53" w:rsidRDefault="00F3682B">
      <w:pPr>
        <w:pStyle w:val="Odstavecseseznamem"/>
        <w:widowControl/>
        <w:numPr>
          <w:ilvl w:val="0"/>
          <w:numId w:val="20"/>
        </w:numPr>
        <w:shd w:val="clear" w:color="auto" w:fill="FFFFFF"/>
        <w:spacing w:after="192"/>
        <w:ind w:left="567" w:hanging="567"/>
        <w:jc w:val="both"/>
      </w:pPr>
      <w:r>
        <w:rPr>
          <w:rFonts w:cs="Helvetica"/>
          <w:color w:val="232323"/>
        </w:rPr>
        <w:t>Institut horizontální spolupráce představuje specifickou platformu vzájemné součinnosti a partnerství dvou a více veřejných zadavatelů na základě smlouvy, a to za účelem zajišťování potřeb ve veřejném zájmu.</w:t>
      </w:r>
    </w:p>
    <w:p w:rsidR="006F2D53" w:rsidRDefault="00F3682B">
      <w:pPr>
        <w:pStyle w:val="Odstavecseseznamem"/>
        <w:widowControl/>
        <w:numPr>
          <w:ilvl w:val="0"/>
          <w:numId w:val="20"/>
        </w:numPr>
        <w:shd w:val="clear" w:color="auto" w:fill="FFFFFF"/>
        <w:spacing w:after="192"/>
        <w:ind w:left="567" w:hanging="567"/>
        <w:jc w:val="both"/>
      </w:pPr>
      <w:r>
        <w:rPr>
          <w:rFonts w:cs="Helvetica"/>
          <w:color w:val="232323"/>
        </w:rPr>
        <w:t>Z legislativního hlediska představuje horizontální spolupráce výjimku z působnosti zákona č. 134/2016 Sb., o zadávání veřejných zakázek (ZZVZ), resp. uzavření smlouvy v režimu horizontální spolupráce se nepovažuje za zadání veřejné zakázky.</w:t>
      </w:r>
    </w:p>
    <w:p w:rsidR="006F2D53" w:rsidRDefault="00F3682B">
      <w:pPr>
        <w:pStyle w:val="Odstavecseseznamem"/>
        <w:widowControl/>
        <w:numPr>
          <w:ilvl w:val="0"/>
          <w:numId w:val="20"/>
        </w:numPr>
        <w:shd w:val="clear" w:color="auto" w:fill="FFFFFF"/>
        <w:spacing w:after="192"/>
        <w:ind w:left="567" w:hanging="567"/>
        <w:jc w:val="both"/>
      </w:pPr>
      <w:r>
        <w:rPr>
          <w:rFonts w:cs="Helvetica"/>
          <w:color w:val="232323"/>
        </w:rPr>
        <w:t>Pro naplnění této výjimky musí být splněny tři následující podmínky § 12 ZZVZ:</w:t>
      </w:r>
    </w:p>
    <w:p w:rsidR="006F2D53" w:rsidRDefault="00F3682B">
      <w:pPr>
        <w:shd w:val="clear" w:color="auto" w:fill="FFFFFF"/>
        <w:spacing w:after="192"/>
        <w:jc w:val="both"/>
      </w:pPr>
      <w:r>
        <w:rPr>
          <w:rFonts w:cs="Helvetica"/>
          <w:b/>
          <w:color w:val="232323"/>
        </w:rPr>
        <w:t>a) smlouva zakládá nebo provádí spolupráci mezi veřejnými zadavateli za účelem dosahování jejich společných cílů směřujících k zajišťování veřejných potřeb, které mají tito veřejní zadavatelé zajišťovat,</w:t>
      </w:r>
    </w:p>
    <w:p w:rsidR="006F2D53" w:rsidRDefault="00F3682B">
      <w:pPr>
        <w:pStyle w:val="Odstavecseseznamem"/>
        <w:widowControl/>
        <w:numPr>
          <w:ilvl w:val="0"/>
          <w:numId w:val="21"/>
        </w:numPr>
        <w:shd w:val="clear" w:color="auto" w:fill="FFFFFF"/>
        <w:spacing w:after="192"/>
        <w:jc w:val="both"/>
      </w:pPr>
      <w:r>
        <w:rPr>
          <w:rFonts w:cs="Helvetica"/>
          <w:color w:val="232323"/>
        </w:rPr>
        <w:t>ZČU i ostatní veřejné vysoké školy (případně státní vysoké školy) naplňují definici veřejného zadavatele dle § 4 odst. 1 písm. e) ZZVZ.</w:t>
      </w:r>
    </w:p>
    <w:p w:rsidR="006F2D53" w:rsidRDefault="00F3682B">
      <w:pPr>
        <w:pStyle w:val="Odstavecseseznamem"/>
        <w:widowControl/>
        <w:numPr>
          <w:ilvl w:val="0"/>
          <w:numId w:val="21"/>
        </w:numPr>
        <w:shd w:val="clear" w:color="auto" w:fill="FFFFFF"/>
        <w:spacing w:after="192"/>
        <w:jc w:val="both"/>
      </w:pPr>
      <w:r>
        <w:rPr>
          <w:rFonts w:cs="Helvetica"/>
          <w:color w:val="232323"/>
        </w:rPr>
        <w:t>ZČU i ostatní vysoké školy (dle zákona č. 111/1998 Sb., o vysokých školách) plní nezastupitelnou funkci nejvyšších článků vzdělávací soustavy jako vrcholná centra vzdělanosti, nezávislého poznání, tvůrčí činnosti a mají klíčovou úlohu ve vědeckém, kulturním, sociálním a ekonomickém rozvoji společnosti.</w:t>
      </w:r>
    </w:p>
    <w:p w:rsidR="006F2D53" w:rsidRDefault="00F3682B">
      <w:pPr>
        <w:pStyle w:val="Odstavecseseznamem"/>
        <w:widowControl/>
        <w:numPr>
          <w:ilvl w:val="0"/>
          <w:numId w:val="21"/>
        </w:numPr>
        <w:shd w:val="clear" w:color="auto" w:fill="FFFFFF"/>
        <w:spacing w:after="192"/>
        <w:jc w:val="both"/>
      </w:pPr>
      <w:r>
        <w:rPr>
          <w:rFonts w:cs="Helvetica"/>
          <w:color w:val="232323"/>
        </w:rPr>
        <w:t>V případě této horizontální spolupráce veřejných zadavatelů plní ZČU funkci zastřešující technické podpory a poskytuje nezbytné související činnosti/služby pro zajištění bezproblémového chodu systému IS/STAG, vč. snahy o kontinuální vývoj a rozvoj jednotlivých funkcionalit.</w:t>
      </w:r>
    </w:p>
    <w:p w:rsidR="006F2D53" w:rsidRDefault="00F3682B">
      <w:pPr>
        <w:pStyle w:val="Odstavecseseznamem"/>
        <w:widowControl/>
        <w:numPr>
          <w:ilvl w:val="0"/>
          <w:numId w:val="21"/>
        </w:numPr>
        <w:shd w:val="clear" w:color="auto" w:fill="FFFFFF"/>
        <w:spacing w:after="192"/>
        <w:jc w:val="both"/>
      </w:pPr>
      <w:r>
        <w:rPr>
          <w:rFonts w:cs="Helvetica"/>
          <w:color w:val="232323"/>
        </w:rPr>
        <w:t>Zabezpečení fungujícího systému IS/STAG a jeho vývoje/rozvoje spočívá v odpovídající zpětné vazbě ostatních veřejných zadavatelů vůči ZČU při využívání IS/STAG, vzájemné spolupráci při realizaci společných projektů. V rámci horizontální spolupráce se zadavatel zavazuje poskytnout ZČU:</w:t>
      </w:r>
    </w:p>
    <w:p w:rsidR="006F2D53" w:rsidRDefault="00F3682B">
      <w:pPr>
        <w:pStyle w:val="Odstavecseseznamem"/>
        <w:widowControl/>
        <w:numPr>
          <w:ilvl w:val="1"/>
          <w:numId w:val="21"/>
        </w:numPr>
        <w:shd w:val="clear" w:color="auto" w:fill="FFFFFF"/>
        <w:spacing w:after="192"/>
        <w:jc w:val="both"/>
      </w:pPr>
      <w:r>
        <w:rPr>
          <w:rFonts w:cs="Helvetica"/>
          <w:color w:val="232323"/>
        </w:rPr>
        <w:t>zpětnou vazbu k realizovaným změnám ve studijní agendě</w:t>
      </w:r>
    </w:p>
    <w:p w:rsidR="006F2D53" w:rsidRDefault="00F3682B">
      <w:pPr>
        <w:pStyle w:val="Odstavecseseznamem"/>
        <w:widowControl/>
        <w:numPr>
          <w:ilvl w:val="1"/>
          <w:numId w:val="21"/>
        </w:numPr>
        <w:shd w:val="clear" w:color="auto" w:fill="FFFFFF"/>
        <w:spacing w:after="192"/>
        <w:jc w:val="both"/>
      </w:pPr>
      <w:r>
        <w:rPr>
          <w:rFonts w:cs="Helvetica"/>
          <w:color w:val="232323"/>
        </w:rPr>
        <w:t>zástupce do pracovních skupin na seminářích IS/STAG</w:t>
      </w:r>
    </w:p>
    <w:p w:rsidR="006F2D53" w:rsidRDefault="00F3682B">
      <w:pPr>
        <w:pStyle w:val="Odstavecseseznamem"/>
        <w:widowControl/>
        <w:numPr>
          <w:ilvl w:val="1"/>
          <w:numId w:val="21"/>
        </w:numPr>
        <w:shd w:val="clear" w:color="auto" w:fill="FFFFFF"/>
        <w:spacing w:after="192"/>
        <w:jc w:val="both"/>
      </w:pPr>
      <w:r>
        <w:rPr>
          <w:rFonts w:cs="Helvetica"/>
          <w:color w:val="232323"/>
        </w:rPr>
        <w:t>spolupráci při přípravě rozvojových projektů v oblasti studijní agendy</w:t>
      </w:r>
    </w:p>
    <w:p w:rsidR="006F2D53" w:rsidRDefault="00F3682B">
      <w:pPr>
        <w:pStyle w:val="Odstavecseseznamem"/>
        <w:widowControl/>
        <w:numPr>
          <w:ilvl w:val="1"/>
          <w:numId w:val="21"/>
        </w:numPr>
        <w:shd w:val="clear" w:color="auto" w:fill="FFFFFF"/>
        <w:spacing w:after="192"/>
        <w:jc w:val="both"/>
      </w:pPr>
      <w:r>
        <w:rPr>
          <w:rFonts w:cs="Helvetica"/>
          <w:color w:val="232323"/>
        </w:rPr>
        <w:t>člena, který bude provádět potřebné činnosti v analytickém týmu pro přípravu nových funkcionalit</w:t>
      </w:r>
    </w:p>
    <w:p w:rsidR="006F2D53" w:rsidRDefault="00F3682B">
      <w:pPr>
        <w:pStyle w:val="Odstavecseseznamem"/>
        <w:widowControl/>
        <w:numPr>
          <w:ilvl w:val="1"/>
          <w:numId w:val="21"/>
        </w:numPr>
        <w:shd w:val="clear" w:color="auto" w:fill="FFFFFF"/>
        <w:spacing w:after="192"/>
        <w:jc w:val="both"/>
      </w:pPr>
      <w:r>
        <w:rPr>
          <w:rFonts w:cs="Helvetica"/>
          <w:color w:val="232323"/>
        </w:rPr>
        <w:t>člena, který bude provádět potřebné činnosti v testovacím týmu pro ověření a akceptaci nových funkcionalit</w:t>
      </w:r>
    </w:p>
    <w:p w:rsidR="006F2D53" w:rsidRDefault="00F3682B">
      <w:pPr>
        <w:pStyle w:val="Odstavecseseznamem"/>
        <w:widowControl/>
        <w:numPr>
          <w:ilvl w:val="1"/>
          <w:numId w:val="21"/>
        </w:numPr>
        <w:shd w:val="clear" w:color="auto" w:fill="FFFFFF"/>
        <w:spacing w:after="192"/>
        <w:jc w:val="both"/>
      </w:pPr>
      <w:r>
        <w:rPr>
          <w:rFonts w:cs="Helvetica"/>
          <w:color w:val="232323"/>
        </w:rPr>
        <w:t>konzultační kontakt pro vnitřní legislativu univerzity ve studijní oblasti</w:t>
      </w:r>
    </w:p>
    <w:p w:rsidR="006F2D53" w:rsidRDefault="00F3682B">
      <w:pPr>
        <w:pStyle w:val="Odstavecseseznamem"/>
        <w:widowControl/>
        <w:numPr>
          <w:ilvl w:val="1"/>
          <w:numId w:val="21"/>
        </w:numPr>
        <w:shd w:val="clear" w:color="auto" w:fill="FFFFFF"/>
        <w:spacing w:after="192"/>
        <w:jc w:val="both"/>
      </w:pPr>
      <w:r>
        <w:rPr>
          <w:rFonts w:cs="Helvetica"/>
          <w:color w:val="232323"/>
        </w:rPr>
        <w:t>spolupráci na propojení IS/STAG a dalšího informačního systému (pokud je takový systém zadavatelem provozován)</w:t>
      </w:r>
    </w:p>
    <w:p w:rsidR="006F2D53" w:rsidRDefault="00F3682B">
      <w:pPr>
        <w:pStyle w:val="Odstavecseseznamem"/>
        <w:shd w:val="clear" w:color="auto" w:fill="FFFFFF"/>
        <w:spacing w:after="192"/>
        <w:jc w:val="both"/>
      </w:pPr>
      <w:r>
        <w:rPr>
          <w:rFonts w:cs="Helvetica"/>
          <w:color w:val="232323"/>
        </w:rPr>
        <w:t xml:space="preserve">Konkrétní rozsah spolupráce zadavatele a ZČU bude dojednáván v rámci každého </w:t>
      </w:r>
      <w:r>
        <w:rPr>
          <w:rFonts w:cs="Helvetica"/>
          <w:color w:val="232323"/>
        </w:rPr>
        <w:lastRenderedPageBreak/>
        <w:t xml:space="preserve">jednotlivého projektu, přičemž veškeré činnosti Uživatele dle této smlouvy jsou poskytovány výhradně v rozsahu dle § 8 odst. 2 zákona č. 121/2000 Sb., autorský zákon, ve znění pozdějších předpisů (dále jen „AZ“). </w:t>
      </w:r>
      <w:r>
        <w:rPr>
          <w:rFonts w:cstheme="minorBidi"/>
        </w:rPr>
        <w:t xml:space="preserve">Konkrétní realizované (popř. plánované) projekty Poskytovatele a Uživatele na provozování a rozvoji IS/STAG jsou uvedeny na </w:t>
      </w:r>
      <w:hyperlink r:id="rId12">
        <w:r>
          <w:rPr>
            <w:rStyle w:val="Hypertextovodkaz"/>
            <w:rFonts w:cstheme="minorBidi"/>
          </w:rPr>
          <w:t>https://is-stag.zcu.cz/</w:t>
        </w:r>
      </w:hyperlink>
      <w:r>
        <w:rPr>
          <w:rFonts w:cstheme="minorBidi"/>
        </w:rPr>
        <w:t>.</w:t>
      </w:r>
    </w:p>
    <w:p w:rsidR="006F2D53" w:rsidRDefault="00F3682B">
      <w:pPr>
        <w:pStyle w:val="Odstavecseseznamem"/>
        <w:widowControl/>
        <w:numPr>
          <w:ilvl w:val="0"/>
          <w:numId w:val="21"/>
        </w:numPr>
        <w:shd w:val="clear" w:color="auto" w:fill="FFFFFF"/>
        <w:spacing w:after="192"/>
        <w:jc w:val="both"/>
      </w:pPr>
      <w:r>
        <w:t xml:space="preserve">Pro vyloučení pochybností se stanoví, že Uživateli </w:t>
      </w:r>
      <w:r>
        <w:rPr>
          <w:rFonts w:cs="Helvetica"/>
          <w:color w:val="232323"/>
        </w:rPr>
        <w:t xml:space="preserve">nevznikají/nevzniknou jakákoli spoluautorská práva na výnosy vyplývající z budoucích úprav či vytvoření nových verzí IS/STAG (ve smyslu § 8 odst. 5 AZ), a to i z důvodů, že ZČU neposkytuje služby dle této smlouvy za účelem dosažení zisku. </w:t>
      </w:r>
    </w:p>
    <w:p w:rsidR="006F2D53" w:rsidRDefault="006F2D53">
      <w:pPr>
        <w:pStyle w:val="Odstavecseseznamem"/>
        <w:shd w:val="clear" w:color="auto" w:fill="FFFFFF"/>
        <w:spacing w:after="192"/>
        <w:jc w:val="both"/>
        <w:rPr>
          <w:rFonts w:cs="Helvetica"/>
          <w:color w:val="232323"/>
        </w:rPr>
      </w:pPr>
    </w:p>
    <w:p w:rsidR="006F2D53" w:rsidRDefault="00F3682B">
      <w:pPr>
        <w:shd w:val="clear" w:color="auto" w:fill="FFFFFF"/>
        <w:spacing w:after="192"/>
        <w:jc w:val="both"/>
      </w:pPr>
      <w:r>
        <w:rPr>
          <w:rFonts w:cs="Helvetica"/>
          <w:b/>
          <w:color w:val="232323"/>
        </w:rPr>
        <w:t>b) spolupráce podle písmene a) se řídí pouze ohledy souvisejícími s veřejným zájmem;</w:t>
      </w:r>
    </w:p>
    <w:p w:rsidR="006F2D53" w:rsidRDefault="00F3682B">
      <w:pPr>
        <w:pStyle w:val="Odstavecseseznamem"/>
        <w:widowControl/>
        <w:numPr>
          <w:ilvl w:val="0"/>
          <w:numId w:val="22"/>
        </w:numPr>
        <w:shd w:val="clear" w:color="auto" w:fill="FFFFFF"/>
        <w:spacing w:after="192"/>
        <w:jc w:val="both"/>
      </w:pPr>
      <w:r>
        <w:rPr>
          <w:rFonts w:cs="Helvetica"/>
          <w:color w:val="232323"/>
        </w:rPr>
        <w:t>V obecné rovině je právo na vzdělání jedno z nejvýznamnějších hospodářských, sociálních a kulturních práv (zakotvených v článku 33 Listiny základních práv a svobod).</w:t>
      </w:r>
    </w:p>
    <w:p w:rsidR="006F2D53" w:rsidRDefault="00F3682B">
      <w:pPr>
        <w:pStyle w:val="Odstavecseseznamem"/>
        <w:widowControl/>
        <w:numPr>
          <w:ilvl w:val="0"/>
          <w:numId w:val="22"/>
        </w:numPr>
        <w:shd w:val="clear" w:color="auto" w:fill="FFFFFF"/>
        <w:spacing w:after="192"/>
        <w:jc w:val="both"/>
      </w:pPr>
      <w:r>
        <w:rPr>
          <w:rFonts w:cs="Helvetica"/>
          <w:color w:val="232323"/>
        </w:rPr>
        <w:t>Ačkoli právo na vysokoškolské vzdělání není (</w:t>
      </w:r>
      <w:r>
        <w:rPr>
          <w:rFonts w:cs="Helvetica"/>
          <w:i/>
          <w:color w:val="232323"/>
        </w:rPr>
        <w:t xml:space="preserve">in </w:t>
      </w:r>
      <w:proofErr w:type="spellStart"/>
      <w:r>
        <w:rPr>
          <w:rFonts w:cs="Helvetica"/>
          <w:i/>
          <w:color w:val="232323"/>
        </w:rPr>
        <w:t>stricto</w:t>
      </w:r>
      <w:proofErr w:type="spellEnd"/>
      <w:r>
        <w:rPr>
          <w:rFonts w:cs="Helvetica"/>
          <w:i/>
          <w:color w:val="232323"/>
        </w:rPr>
        <w:t xml:space="preserve"> </w:t>
      </w:r>
      <w:proofErr w:type="spellStart"/>
      <w:r>
        <w:rPr>
          <w:rFonts w:cs="Helvetica"/>
          <w:i/>
          <w:color w:val="232323"/>
        </w:rPr>
        <w:t>senzu</w:t>
      </w:r>
      <w:proofErr w:type="spellEnd"/>
      <w:r>
        <w:rPr>
          <w:rFonts w:cs="Helvetica"/>
          <w:color w:val="232323"/>
        </w:rPr>
        <w:t>) základním právem, je povinností státu (a potažmo konkrétních vzdělávacích institucí) zajistit efektivní realizaci práva na vzdělání (náležité kvality formy a obsahu), která v demokratickém právním státě musí aspirovat na vysoké standardy, založené na principech odbornosti, objektivity a demokratického pluralitního charakteru.</w:t>
      </w:r>
    </w:p>
    <w:p w:rsidR="006F2D53" w:rsidRDefault="00F3682B">
      <w:pPr>
        <w:pStyle w:val="Odstavecseseznamem"/>
        <w:widowControl/>
        <w:numPr>
          <w:ilvl w:val="0"/>
          <w:numId w:val="22"/>
        </w:numPr>
        <w:shd w:val="clear" w:color="auto" w:fill="FFFFFF"/>
        <w:spacing w:after="192"/>
        <w:jc w:val="both"/>
      </w:pPr>
      <w:r>
        <w:rPr>
          <w:rFonts w:cs="Helvetica"/>
          <w:color w:val="232323"/>
        </w:rPr>
        <w:t>Respektování a plnohodnotná realizace práva na vzdělání má směřovat k rozvoji osobnosti, názorové pluralitě, posílení vzájemného porozumění ve společnosti a jejímu celkovému rozvoji, jakož i k úctě k základním lidským právům. Všechny tyto hodnoty lze ve svém konečném důsledku nepochybně označit za celospolečenský veřejný zájem.</w:t>
      </w:r>
    </w:p>
    <w:p w:rsidR="006F2D53" w:rsidRDefault="00F3682B">
      <w:pPr>
        <w:pStyle w:val="Odstavecseseznamem"/>
        <w:widowControl/>
        <w:numPr>
          <w:ilvl w:val="0"/>
          <w:numId w:val="22"/>
        </w:numPr>
        <w:shd w:val="clear" w:color="auto" w:fill="FFFFFF"/>
        <w:spacing w:after="192"/>
        <w:jc w:val="both"/>
      </w:pPr>
      <w:r>
        <w:rPr>
          <w:rFonts w:cs="Helvetica"/>
          <w:color w:val="232323"/>
        </w:rPr>
        <w:t xml:space="preserve">Společným cílem všech vysokých škol (ať už veřejného či soukromého charakteru) tedy je poskytovat natolik kvalitní formu vysokoškolského vzdělávání, aby byla hodna tomuto nejvyššímu článku vzdělávacího systému a především aby studenti (resp. absolventi) disponovali všestrannými znalostmi a kvalitní přípravou pro co nejlepší budoucí uplatnění na trhu práce. </w:t>
      </w:r>
    </w:p>
    <w:p w:rsidR="006F2D53" w:rsidRDefault="00F3682B">
      <w:pPr>
        <w:pStyle w:val="Odstavecseseznamem"/>
        <w:widowControl/>
        <w:numPr>
          <w:ilvl w:val="0"/>
          <w:numId w:val="22"/>
        </w:numPr>
        <w:shd w:val="clear" w:color="auto" w:fill="FFFFFF"/>
        <w:spacing w:after="192"/>
        <w:jc w:val="both"/>
      </w:pPr>
      <w:r>
        <w:rPr>
          <w:rFonts w:cs="Helvetica"/>
          <w:color w:val="232323"/>
        </w:rPr>
        <w:t>V zájmu dosažení výše uvedených cílů je potřeba nejen kvalitního a dostatečně erudovaného akademického personálu, technického zázemí, ale nepochybně též vedení studijní agendy, která zajistí maximální možné zefektivnění vnitřních studijních procesů a bezproblémový chod celého univerzitního vzdělávacího systému.</w:t>
      </w:r>
    </w:p>
    <w:p w:rsidR="006F2D53" w:rsidRDefault="00F3682B">
      <w:pPr>
        <w:pStyle w:val="Odstavecseseznamem"/>
        <w:widowControl/>
        <w:numPr>
          <w:ilvl w:val="0"/>
          <w:numId w:val="22"/>
        </w:numPr>
        <w:shd w:val="clear" w:color="auto" w:fill="FFFFFF"/>
        <w:spacing w:after="192"/>
        <w:jc w:val="both"/>
      </w:pPr>
      <w:r>
        <w:rPr>
          <w:rFonts w:cs="Helvetica"/>
          <w:color w:val="232323"/>
        </w:rPr>
        <w:t xml:space="preserve">Vedení spolehlivé inovativní webové studijní agendy v podobě IS/STAG je společným cílem všech vysokých škol využívajících IS/STAG, který současně spolu s jinými nástroji slouží k naplňování hlavní činnosti a účelu vysokých škol. </w:t>
      </w:r>
    </w:p>
    <w:p w:rsidR="006F2D53" w:rsidRDefault="00F3682B">
      <w:pPr>
        <w:shd w:val="clear" w:color="auto" w:fill="FFFFFF"/>
        <w:spacing w:after="192"/>
        <w:jc w:val="both"/>
      </w:pPr>
      <w:r>
        <w:rPr>
          <w:rFonts w:cs="Helvetica"/>
          <w:b/>
          <w:color w:val="232323"/>
        </w:rPr>
        <w:t>c) každý z těchto veřejných zadavatelů vykonává na trhu méně než 20 % svých činností, kterých se spolupráce podle písmene a) týká.</w:t>
      </w:r>
    </w:p>
    <w:p w:rsidR="006F2D53" w:rsidRDefault="00F3682B">
      <w:pPr>
        <w:pStyle w:val="Odstavecseseznamem"/>
        <w:widowControl/>
        <w:numPr>
          <w:ilvl w:val="0"/>
          <w:numId w:val="23"/>
        </w:numPr>
        <w:shd w:val="clear" w:color="auto" w:fill="FFFFFF"/>
        <w:spacing w:after="192"/>
        <w:jc w:val="both"/>
      </w:pPr>
      <w:r>
        <w:rPr>
          <w:rFonts w:cs="Helvetica"/>
          <w:color w:val="232323"/>
        </w:rPr>
        <w:t>Při poskytování služeb spojených s chodem systému IS/STAG není ZČU žádným způsobem motivována snahou o dosažení zisku na úkor ostatních veřejných zadavatelů.</w:t>
      </w:r>
    </w:p>
    <w:p w:rsidR="006F2D53" w:rsidRDefault="00F3682B">
      <w:pPr>
        <w:pStyle w:val="Odstavecseseznamem"/>
        <w:widowControl/>
        <w:numPr>
          <w:ilvl w:val="0"/>
          <w:numId w:val="23"/>
        </w:numPr>
        <w:shd w:val="clear" w:color="auto" w:fill="FFFFFF"/>
        <w:spacing w:after="192"/>
        <w:jc w:val="both"/>
      </w:pPr>
      <w:r>
        <w:rPr>
          <w:rFonts w:cs="Helvetica"/>
          <w:color w:val="232323"/>
        </w:rPr>
        <w:t>ZČU deklaruje, že ani příjmy od jiných subjektů za užívání IS/STAG a souvisejících servisních služeb nejsou využívány jiným způsobem než k zajištění údržby, rozvoje a servisu IS/STAG, ZČU současně deklaruje, že příjmy od těchto třetích subjektů (soukromé vysoké školy) nepřesahují limity dle § 12 a 13 ZZVZ.</w:t>
      </w:r>
    </w:p>
    <w:p w:rsidR="006F2D53" w:rsidRDefault="00F3682B">
      <w:pPr>
        <w:pStyle w:val="Odstavecseseznamem"/>
        <w:widowControl/>
        <w:numPr>
          <w:ilvl w:val="0"/>
          <w:numId w:val="23"/>
        </w:numPr>
        <w:shd w:val="clear" w:color="auto" w:fill="FFFFFF"/>
        <w:spacing w:after="192"/>
        <w:jc w:val="both"/>
      </w:pPr>
      <w:r>
        <w:rPr>
          <w:rFonts w:cs="Helvetica"/>
          <w:color w:val="232323"/>
        </w:rPr>
        <w:t xml:space="preserve">ZČU dále deklaruje, že je výhradním držitelem i poskytovatelem licenčních práv k systému IS/STAG (vč. jakýchkoli budoucích nových/upravených verzí IS/STAG). Vzhledem k tomu nemá žádný jiný subjekt právo systém IS/STAG poskytovat či nabízet na trhu. </w:t>
      </w:r>
    </w:p>
    <w:p w:rsidR="006F2D53" w:rsidRDefault="00F3682B">
      <w:pPr>
        <w:pStyle w:val="Teclotextu"/>
        <w:tabs>
          <w:tab w:val="center" w:pos="1418"/>
          <w:tab w:val="center" w:pos="7371"/>
        </w:tabs>
        <w:rPr>
          <w:rFonts w:cstheme="minorBidi"/>
        </w:rPr>
      </w:pPr>
      <w:r>
        <w:rPr>
          <w:rFonts w:ascii="Garamond" w:hAnsi="Garamond" w:cs="Helvetica"/>
          <w:color w:val="232323"/>
        </w:rPr>
        <w:t xml:space="preserve"> </w:t>
      </w:r>
    </w:p>
    <w:sectPr w:rsidR="006F2D53">
      <w:footerReference w:type="default" r:id="rId13"/>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E0" w:rsidRDefault="00674EE0">
      <w:r>
        <w:separator/>
      </w:r>
    </w:p>
  </w:endnote>
  <w:endnote w:type="continuationSeparator" w:id="0">
    <w:p w:rsidR="00674EE0" w:rsidRDefault="0067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398846"/>
      <w:docPartObj>
        <w:docPartGallery w:val="Page Numbers (Bottom of Page)"/>
        <w:docPartUnique/>
      </w:docPartObj>
    </w:sdtPr>
    <w:sdtEndPr/>
    <w:sdtContent>
      <w:p w:rsidR="006F2D53" w:rsidRDefault="00F3682B">
        <w:pPr>
          <w:pStyle w:val="Zpat"/>
          <w:jc w:val="right"/>
        </w:pPr>
        <w:r>
          <w:fldChar w:fldCharType="begin"/>
        </w:r>
        <w:r>
          <w:instrText>PAGE</w:instrText>
        </w:r>
        <w:r>
          <w:fldChar w:fldCharType="separate"/>
        </w:r>
        <w:r w:rsidR="007A7508">
          <w:rPr>
            <w:noProof/>
          </w:rPr>
          <w:t>17</w:t>
        </w:r>
        <w:r>
          <w:fldChar w:fldCharType="end"/>
        </w:r>
      </w:p>
    </w:sdtContent>
  </w:sdt>
  <w:p w:rsidR="006F2D53" w:rsidRDefault="006F2D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E0" w:rsidRDefault="00674EE0">
      <w:r>
        <w:separator/>
      </w:r>
    </w:p>
  </w:footnote>
  <w:footnote w:type="continuationSeparator" w:id="0">
    <w:p w:rsidR="00674EE0" w:rsidRDefault="00674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8F9"/>
    <w:multiLevelType w:val="multilevel"/>
    <w:tmpl w:val="92AEC45C"/>
    <w:lvl w:ilvl="0">
      <w:start w:val="1"/>
      <w:numFmt w:val="decimal"/>
      <w:lvlText w:val="%1."/>
      <w:lvlJc w:val="left"/>
      <w:pPr>
        <w:tabs>
          <w:tab w:val="num" w:pos="0"/>
        </w:tabs>
        <w:ind w:left="360" w:hanging="360"/>
      </w:pPr>
    </w:lvl>
    <w:lvl w:ilvl="1">
      <w:start w:val="1"/>
      <w:numFmt w:val="decimal"/>
      <w:lvlText w:val="8.%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837730"/>
    <w:multiLevelType w:val="multilevel"/>
    <w:tmpl w:val="59FCAE02"/>
    <w:lvl w:ilvl="0">
      <w:start w:val="1"/>
      <w:numFmt w:val="upp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2" w15:restartNumberingAfterBreak="0">
    <w:nsid w:val="070924C6"/>
    <w:multiLevelType w:val="multilevel"/>
    <w:tmpl w:val="1804B2D0"/>
    <w:lvl w:ilvl="0">
      <w:start w:val="6"/>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sz w:val="24"/>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440" w:hanging="144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800" w:hanging="180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3" w15:restartNumberingAfterBreak="0">
    <w:nsid w:val="09925808"/>
    <w:multiLevelType w:val="multilevel"/>
    <w:tmpl w:val="FAAE82EC"/>
    <w:lvl w:ilvl="0">
      <w:start w:val="1"/>
      <w:numFmt w:val="upperLetter"/>
      <w:lvlText w:val="%1)"/>
      <w:lvlJc w:val="left"/>
      <w:pPr>
        <w:tabs>
          <w:tab w:val="num" w:pos="0"/>
        </w:tabs>
        <w:ind w:left="720" w:hanging="360"/>
      </w:pPr>
      <w:rPr>
        <w:rFonts w:eastAsia="Times New Roman" w:cs="Times New Roman"/>
        <w:b/>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 w15:restartNumberingAfterBreak="0">
    <w:nsid w:val="09F1134D"/>
    <w:multiLevelType w:val="multilevel"/>
    <w:tmpl w:val="2E000FC6"/>
    <w:lvl w:ilvl="0">
      <w:start w:val="1"/>
      <w:numFmt w:val="upp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5" w15:restartNumberingAfterBreak="0">
    <w:nsid w:val="102925B3"/>
    <w:multiLevelType w:val="multilevel"/>
    <w:tmpl w:val="1C1E1ED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3.2"/>
      <w:lvlJc w:val="left"/>
      <w:pPr>
        <w:tabs>
          <w:tab w:val="num" w:pos="0"/>
        </w:tabs>
        <w:ind w:left="1224" w:hanging="504"/>
      </w:pPr>
    </w:lvl>
    <w:lvl w:ilvl="3">
      <w:start w:val="1"/>
      <w:numFmt w:val="lowerLetter"/>
      <w:lvlText w:val="%4)"/>
      <w:lvlJc w:val="left"/>
      <w:pPr>
        <w:tabs>
          <w:tab w:val="num" w:pos="0"/>
        </w:tabs>
        <w:ind w:left="1728" w:hanging="648"/>
      </w:pPr>
      <w:rPr>
        <w:rFonts w:eastAsia="Times New Roman" w:cs="Times New Roman"/>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C715750"/>
    <w:multiLevelType w:val="multilevel"/>
    <w:tmpl w:val="0405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ED760A7"/>
    <w:multiLevelType w:val="multilevel"/>
    <w:tmpl w:val="654A375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2C794882"/>
    <w:multiLevelType w:val="multilevel"/>
    <w:tmpl w:val="DF369EE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2D194C20"/>
    <w:multiLevelType w:val="multilevel"/>
    <w:tmpl w:val="5ABE92E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2AC1B34"/>
    <w:multiLevelType w:val="multilevel"/>
    <w:tmpl w:val="B74C76D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37993507"/>
    <w:multiLevelType w:val="multilevel"/>
    <w:tmpl w:val="FE12BFCE"/>
    <w:lvl w:ilvl="0">
      <w:start w:val="7"/>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12" w15:restartNumberingAfterBreak="0">
    <w:nsid w:val="39F76631"/>
    <w:multiLevelType w:val="multilevel"/>
    <w:tmpl w:val="84FC3420"/>
    <w:lvl w:ilvl="0">
      <w:start w:val="1"/>
      <w:numFmt w:val="lowerLetter"/>
      <w:lvlText w:val="%1)"/>
      <w:lvlJc w:val="left"/>
      <w:pPr>
        <w:tabs>
          <w:tab w:val="num" w:pos="0"/>
        </w:tabs>
        <w:ind w:left="1356" w:hanging="360"/>
      </w:pPr>
    </w:lvl>
    <w:lvl w:ilvl="1">
      <w:start w:val="1"/>
      <w:numFmt w:val="lowerLetter"/>
      <w:lvlText w:val="%2."/>
      <w:lvlJc w:val="left"/>
      <w:pPr>
        <w:tabs>
          <w:tab w:val="num" w:pos="0"/>
        </w:tabs>
        <w:ind w:left="2076" w:hanging="360"/>
      </w:pPr>
    </w:lvl>
    <w:lvl w:ilvl="2">
      <w:start w:val="1"/>
      <w:numFmt w:val="lowerRoman"/>
      <w:lvlText w:val="%3."/>
      <w:lvlJc w:val="right"/>
      <w:pPr>
        <w:tabs>
          <w:tab w:val="num" w:pos="0"/>
        </w:tabs>
        <w:ind w:left="2796" w:hanging="180"/>
      </w:pPr>
    </w:lvl>
    <w:lvl w:ilvl="3">
      <w:start w:val="1"/>
      <w:numFmt w:val="decimal"/>
      <w:lvlText w:val="%4."/>
      <w:lvlJc w:val="left"/>
      <w:pPr>
        <w:tabs>
          <w:tab w:val="num" w:pos="0"/>
        </w:tabs>
        <w:ind w:left="3516" w:hanging="360"/>
      </w:pPr>
    </w:lvl>
    <w:lvl w:ilvl="4">
      <w:start w:val="1"/>
      <w:numFmt w:val="lowerLetter"/>
      <w:lvlText w:val="%5."/>
      <w:lvlJc w:val="left"/>
      <w:pPr>
        <w:tabs>
          <w:tab w:val="num" w:pos="0"/>
        </w:tabs>
        <w:ind w:left="4236" w:hanging="360"/>
      </w:pPr>
    </w:lvl>
    <w:lvl w:ilvl="5">
      <w:start w:val="1"/>
      <w:numFmt w:val="lowerRoman"/>
      <w:lvlText w:val="%6."/>
      <w:lvlJc w:val="right"/>
      <w:pPr>
        <w:tabs>
          <w:tab w:val="num" w:pos="0"/>
        </w:tabs>
        <w:ind w:left="4956" w:hanging="180"/>
      </w:pPr>
    </w:lvl>
    <w:lvl w:ilvl="6">
      <w:start w:val="1"/>
      <w:numFmt w:val="decimal"/>
      <w:lvlText w:val="%7."/>
      <w:lvlJc w:val="left"/>
      <w:pPr>
        <w:tabs>
          <w:tab w:val="num" w:pos="0"/>
        </w:tabs>
        <w:ind w:left="5676" w:hanging="360"/>
      </w:pPr>
    </w:lvl>
    <w:lvl w:ilvl="7">
      <w:start w:val="1"/>
      <w:numFmt w:val="lowerLetter"/>
      <w:lvlText w:val="%8."/>
      <w:lvlJc w:val="left"/>
      <w:pPr>
        <w:tabs>
          <w:tab w:val="num" w:pos="0"/>
        </w:tabs>
        <w:ind w:left="6396" w:hanging="360"/>
      </w:pPr>
    </w:lvl>
    <w:lvl w:ilvl="8">
      <w:start w:val="1"/>
      <w:numFmt w:val="lowerRoman"/>
      <w:lvlText w:val="%9."/>
      <w:lvlJc w:val="right"/>
      <w:pPr>
        <w:tabs>
          <w:tab w:val="num" w:pos="0"/>
        </w:tabs>
        <w:ind w:left="7116" w:hanging="180"/>
      </w:pPr>
    </w:lvl>
  </w:abstractNum>
  <w:abstractNum w:abstractNumId="13" w15:restartNumberingAfterBreak="0">
    <w:nsid w:val="41B467A9"/>
    <w:multiLevelType w:val="multilevel"/>
    <w:tmpl w:val="128246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02566A"/>
    <w:multiLevelType w:val="multilevel"/>
    <w:tmpl w:val="D1ECE648"/>
    <w:lvl w:ilvl="0">
      <w:start w:val="1"/>
      <w:numFmt w:val="upp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15" w15:restartNumberingAfterBreak="0">
    <w:nsid w:val="47776DC5"/>
    <w:multiLevelType w:val="multilevel"/>
    <w:tmpl w:val="E2F435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77C1455"/>
    <w:multiLevelType w:val="multilevel"/>
    <w:tmpl w:val="6254A8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DEE7672"/>
    <w:multiLevelType w:val="multilevel"/>
    <w:tmpl w:val="82A2241E"/>
    <w:lvl w:ilvl="0">
      <w:start w:val="5"/>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18" w15:restartNumberingAfterBreak="0">
    <w:nsid w:val="4FEA19BD"/>
    <w:multiLevelType w:val="multilevel"/>
    <w:tmpl w:val="4F04A39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A496BF3"/>
    <w:multiLevelType w:val="multilevel"/>
    <w:tmpl w:val="1E7A8F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D141181"/>
    <w:multiLevelType w:val="multilevel"/>
    <w:tmpl w:val="57D4D1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A63355D"/>
    <w:multiLevelType w:val="multilevel"/>
    <w:tmpl w:val="C0C6179E"/>
    <w:lvl w:ilvl="0">
      <w:start w:val="1"/>
      <w:numFmt w:val="decimal"/>
      <w:lvlText w:val="%1."/>
      <w:lvlJc w:val="left"/>
      <w:pPr>
        <w:tabs>
          <w:tab w:val="num" w:pos="0"/>
        </w:tabs>
        <w:ind w:left="360" w:hanging="360"/>
      </w:pPr>
    </w:lvl>
    <w:lvl w:ilvl="1">
      <w:start w:val="3"/>
      <w:numFmt w:val="decimal"/>
      <w:lvlText w:val="%2."/>
      <w:lvlJc w:val="left"/>
      <w:pPr>
        <w:tabs>
          <w:tab w:val="num" w:pos="0"/>
        </w:tabs>
        <w:ind w:left="792" w:hanging="432"/>
      </w:pPr>
    </w:lvl>
    <w:lvl w:ilvl="2">
      <w:start w:val="1"/>
      <w:numFmt w:val="lowerRoman"/>
      <w:lvlText w:val="%3."/>
      <w:lvlJc w:val="left"/>
      <w:pPr>
        <w:tabs>
          <w:tab w:val="num" w:pos="0"/>
        </w:tabs>
        <w:ind w:left="1224" w:hanging="504"/>
      </w:pPr>
    </w:lvl>
    <w:lvl w:ilvl="3">
      <w:start w:val="1"/>
      <w:numFmt w:val="lowerLetter"/>
      <w:lvlText w:val="%4)"/>
      <w:lvlJc w:val="left"/>
      <w:pPr>
        <w:tabs>
          <w:tab w:val="num" w:pos="0"/>
        </w:tabs>
        <w:ind w:left="1728" w:hanging="648"/>
      </w:pPr>
      <w:rPr>
        <w:rFonts w:eastAsia="Times New Roman" w:cs="Times New Roman"/>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7A7528AC"/>
    <w:multiLevelType w:val="multilevel"/>
    <w:tmpl w:val="38068E8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F3610C1"/>
    <w:multiLevelType w:val="multilevel"/>
    <w:tmpl w:val="F860274A"/>
    <w:lvl w:ilvl="0">
      <w:start w:val="1"/>
      <w:numFmt w:val="upp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num w:numId="1">
    <w:abstractNumId w:val="3"/>
  </w:num>
  <w:num w:numId="2">
    <w:abstractNumId w:val="1"/>
  </w:num>
  <w:num w:numId="3">
    <w:abstractNumId w:val="4"/>
  </w:num>
  <w:num w:numId="4">
    <w:abstractNumId w:val="14"/>
  </w:num>
  <w:num w:numId="5">
    <w:abstractNumId w:val="23"/>
  </w:num>
  <w:num w:numId="6">
    <w:abstractNumId w:val="17"/>
  </w:num>
  <w:num w:numId="7">
    <w:abstractNumId w:val="2"/>
  </w:num>
  <w:num w:numId="8">
    <w:abstractNumId w:val="11"/>
  </w:num>
  <w:num w:numId="9">
    <w:abstractNumId w:val="22"/>
  </w:num>
  <w:num w:numId="10">
    <w:abstractNumId w:val="7"/>
  </w:num>
  <w:num w:numId="11">
    <w:abstractNumId w:val="8"/>
  </w:num>
  <w:num w:numId="12">
    <w:abstractNumId w:val="6"/>
  </w:num>
  <w:num w:numId="13">
    <w:abstractNumId w:val="18"/>
  </w:num>
  <w:num w:numId="14">
    <w:abstractNumId w:val="9"/>
  </w:num>
  <w:num w:numId="15">
    <w:abstractNumId w:val="5"/>
  </w:num>
  <w:num w:numId="16">
    <w:abstractNumId w:val="21"/>
  </w:num>
  <w:num w:numId="17">
    <w:abstractNumId w:val="10"/>
  </w:num>
  <w:num w:numId="18">
    <w:abstractNumId w:val="12"/>
  </w:num>
  <w:num w:numId="19">
    <w:abstractNumId w:val="0"/>
  </w:num>
  <w:num w:numId="20">
    <w:abstractNumId w:val="13"/>
  </w:num>
  <w:num w:numId="21">
    <w:abstractNumId w:val="20"/>
  </w:num>
  <w:num w:numId="22">
    <w:abstractNumId w:val="15"/>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D53"/>
    <w:rsid w:val="001B2242"/>
    <w:rsid w:val="005068FB"/>
    <w:rsid w:val="00674EE0"/>
    <w:rsid w:val="006F2D53"/>
    <w:rsid w:val="00765BB6"/>
    <w:rsid w:val="007A7508"/>
    <w:rsid w:val="00830FD9"/>
    <w:rsid w:val="00863379"/>
    <w:rsid w:val="009A12DD"/>
    <w:rsid w:val="00BF4198"/>
    <w:rsid w:val="00CC038D"/>
    <w:rsid w:val="00E204B3"/>
    <w:rsid w:val="00F3682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71F"/>
  <w15:docId w15:val="{4EFED675-8AA1-4E22-A522-D0340A46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rPr>
      <w:rFonts w:ascii="Times New Roman" w:eastAsia="Times New Roman" w:hAnsi="Times New Roman" w:cs="Times New Roman"/>
      <w:kern w:val="2"/>
      <w:sz w:val="24"/>
      <w:szCs w:val="24"/>
    </w:rPr>
  </w:style>
  <w:style w:type="paragraph" w:styleId="Nadpis1">
    <w:name w:val="heading 1"/>
    <w:basedOn w:val="Nadpis"/>
    <w:link w:val="Nadpis1Char"/>
    <w:uiPriority w:val="99"/>
    <w:qFormat/>
    <w:pPr>
      <w:tabs>
        <w:tab w:val="left" w:pos="0"/>
        <w:tab w:val="left" w:pos="3402"/>
      </w:tabs>
      <w:outlineLvl w:val="0"/>
    </w:pPr>
    <w:rPr>
      <w:b/>
      <w:bCs/>
      <w:smallCaps/>
    </w:rPr>
  </w:style>
  <w:style w:type="paragraph" w:styleId="Nadpis2">
    <w:name w:val="heading 2"/>
    <w:basedOn w:val="Nadpis"/>
    <w:link w:val="Nadpis2Char"/>
    <w:uiPriority w:val="99"/>
    <w:qFormat/>
    <w:pPr>
      <w:tabs>
        <w:tab w:val="left" w:pos="0"/>
      </w:tabs>
      <w:outlineLvl w:val="1"/>
    </w:pPr>
    <w:rPr>
      <w:rFonts w:ascii="Times New Roman" w:hAnsi="Times New Roman" w:cs="Times New Roman"/>
      <w:b/>
      <w:bCs/>
      <w:i/>
      <w:iCs/>
      <w:sz w:val="26"/>
      <w:szCs w:val="26"/>
    </w:rPr>
  </w:style>
  <w:style w:type="paragraph" w:styleId="Nadpis3">
    <w:name w:val="heading 3"/>
    <w:basedOn w:val="Nadpis1"/>
    <w:link w:val="Nadpis3Char"/>
    <w:uiPriority w:val="99"/>
    <w:qFormat/>
    <w:pPr>
      <w:spacing w:before="360" w:after="240"/>
      <w:outlineLvl w:val="2"/>
    </w:pPr>
    <w:rPr>
      <w:sz w:val="26"/>
      <w:szCs w:val="26"/>
    </w:rPr>
  </w:style>
  <w:style w:type="paragraph" w:styleId="Nadpis4">
    <w:name w:val="heading 4"/>
    <w:basedOn w:val="Nadpis3"/>
    <w:link w:val="Nadpis4Char"/>
    <w:uiPriority w:val="99"/>
    <w:qFormat/>
    <w:pPr>
      <w:spacing w:before="240" w:after="160"/>
      <w:outlineLvl w:val="3"/>
    </w:pPr>
    <w:rPr>
      <w:sz w:val="22"/>
      <w:szCs w:val="22"/>
    </w:rPr>
  </w:style>
  <w:style w:type="paragraph" w:styleId="Nadpis5">
    <w:name w:val="heading 5"/>
    <w:basedOn w:val="Nadpis3"/>
    <w:link w:val="Nadpis5Char"/>
    <w:uiPriority w:val="99"/>
    <w:qFormat/>
    <w:pPr>
      <w:spacing w:before="240"/>
      <w:outlineLvl w:val="4"/>
    </w:pPr>
    <w:rPr>
      <w:i/>
      <w:iCs/>
      <w:sz w:val="20"/>
      <w:szCs w:val="20"/>
    </w:rPr>
  </w:style>
  <w:style w:type="paragraph" w:styleId="Nadpis6">
    <w:name w:val="heading 6"/>
    <w:basedOn w:val="Nadpis"/>
    <w:link w:val="Nadpis6Char"/>
    <w:uiPriority w:val="99"/>
    <w:qFormat/>
    <w:pPr>
      <w:tabs>
        <w:tab w:val="left" w:pos="0"/>
      </w:tabs>
      <w:outlineLvl w:val="5"/>
    </w:pPr>
    <w:rPr>
      <w:b/>
      <w:bCs/>
      <w:sz w:val="21"/>
      <w:szCs w:val="21"/>
    </w:rPr>
  </w:style>
  <w:style w:type="paragraph" w:styleId="Nadpis7">
    <w:name w:val="heading 7"/>
    <w:basedOn w:val="Nadpis"/>
    <w:link w:val="Nadpis7Char"/>
    <w:uiPriority w:val="99"/>
    <w:qFormat/>
    <w:pPr>
      <w:tabs>
        <w:tab w:val="left" w:pos="0"/>
      </w:tabs>
      <w:outlineLvl w:val="6"/>
    </w:pPr>
    <w:rPr>
      <w:b/>
      <w:bCs/>
      <w:sz w:val="21"/>
      <w:szCs w:val="21"/>
    </w:rPr>
  </w:style>
  <w:style w:type="paragraph" w:styleId="Nadpis8">
    <w:name w:val="heading 8"/>
    <w:basedOn w:val="Nadpis"/>
    <w:link w:val="Nadpis8Char"/>
    <w:uiPriority w:val="99"/>
    <w:qFormat/>
    <w:pPr>
      <w:tabs>
        <w:tab w:val="left" w:pos="0"/>
      </w:tabs>
      <w:outlineLvl w:val="7"/>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Pr>
      <w:b/>
      <w:bCs/>
      <w:smallCaps/>
    </w:rPr>
  </w:style>
  <w:style w:type="character" w:customStyle="1" w:styleId="Nadpis2Char">
    <w:name w:val="Nadpis 2 Char"/>
    <w:basedOn w:val="Standardnpsmoodstavce"/>
    <w:link w:val="Nadpis2"/>
    <w:uiPriority w:val="99"/>
    <w:qFormat/>
    <w:rPr>
      <w:rFonts w:eastAsia="Times New Roman"/>
      <w:b/>
      <w:bCs/>
      <w:i/>
      <w:iCs/>
      <w:sz w:val="28"/>
      <w:szCs w:val="28"/>
    </w:rPr>
  </w:style>
  <w:style w:type="character" w:customStyle="1" w:styleId="Nadpis3Char">
    <w:name w:val="Nadpis 3 Char"/>
    <w:basedOn w:val="Standardnpsmoodstavce"/>
    <w:link w:val="Nadpis3"/>
    <w:uiPriority w:val="99"/>
    <w:qFormat/>
    <w:rPr>
      <w:rFonts w:ascii="Cambria" w:eastAsia="Times New Roman" w:hAnsi="Cambria" w:cs="Cambria"/>
      <w:b/>
      <w:bCs/>
      <w:sz w:val="26"/>
      <w:szCs w:val="26"/>
    </w:rPr>
  </w:style>
  <w:style w:type="character" w:customStyle="1" w:styleId="Nadpis4Char">
    <w:name w:val="Nadpis 4 Char"/>
    <w:basedOn w:val="Standardnpsmoodstavce"/>
    <w:link w:val="Nadpis4"/>
    <w:uiPriority w:val="99"/>
    <w:qFormat/>
    <w:rPr>
      <w:rFonts w:ascii="Calibri" w:eastAsia="Times New Roman" w:hAnsi="Calibri" w:cs="Calibri"/>
      <w:b/>
      <w:bCs/>
      <w:sz w:val="28"/>
      <w:szCs w:val="28"/>
    </w:rPr>
  </w:style>
  <w:style w:type="character" w:customStyle="1" w:styleId="Nadpis5Char">
    <w:name w:val="Nadpis 5 Char"/>
    <w:basedOn w:val="Standardnpsmoodstavce"/>
    <w:link w:val="Nadpis5"/>
    <w:uiPriority w:val="99"/>
    <w:qFormat/>
    <w:rPr>
      <w:rFonts w:ascii="Calibri" w:eastAsia="Times New Roman" w:hAnsi="Calibri" w:cs="Calibri"/>
      <w:b/>
      <w:bCs/>
      <w:i/>
      <w:iCs/>
      <w:sz w:val="26"/>
      <w:szCs w:val="26"/>
    </w:rPr>
  </w:style>
  <w:style w:type="character" w:customStyle="1" w:styleId="Nadpis6Char">
    <w:name w:val="Nadpis 6 Char"/>
    <w:basedOn w:val="Standardnpsmoodstavce"/>
    <w:link w:val="Nadpis6"/>
    <w:uiPriority w:val="99"/>
    <w:qFormat/>
    <w:rPr>
      <w:rFonts w:ascii="Arial" w:eastAsia="Times New Roman" w:hAnsi="Arial" w:cs="Arial"/>
      <w:b/>
      <w:bCs/>
      <w:sz w:val="21"/>
      <w:szCs w:val="21"/>
    </w:rPr>
  </w:style>
  <w:style w:type="character" w:customStyle="1" w:styleId="Nadpis7Char">
    <w:name w:val="Nadpis 7 Char"/>
    <w:basedOn w:val="Standardnpsmoodstavce"/>
    <w:link w:val="Nadpis7"/>
    <w:uiPriority w:val="99"/>
    <w:qFormat/>
    <w:rPr>
      <w:rFonts w:ascii="Arial" w:eastAsia="Times New Roman" w:hAnsi="Arial" w:cs="Arial"/>
      <w:b/>
      <w:bCs/>
      <w:sz w:val="21"/>
      <w:szCs w:val="21"/>
    </w:rPr>
  </w:style>
  <w:style w:type="character" w:customStyle="1" w:styleId="Nadpis8Char">
    <w:name w:val="Nadpis 8 Char"/>
    <w:basedOn w:val="Standardnpsmoodstavce"/>
    <w:link w:val="Nadpis8"/>
    <w:uiPriority w:val="99"/>
    <w:qFormat/>
    <w:rPr>
      <w:rFonts w:ascii="Arial" w:eastAsia="Times New Roman" w:hAnsi="Arial" w:cs="Arial"/>
      <w:b/>
      <w:bCs/>
      <w:sz w:val="21"/>
      <w:szCs w:val="21"/>
    </w:rPr>
  </w:style>
  <w:style w:type="character" w:customStyle="1" w:styleId="WW8Num10z0">
    <w:name w:val="WW8Num10z0"/>
    <w:uiPriority w:val="99"/>
    <w:qFormat/>
    <w:rPr>
      <w:b/>
      <w:bCs/>
      <w:color w:val="808080"/>
    </w:rPr>
  </w:style>
  <w:style w:type="character" w:customStyle="1" w:styleId="Standardnedpedsmoodstavce1">
    <w:name w:val="Standardníed píedsmo odstavce1"/>
    <w:uiPriority w:val="99"/>
    <w:qFormat/>
  </w:style>
  <w:style w:type="character" w:customStyle="1" w:styleId="Ovladaciprvek">
    <w:name w:val="Ovladaci_prvek"/>
    <w:basedOn w:val="Standardnedpedsmoodstavce1"/>
    <w:uiPriority w:val="99"/>
    <w:qFormat/>
    <w:rPr>
      <w:rFonts w:ascii="Tahoma" w:hAnsi="Tahoma" w:cs="Tahoma"/>
      <w:b/>
      <w:bCs/>
      <w:sz w:val="18"/>
      <w:szCs w:val="18"/>
    </w:rPr>
  </w:style>
  <w:style w:type="character" w:customStyle="1" w:styleId="WW8Num4z1">
    <w:name w:val="WW8Num4z1"/>
    <w:uiPriority w:val="99"/>
    <w:qFormat/>
    <w:rPr>
      <w:rFonts w:ascii="Courier New" w:hAnsi="Courier New" w:cs="Courier New"/>
    </w:rPr>
  </w:style>
  <w:style w:type="character" w:customStyle="1" w:styleId="Bullets">
    <w:name w:val="Bullets"/>
    <w:uiPriority w:val="99"/>
    <w:qFormat/>
    <w:rPr>
      <w:rFonts w:ascii="OpenSymbol" w:hAnsi="OpenSymbol" w:cs="OpenSymbol"/>
    </w:rPr>
  </w:style>
  <w:style w:type="character" w:customStyle="1" w:styleId="Symbolyproe8edslove1ned">
    <w:name w:val="Symboly pro če8íedslováe1níed"/>
    <w:uiPriority w:val="99"/>
    <w:qFormat/>
  </w:style>
  <w:style w:type="character" w:customStyle="1" w:styleId="Ze1kladnedtextChar">
    <w:name w:val="Záe1kladníed text Char"/>
    <w:basedOn w:val="Standardnpsmoodstavce"/>
    <w:uiPriority w:val="99"/>
    <w:qFormat/>
  </w:style>
  <w:style w:type="character" w:customStyle="1" w:styleId="Ze1hlavedChar">
    <w:name w:val="Záe1hlavíed Char"/>
    <w:basedOn w:val="Standardnpsmoodstavce"/>
    <w:uiPriority w:val="99"/>
    <w:qFormat/>
  </w:style>
  <w:style w:type="character" w:customStyle="1" w:styleId="TextbublinyChar">
    <w:name w:val="Text bubliny Char"/>
    <w:basedOn w:val="Standardnpsmoodstavce"/>
    <w:uiPriority w:val="99"/>
    <w:qFormat/>
    <w:rPr>
      <w:rFonts w:ascii="Segoe UI" w:eastAsia="Times New Roman" w:hAnsi="Segoe UI" w:cs="Segoe UI"/>
      <w:sz w:val="18"/>
      <w:szCs w:val="18"/>
    </w:rPr>
  </w:style>
  <w:style w:type="character" w:customStyle="1" w:styleId="Ze1patedChar">
    <w:name w:val="Záe1patíed Char"/>
    <w:basedOn w:val="Standardnpsmoodstavce"/>
    <w:uiPriority w:val="99"/>
    <w:qFormat/>
  </w:style>
  <w:style w:type="character" w:styleId="Odkaznakoment">
    <w:name w:val="annotation reference"/>
    <w:basedOn w:val="Standardnpsmoodstavce"/>
    <w:uiPriority w:val="99"/>
    <w:qFormat/>
    <w:rPr>
      <w:sz w:val="16"/>
      <w:szCs w:val="16"/>
    </w:rPr>
  </w:style>
  <w:style w:type="character" w:customStyle="1" w:styleId="Textkomente1f8eChar">
    <w:name w:val="Text komentáe1řf8e Char"/>
    <w:basedOn w:val="Standardnpsmoodstavce"/>
    <w:uiPriority w:val="99"/>
    <w:qFormat/>
  </w:style>
  <w:style w:type="character" w:customStyle="1" w:styleId="Pf8edmectkomente1f8eChar">
    <w:name w:val="Přf8edměect komentáe1řf8e Char"/>
    <w:basedOn w:val="Textkomente1f8eChar"/>
    <w:uiPriority w:val="99"/>
    <w:qFormat/>
    <w:rPr>
      <w:b/>
      <w:bCs/>
    </w:rPr>
  </w:style>
  <w:style w:type="character" w:customStyle="1" w:styleId="Internetovfdodkaz">
    <w:name w:val="Internetovýfd odkaz"/>
    <w:basedOn w:val="Standardnpsmoodstavce"/>
    <w:uiPriority w:val="99"/>
    <w:qFormat/>
    <w:rPr>
      <w:color w:val="0000FF"/>
      <w:u w:val="single"/>
    </w:rPr>
  </w:style>
  <w:style w:type="character" w:customStyle="1" w:styleId="TextbublinyChar1">
    <w:name w:val="Text bubliny Char1"/>
    <w:basedOn w:val="Standardnpsmoodstavce"/>
    <w:link w:val="Textbubliny"/>
    <w:uiPriority w:val="99"/>
    <w:semiHidden/>
    <w:qFormat/>
    <w:rPr>
      <w:rFonts w:ascii="Segoe UI" w:eastAsia="Times New Roman" w:hAnsi="Segoe UI" w:cs="Segoe UI"/>
      <w:kern w:val="2"/>
      <w:sz w:val="18"/>
      <w:szCs w:val="18"/>
    </w:rPr>
  </w:style>
  <w:style w:type="character" w:customStyle="1" w:styleId="TextkomenteChar">
    <w:name w:val="Text komentáře Char"/>
    <w:basedOn w:val="Standardnpsmoodstavce"/>
    <w:link w:val="Textkomente"/>
    <w:uiPriority w:val="99"/>
    <w:semiHidden/>
    <w:qFormat/>
    <w:rPr>
      <w:rFonts w:ascii="Times New Roman" w:eastAsia="Times New Roman" w:hAnsi="Times New Roman" w:cs="Times New Roman"/>
      <w:kern w:val="2"/>
      <w:sz w:val="20"/>
      <w:szCs w:val="20"/>
    </w:rPr>
  </w:style>
  <w:style w:type="character" w:customStyle="1" w:styleId="PedmtkomenteChar">
    <w:name w:val="Předmět komentáře Char"/>
    <w:basedOn w:val="TextkomenteChar"/>
    <w:link w:val="Pedmtkomente"/>
    <w:uiPriority w:val="99"/>
    <w:semiHidden/>
    <w:qFormat/>
    <w:rPr>
      <w:rFonts w:ascii="Times New Roman" w:eastAsia="Times New Roman" w:hAnsi="Times New Roman" w:cs="Times New Roman"/>
      <w:b/>
      <w:bCs/>
      <w:kern w:val="2"/>
      <w:sz w:val="20"/>
      <w:szCs w:val="20"/>
    </w:rPr>
  </w:style>
  <w:style w:type="character" w:styleId="Hypertextovodkaz">
    <w:name w:val="Hyperlink"/>
    <w:basedOn w:val="Standardnpsmoodstavce"/>
    <w:uiPriority w:val="99"/>
    <w:unhideWhenUsed/>
    <w:rsid w:val="00582956"/>
    <w:rPr>
      <w:color w:val="0563C1" w:themeColor="hyperlink"/>
      <w:u w:val="single"/>
    </w:rPr>
  </w:style>
  <w:style w:type="character" w:customStyle="1" w:styleId="NumberingSymbols">
    <w:name w:val="Numbering Symbols"/>
    <w:qFormat/>
  </w:style>
  <w:style w:type="character" w:customStyle="1" w:styleId="ZhlavChar">
    <w:name w:val="Záhlaví Char"/>
    <w:basedOn w:val="Standardnpsmoodstavce"/>
    <w:link w:val="Zhlav"/>
    <w:uiPriority w:val="99"/>
    <w:qFormat/>
    <w:rsid w:val="008F0EA1"/>
    <w:rPr>
      <w:rFonts w:ascii="Times New Roman" w:eastAsia="Times New Roman" w:hAnsi="Times New Roman" w:cs="Times New Roman"/>
      <w:kern w:val="2"/>
      <w:sz w:val="24"/>
      <w:szCs w:val="24"/>
    </w:rPr>
  </w:style>
  <w:style w:type="character" w:customStyle="1" w:styleId="ZpatChar">
    <w:name w:val="Zápatí Char"/>
    <w:basedOn w:val="Standardnpsmoodstavce"/>
    <w:link w:val="Zpat"/>
    <w:uiPriority w:val="99"/>
    <w:qFormat/>
    <w:rsid w:val="008F0EA1"/>
    <w:rPr>
      <w:rFonts w:ascii="Times New Roman" w:eastAsia="Times New Roman" w:hAnsi="Times New Roman" w:cs="Times New Roman"/>
      <w:kern w:val="2"/>
      <w:sz w:val="24"/>
      <w:szCs w:val="24"/>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Teclotextu"/>
    <w:uiPriority w:val="99"/>
  </w:style>
  <w:style w:type="paragraph" w:styleId="Titulek">
    <w:name w:val="caption"/>
    <w:basedOn w:val="Normln"/>
    <w:qFormat/>
    <w:pPr>
      <w:suppressLineNumbers/>
      <w:spacing w:before="120" w:after="120"/>
    </w:pPr>
    <w:rPr>
      <w:rFonts w:cs="Lucida Sans"/>
      <w:i/>
      <w:iCs/>
    </w:rPr>
  </w:style>
  <w:style w:type="paragraph" w:customStyle="1" w:styleId="Index">
    <w:name w:val="Index"/>
    <w:basedOn w:val="Normln"/>
    <w:qFormat/>
    <w:pPr>
      <w:suppressLineNumbers/>
    </w:pPr>
    <w:rPr>
      <w:rFonts w:cs="Lucida Sans"/>
    </w:rPr>
  </w:style>
  <w:style w:type="paragraph" w:customStyle="1" w:styleId="Nadpis">
    <w:name w:val="Nadpis"/>
    <w:basedOn w:val="Normln"/>
    <w:next w:val="Teclotextu"/>
    <w:uiPriority w:val="99"/>
    <w:qFormat/>
    <w:pPr>
      <w:keepNext/>
      <w:spacing w:before="240" w:after="120"/>
    </w:pPr>
    <w:rPr>
      <w:rFonts w:ascii="Arial" w:hAnsi="Arial" w:cs="Arial"/>
      <w:sz w:val="28"/>
      <w:szCs w:val="28"/>
    </w:rPr>
  </w:style>
  <w:style w:type="paragraph" w:customStyle="1" w:styleId="Teclotextu">
    <w:name w:val="Těeclo textu"/>
    <w:basedOn w:val="Normln"/>
    <w:uiPriority w:val="99"/>
    <w:qFormat/>
    <w:pPr>
      <w:spacing w:after="120"/>
    </w:pPr>
  </w:style>
  <w:style w:type="paragraph" w:customStyle="1" w:styleId="Popisek">
    <w:name w:val="Popisek"/>
    <w:basedOn w:val="Normln"/>
    <w:uiPriority w:val="99"/>
    <w:qFormat/>
    <w:pPr>
      <w:suppressLineNumbers/>
      <w:spacing w:before="120" w:after="120"/>
    </w:pPr>
    <w:rPr>
      <w:i/>
      <w:iCs/>
    </w:rPr>
  </w:style>
  <w:style w:type="paragraph" w:customStyle="1" w:styleId="Rejstf8edk">
    <w:name w:val="Rejstřf8íedk"/>
    <w:basedOn w:val="Normln"/>
    <w:uiPriority w:val="99"/>
    <w:qFormat/>
  </w:style>
  <w:style w:type="paragraph" w:customStyle="1" w:styleId="Caption1">
    <w:name w:val="Caption1"/>
    <w:basedOn w:val="Normln"/>
    <w:uiPriority w:val="99"/>
    <w:qFormat/>
    <w:pPr>
      <w:spacing w:before="120" w:after="120"/>
    </w:pPr>
    <w:rPr>
      <w:i/>
      <w:iCs/>
    </w:rPr>
  </w:style>
  <w:style w:type="paragraph" w:customStyle="1" w:styleId="Ze1hlavedaze1pated">
    <w:name w:val="Záe1hlavíed a záe1patíed"/>
    <w:basedOn w:val="Normln"/>
    <w:uiPriority w:val="99"/>
    <w:qFormat/>
  </w:style>
  <w:style w:type="paragraph" w:customStyle="1" w:styleId="Ze1hlaved">
    <w:name w:val="Záe1hlavíed"/>
    <w:basedOn w:val="Normln"/>
    <w:uiPriority w:val="99"/>
    <w:qFormat/>
    <w:pPr>
      <w:tabs>
        <w:tab w:val="center" w:pos="4818"/>
        <w:tab w:val="right" w:pos="9637"/>
      </w:tabs>
    </w:pPr>
  </w:style>
  <w:style w:type="paragraph" w:customStyle="1" w:styleId="Zakladnitextcislovany2">
    <w:name w:val="Zakladni_text_cislovany_2"/>
    <w:basedOn w:val="Teclotextu"/>
    <w:uiPriority w:val="99"/>
    <w:qFormat/>
    <w:pPr>
      <w:tabs>
        <w:tab w:val="left" w:pos="0"/>
      </w:tabs>
    </w:pPr>
  </w:style>
  <w:style w:type="paragraph" w:customStyle="1" w:styleId="Seznamsodre19ekami1">
    <w:name w:val="Seznam s odráe1ž9ekami1"/>
    <w:basedOn w:val="Seznam"/>
    <w:uiPriority w:val="99"/>
    <w:qFormat/>
    <w:pPr>
      <w:tabs>
        <w:tab w:val="left" w:pos="0"/>
      </w:tabs>
      <w:spacing w:after="40"/>
    </w:pPr>
  </w:style>
  <w:style w:type="paragraph" w:customStyle="1" w:styleId="Obsahtabulky">
    <w:name w:val="Obsah tabulky"/>
    <w:basedOn w:val="Normln"/>
    <w:uiPriority w:val="99"/>
    <w:qFormat/>
  </w:style>
  <w:style w:type="paragraph" w:customStyle="1" w:styleId="Nadpis10">
    <w:name w:val="Nadpis 10"/>
    <w:basedOn w:val="Nadpis"/>
    <w:uiPriority w:val="99"/>
    <w:qFormat/>
    <w:pPr>
      <w:tabs>
        <w:tab w:val="left" w:pos="0"/>
      </w:tabs>
    </w:pPr>
    <w:rPr>
      <w:b/>
      <w:bCs/>
      <w:sz w:val="21"/>
      <w:szCs w:val="21"/>
    </w:rPr>
  </w:style>
  <w:style w:type="paragraph" w:styleId="Textbubliny">
    <w:name w:val="Balloon Text"/>
    <w:basedOn w:val="Normln"/>
    <w:link w:val="TextbublinyChar1"/>
    <w:uiPriority w:val="99"/>
    <w:qFormat/>
    <w:rPr>
      <w:rFonts w:ascii="Segoe UI" w:hAnsi="Segoe UI" w:cs="Segoe UI"/>
      <w:sz w:val="18"/>
      <w:szCs w:val="18"/>
    </w:rPr>
  </w:style>
  <w:style w:type="paragraph" w:customStyle="1" w:styleId="Ze1pated">
    <w:name w:val="Záe1patíed"/>
    <w:basedOn w:val="Normln"/>
    <w:uiPriority w:val="99"/>
    <w:qFormat/>
    <w:pPr>
      <w:tabs>
        <w:tab w:val="center" w:pos="4536"/>
        <w:tab w:val="right" w:pos="9072"/>
      </w:tabs>
    </w:pPr>
  </w:style>
  <w:style w:type="paragraph" w:styleId="Textkomente">
    <w:name w:val="annotation text"/>
    <w:basedOn w:val="Normln"/>
    <w:link w:val="TextkomenteChar"/>
    <w:uiPriority w:val="99"/>
    <w:qFormat/>
    <w:rPr>
      <w:sz w:val="20"/>
      <w:szCs w:val="20"/>
    </w:rPr>
  </w:style>
  <w:style w:type="paragraph" w:styleId="Pedmtkomente">
    <w:name w:val="annotation subject"/>
    <w:basedOn w:val="Textkomente"/>
    <w:link w:val="PedmtkomenteChar"/>
    <w:uiPriority w:val="99"/>
    <w:qFormat/>
    <w:rPr>
      <w:b/>
      <w:bCs/>
    </w:rPr>
  </w:style>
  <w:style w:type="paragraph" w:styleId="Odstavecseseznamem">
    <w:name w:val="List Paragraph"/>
    <w:basedOn w:val="Normln"/>
    <w:uiPriority w:val="34"/>
    <w:qFormat/>
    <w:pPr>
      <w:ind w:left="720"/>
      <w:contextualSpacing/>
    </w:pPr>
  </w:style>
  <w:style w:type="paragraph" w:customStyle="1" w:styleId="western">
    <w:name w:val="western"/>
    <w:basedOn w:val="Normln"/>
    <w:qFormat/>
    <w:rsid w:val="00C76062"/>
    <w:pPr>
      <w:widowControl/>
      <w:suppressAutoHyphens w:val="0"/>
      <w:spacing w:beforeAutospacing="1" w:after="142" w:line="288" w:lineRule="auto"/>
    </w:pPr>
    <w:rPr>
      <w:kern w:val="0"/>
    </w:rPr>
  </w:style>
  <w:style w:type="paragraph" w:styleId="Revize">
    <w:name w:val="Revision"/>
    <w:uiPriority w:val="99"/>
    <w:semiHidden/>
    <w:qFormat/>
    <w:rsid w:val="00AD5C33"/>
    <w:pPr>
      <w:suppressAutoHyphens w:val="0"/>
    </w:pPr>
    <w:rPr>
      <w:rFonts w:ascii="Times New Roman" w:eastAsia="Times New Roman" w:hAnsi="Times New Roman" w:cs="Times New Roman"/>
      <w:kern w:val="2"/>
      <w:sz w:val="24"/>
      <w:szCs w:val="24"/>
    </w:rPr>
  </w:style>
  <w:style w:type="paragraph" w:customStyle="1" w:styleId="HeaderandFooter">
    <w:name w:val="Header and Footer"/>
    <w:basedOn w:val="Normln"/>
    <w:qFormat/>
  </w:style>
  <w:style w:type="paragraph" w:styleId="Zhlav">
    <w:name w:val="header"/>
    <w:basedOn w:val="Normln"/>
    <w:link w:val="ZhlavChar"/>
    <w:uiPriority w:val="99"/>
    <w:unhideWhenUsed/>
    <w:rsid w:val="008F0EA1"/>
    <w:pPr>
      <w:tabs>
        <w:tab w:val="center" w:pos="4536"/>
        <w:tab w:val="right" w:pos="9072"/>
      </w:tabs>
    </w:pPr>
  </w:style>
  <w:style w:type="paragraph" w:styleId="Zpat">
    <w:name w:val="footer"/>
    <w:basedOn w:val="Normln"/>
    <w:link w:val="ZpatChar"/>
    <w:uiPriority w:val="99"/>
    <w:unhideWhenUsed/>
    <w:rsid w:val="008F0EA1"/>
    <w:pPr>
      <w:tabs>
        <w:tab w:val="center" w:pos="4536"/>
        <w:tab w:val="right" w:pos="9072"/>
      </w:tabs>
    </w:pPr>
  </w:style>
  <w:style w:type="paragraph" w:customStyle="1" w:styleId="TableContents">
    <w:name w:val="Table Contents"/>
    <w:basedOn w:val="Normln"/>
    <w:qFormat/>
    <w:rsid w:val="0078117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tag.zc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t.zc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3ADB40531AC44A127611793DAF493" ma:contentTypeVersion="13" ma:contentTypeDescription="Vytvoří nový dokument" ma:contentTypeScope="" ma:versionID="b4469462a72609e0dbce4812e1fbfb15">
  <xsd:schema xmlns:xsd="http://www.w3.org/2001/XMLSchema" xmlns:xs="http://www.w3.org/2001/XMLSchema" xmlns:p="http://schemas.microsoft.com/office/2006/metadata/properties" xmlns:ns3="5284470e-70e9-4a2a-955f-bb0213c0ad4d" xmlns:ns4="876e35ca-5220-4463-a11a-3c9ea26b7b7f" targetNamespace="http://schemas.microsoft.com/office/2006/metadata/properties" ma:root="true" ma:fieldsID="2e28bcca47751518479dcdb40a90cc34" ns3:_="" ns4:_="">
    <xsd:import namespace="5284470e-70e9-4a2a-955f-bb0213c0ad4d"/>
    <xsd:import namespace="876e35ca-5220-4463-a11a-3c9ea26b7b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4470e-70e9-4a2a-955f-bb0213c0a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e35ca-5220-4463-a11a-3c9ea26b7b7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89DB-7D78-4C8D-8712-61F535BE15CD}">
  <ds:schemaRefs>
    <ds:schemaRef ds:uri="http://schemas.microsoft.com/sharepoint/v3/contenttype/forms"/>
  </ds:schemaRefs>
</ds:datastoreItem>
</file>

<file path=customXml/itemProps2.xml><?xml version="1.0" encoding="utf-8"?>
<ds:datastoreItem xmlns:ds="http://schemas.openxmlformats.org/officeDocument/2006/customXml" ds:itemID="{FC67E315-85B4-441D-A29E-69A0111E4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4470e-70e9-4a2a-955f-bb0213c0ad4d"/>
    <ds:schemaRef ds:uri="876e35ca-5220-4463-a11a-3c9ea26b7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7B97B-EFD9-4C9B-8005-7333FDBDD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E6D94-1B5C-4C54-85A1-76506991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5747</Words>
  <Characters>33909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Klápšťová</dc:creator>
  <cp:lastModifiedBy>PekarkovaH</cp:lastModifiedBy>
  <cp:revision>2</cp:revision>
  <cp:lastPrinted>2023-02-09T08:15:00Z</cp:lastPrinted>
  <dcterms:created xsi:type="dcterms:W3CDTF">2023-03-08T07:08:00Z</dcterms:created>
  <dcterms:modified xsi:type="dcterms:W3CDTF">2023-03-08T07:08:00Z</dcterms:modified>
  <dc:language>cs-CZ</dc:language>
</cp:coreProperties>
</file>