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4F63" w14:textId="77777777" w:rsidR="00E906B2" w:rsidRDefault="00C4140E">
      <w:pPr>
        <w:keepNext/>
        <w:keepLines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SMLOUVA O SPIN-OFF MASARYKOVY UNIVERZITY</w:t>
      </w:r>
    </w:p>
    <w:p w14:paraId="1C954F64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right"/>
        <w:rPr>
          <w:rFonts w:ascii="Calibri" w:eastAsia="Calibri" w:hAnsi="Calibri" w:cs="Calibri"/>
          <w:i/>
          <w:smallCaps/>
          <w:color w:val="000000"/>
        </w:rPr>
      </w:pPr>
      <w:proofErr w:type="spellStart"/>
      <w:r>
        <w:rPr>
          <w:rFonts w:ascii="Calibri" w:eastAsia="Calibri" w:hAnsi="Calibri" w:cs="Calibri"/>
          <w:i/>
          <w:color w:val="000000"/>
        </w:rPr>
        <w:t>sp</w:t>
      </w:r>
      <w:proofErr w:type="spellEnd"/>
      <w:r>
        <w:rPr>
          <w:rFonts w:ascii="Calibri" w:eastAsia="Calibri" w:hAnsi="Calibri" w:cs="Calibri"/>
          <w:i/>
          <w:color w:val="000000"/>
        </w:rPr>
        <w:t>. zn. CTT MU: 042-</w:t>
      </w:r>
      <w:proofErr w:type="gramStart"/>
      <w:r>
        <w:rPr>
          <w:rFonts w:ascii="Calibri" w:eastAsia="Calibri" w:hAnsi="Calibri" w:cs="Calibri"/>
          <w:i/>
          <w:color w:val="000000"/>
        </w:rPr>
        <w:t>2023-Bur</w:t>
      </w:r>
      <w:proofErr w:type="gramEnd"/>
    </w:p>
    <w:p w14:paraId="1C954F65" w14:textId="77777777" w:rsidR="00E906B2" w:rsidRDefault="00C4140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</w:rPr>
        <w:t>Smluvní strany:</w:t>
      </w:r>
    </w:p>
    <w:p w14:paraId="1C954F66" w14:textId="77777777" w:rsidR="00E906B2" w:rsidRDefault="00E906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b/>
          <w:color w:val="000000"/>
        </w:rPr>
      </w:pPr>
    </w:p>
    <w:p w14:paraId="1C954F67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b/>
          <w:color w:val="252B32"/>
        </w:rPr>
        <w:t>1.</w:t>
      </w:r>
      <w:r>
        <w:rPr>
          <w:rFonts w:ascii="Calibri" w:eastAsia="Calibri" w:hAnsi="Calibri" w:cs="Calibri"/>
          <w:color w:val="252B32"/>
        </w:rPr>
        <w:t> </w:t>
      </w:r>
      <w:r>
        <w:rPr>
          <w:rFonts w:ascii="Calibri" w:eastAsia="Calibri" w:hAnsi="Calibri" w:cs="Calibri"/>
          <w:b/>
          <w:color w:val="252B32"/>
        </w:rPr>
        <w:t>Masarykova univerzita</w:t>
      </w:r>
    </w:p>
    <w:p w14:paraId="1C954F68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>Centrum pro transfer technologií</w:t>
      </w:r>
    </w:p>
    <w:p w14:paraId="1C954F69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>sídlo: Žerotínovo nám. 617/9, Brno 601 77</w:t>
      </w:r>
    </w:p>
    <w:p w14:paraId="1C954F6A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>IČ: 002 16 224; DIČ: CZ00216224</w:t>
      </w:r>
    </w:p>
    <w:p w14:paraId="1C954F6B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>veřejná vysoká škola uvedená v příloze č. 1 zákona č. 111/1998 Sb., o vysokých školách, ve znění pozdějších předpisů (nezapisovaná do obchodního rejstříku)</w:t>
      </w:r>
    </w:p>
    <w:p w14:paraId="1C954F6C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>zastoupená: RNDr. Evou Janouškovcovou, Ph.D., LL.M., ředitelkou Centra pro transfer technologií</w:t>
      </w:r>
    </w:p>
    <w:p w14:paraId="1C954F6D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 xml:space="preserve">na straně jedné (dále jen </w:t>
      </w:r>
      <w:r>
        <w:rPr>
          <w:rFonts w:ascii="Calibri" w:eastAsia="Calibri" w:hAnsi="Calibri" w:cs="Calibri"/>
          <w:i/>
          <w:color w:val="252B32"/>
        </w:rPr>
        <w:t>„</w:t>
      </w:r>
      <w:r>
        <w:rPr>
          <w:rFonts w:ascii="Calibri" w:eastAsia="Calibri" w:hAnsi="Calibri" w:cs="Calibri"/>
          <w:b/>
          <w:color w:val="252B32"/>
        </w:rPr>
        <w:t>MU</w:t>
      </w:r>
      <w:r>
        <w:rPr>
          <w:rFonts w:ascii="Calibri" w:eastAsia="Calibri" w:hAnsi="Calibri" w:cs="Calibri"/>
          <w:color w:val="252B32"/>
        </w:rPr>
        <w:t>“)</w:t>
      </w:r>
    </w:p>
    <w:p w14:paraId="1C954F6E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 xml:space="preserve">a </w:t>
      </w:r>
    </w:p>
    <w:p w14:paraId="1C954F6F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b/>
          <w:color w:val="252B32"/>
        </w:rPr>
        <w:t>2.</w:t>
      </w:r>
      <w:r>
        <w:rPr>
          <w:rFonts w:ascii="Calibri" w:eastAsia="Calibri" w:hAnsi="Calibri" w:cs="Calibri"/>
          <w:color w:val="252B32"/>
        </w:rPr>
        <w:t> </w:t>
      </w:r>
      <w:proofErr w:type="spellStart"/>
      <w:r>
        <w:rPr>
          <w:rFonts w:ascii="Calibri" w:eastAsia="Calibri" w:hAnsi="Calibri" w:cs="Calibri"/>
          <w:b/>
          <w:color w:val="333333"/>
          <w:highlight w:val="white"/>
        </w:rPr>
        <w:t>Magmio</w:t>
      </w:r>
      <w:proofErr w:type="spellEnd"/>
      <w:r>
        <w:rPr>
          <w:rFonts w:ascii="Calibri" w:eastAsia="Calibri" w:hAnsi="Calibri" w:cs="Calibri"/>
          <w:b/>
          <w:color w:val="333333"/>
          <w:highlight w:val="white"/>
        </w:rPr>
        <w:t xml:space="preserve"> a.s.</w:t>
      </w:r>
    </w:p>
    <w:p w14:paraId="1C954F70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>sídlo: Sochorova 3226/40, Žabovřesky, 616 00 Brno</w:t>
      </w:r>
    </w:p>
    <w:p w14:paraId="1C954F71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>IČ: 04428340; DIČ: CZ04428340</w:t>
      </w:r>
    </w:p>
    <w:p w14:paraId="1C954F72" w14:textId="7FD2117E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 xml:space="preserve">zapsaná v obchodním rejstříku vedeném u Krajského soudu v Brně </w:t>
      </w:r>
      <w:proofErr w:type="spellStart"/>
      <w:r>
        <w:rPr>
          <w:rFonts w:ascii="Calibri" w:eastAsia="Calibri" w:hAnsi="Calibri" w:cs="Calibri"/>
          <w:color w:val="252B32"/>
        </w:rPr>
        <w:t>sp</w:t>
      </w:r>
      <w:proofErr w:type="spellEnd"/>
      <w:r>
        <w:rPr>
          <w:rFonts w:ascii="Calibri" w:eastAsia="Calibri" w:hAnsi="Calibri" w:cs="Calibri"/>
          <w:color w:val="252B32"/>
        </w:rPr>
        <w:t>. zn. B 7390</w:t>
      </w:r>
      <w:r>
        <w:rPr>
          <w:rFonts w:ascii="Calibri" w:eastAsia="Calibri" w:hAnsi="Calibri" w:cs="Calibri"/>
          <w:color w:val="252B32"/>
        </w:rPr>
        <w:br/>
        <w:t>zastoupená: Ing. Milan Dvořák, Ing. Jiří Kovář</w:t>
      </w:r>
    </w:p>
    <w:p w14:paraId="1C954F73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>na straně druhé (dále jen „</w:t>
      </w:r>
      <w:r>
        <w:rPr>
          <w:rFonts w:ascii="Calibri" w:eastAsia="Calibri" w:hAnsi="Calibri" w:cs="Calibri"/>
          <w:b/>
          <w:color w:val="252B32"/>
        </w:rPr>
        <w:t>Spin-off</w:t>
      </w:r>
      <w:r>
        <w:rPr>
          <w:rFonts w:ascii="Calibri" w:eastAsia="Calibri" w:hAnsi="Calibri" w:cs="Calibri"/>
          <w:color w:val="252B32"/>
        </w:rPr>
        <w:t>“)</w:t>
      </w:r>
    </w:p>
    <w:p w14:paraId="1C954F74" w14:textId="77777777" w:rsidR="00E906B2" w:rsidRDefault="00C41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Calibri" w:eastAsia="Calibri" w:hAnsi="Calibri" w:cs="Calibri"/>
          <w:color w:val="252B32"/>
        </w:rPr>
      </w:pPr>
      <w:r>
        <w:rPr>
          <w:rFonts w:ascii="Calibri" w:eastAsia="Calibri" w:hAnsi="Calibri" w:cs="Calibri"/>
          <w:color w:val="252B32"/>
        </w:rPr>
        <w:t xml:space="preserve">(společně také jen </w:t>
      </w:r>
      <w:r>
        <w:rPr>
          <w:rFonts w:ascii="Calibri" w:eastAsia="Calibri" w:hAnsi="Calibri" w:cs="Calibri"/>
          <w:i/>
          <w:color w:val="252B32"/>
        </w:rPr>
        <w:t>„</w:t>
      </w:r>
      <w:r>
        <w:rPr>
          <w:rFonts w:ascii="Calibri" w:eastAsia="Calibri" w:hAnsi="Calibri" w:cs="Calibri"/>
          <w:b/>
          <w:color w:val="252B32"/>
        </w:rPr>
        <w:t>Smluvní strany</w:t>
      </w:r>
      <w:r>
        <w:rPr>
          <w:rFonts w:ascii="Calibri" w:eastAsia="Calibri" w:hAnsi="Calibri" w:cs="Calibri"/>
          <w:color w:val="252B32"/>
        </w:rPr>
        <w:t>“)</w:t>
      </w:r>
    </w:p>
    <w:p w14:paraId="1C954F75" w14:textId="77777777" w:rsidR="00E906B2" w:rsidRDefault="00C4140E">
      <w:pPr>
        <w:keepNext/>
        <w:keepLines/>
        <w:rPr>
          <w:rFonts w:ascii="Calibri" w:eastAsia="Calibri" w:hAnsi="Calibri" w:cs="Calibri"/>
          <w:color w:val="252B32"/>
          <w:highlight w:val="white"/>
        </w:rPr>
      </w:pPr>
      <w:r>
        <w:rPr>
          <w:rFonts w:ascii="Calibri" w:eastAsia="Calibri" w:hAnsi="Calibri" w:cs="Calibri"/>
          <w:color w:val="252B32"/>
          <w:highlight w:val="white"/>
        </w:rPr>
        <w:t xml:space="preserve">uzavřely níže uvedeného dne, měsíce a roku ve smyslu </w:t>
      </w:r>
      <w:proofErr w:type="spellStart"/>
      <w:r>
        <w:rPr>
          <w:rFonts w:ascii="Calibri" w:eastAsia="Calibri" w:hAnsi="Calibri" w:cs="Calibri"/>
          <w:color w:val="252B32"/>
          <w:highlight w:val="white"/>
        </w:rPr>
        <w:t>ust</w:t>
      </w:r>
      <w:proofErr w:type="spellEnd"/>
      <w:r>
        <w:rPr>
          <w:rFonts w:ascii="Calibri" w:eastAsia="Calibri" w:hAnsi="Calibri" w:cs="Calibri"/>
          <w:color w:val="252B32"/>
          <w:highlight w:val="white"/>
        </w:rPr>
        <w:t>. § 1746 odst. 2 zákona č. 89/2012 Sb., občanského zákoníku, ve znění pozdějších předpisů, tuto Smlouvu o statusu spin-off (dále jen „</w:t>
      </w:r>
      <w:r>
        <w:rPr>
          <w:rFonts w:ascii="Calibri" w:eastAsia="Calibri" w:hAnsi="Calibri" w:cs="Calibri"/>
          <w:b/>
          <w:highlight w:val="white"/>
        </w:rPr>
        <w:t>Smlouva</w:t>
      </w:r>
      <w:r>
        <w:rPr>
          <w:rFonts w:ascii="Calibri" w:eastAsia="Calibri" w:hAnsi="Calibri" w:cs="Calibri"/>
          <w:color w:val="252B32"/>
          <w:highlight w:val="white"/>
        </w:rPr>
        <w:t>“):</w:t>
      </w:r>
    </w:p>
    <w:p w14:paraId="1C954F76" w14:textId="77777777" w:rsidR="00E906B2" w:rsidRDefault="00C4140E">
      <w:pPr>
        <w:pStyle w:val="Nadpis1"/>
        <w:numPr>
          <w:ilvl w:val="0"/>
          <w:numId w:val="1"/>
        </w:numPr>
      </w:pPr>
      <w:r>
        <w:t>Úvodní ustanovení</w:t>
      </w:r>
    </w:p>
    <w:p w14:paraId="1C954F77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Smluvní strany tuto Smlouvu uzavírají v návaznosti na </w:t>
      </w:r>
      <w:sdt>
        <w:sdtPr>
          <w:tag w:val="goog_rdk_0"/>
          <w:id w:val="1506468775"/>
        </w:sdtPr>
        <w:sdtContent>
          <w:r>
            <w:rPr>
              <w:rFonts w:ascii="Calibri" w:eastAsia="Calibri" w:hAnsi="Calibri" w:cs="Calibri"/>
              <w:color w:val="000000"/>
            </w:rPr>
            <w:t xml:space="preserve">dřívější </w:t>
          </w:r>
        </w:sdtContent>
      </w:sdt>
      <w:r>
        <w:rPr>
          <w:rFonts w:ascii="Calibri" w:eastAsia="Calibri" w:hAnsi="Calibri" w:cs="Calibri"/>
          <w:color w:val="000000"/>
        </w:rPr>
        <w:t xml:space="preserve">externí komerční využívání duševního vlastnictví MU ze strany Spin-off a rovněž s ohledem k tomu, že MU </w:t>
      </w:r>
      <w:proofErr w:type="gramStart"/>
      <w:r>
        <w:rPr>
          <w:rFonts w:ascii="Calibri" w:eastAsia="Calibri" w:hAnsi="Calibri" w:cs="Calibri"/>
          <w:color w:val="000000"/>
        </w:rPr>
        <w:t>drží</w:t>
      </w:r>
      <w:proofErr w:type="gramEnd"/>
      <w:r>
        <w:rPr>
          <w:rFonts w:ascii="Calibri" w:eastAsia="Calibri" w:hAnsi="Calibri" w:cs="Calibri"/>
          <w:color w:val="000000"/>
        </w:rPr>
        <w:t xml:space="preserve"> ve Spin-off obchodní podíl a byla jedním z jeho zakladatelů nebo zakladatelů jeho právních předchůdců.</w:t>
      </w:r>
    </w:p>
    <w:p w14:paraId="1C954F78" w14:textId="022FD384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 xml:space="preserve">Smluvní strany mají společný zájem na </w:t>
      </w:r>
      <w:sdt>
        <w:sdtPr>
          <w:tag w:val="goog_rdk_1"/>
          <w:id w:val="-222293188"/>
          <w:showingPlcHdr/>
        </w:sdtPr>
        <w:sdtContent>
          <w:r w:rsidR="004C070A">
            <w:t xml:space="preserve">     </w:t>
          </w:r>
        </w:sdtContent>
      </w:sdt>
      <w:r>
        <w:rPr>
          <w:rFonts w:ascii="Calibri" w:eastAsia="Calibri" w:hAnsi="Calibri" w:cs="Calibri"/>
          <w:color w:val="000000"/>
        </w:rPr>
        <w:t xml:space="preserve">pokračování, prohlubování a </w:t>
      </w:r>
      <w:sdt>
        <w:sdtPr>
          <w:tag w:val="goog_rdk_2"/>
          <w:id w:val="748622326"/>
          <w:showingPlcHdr/>
        </w:sdtPr>
        <w:sdtContent>
          <w:r w:rsidR="004C070A">
            <w:t xml:space="preserve">     </w:t>
          </w:r>
        </w:sdtContent>
      </w:sdt>
      <w:sdt>
        <w:sdtPr>
          <w:tag w:val="goog_rdk_3"/>
          <w:id w:val="1300880505"/>
        </w:sdtPr>
        <w:sdtContent>
          <w:r>
            <w:rPr>
              <w:rFonts w:ascii="Calibri" w:eastAsia="Calibri" w:hAnsi="Calibri" w:cs="Calibri"/>
              <w:color w:val="000000"/>
            </w:rPr>
            <w:t xml:space="preserve">rozvoji </w:t>
          </w:r>
        </w:sdtContent>
      </w:sdt>
      <w:sdt>
        <w:sdtPr>
          <w:tag w:val="goog_rdk_4"/>
          <w:id w:val="1836644357"/>
          <w:showingPlcHdr/>
        </w:sdtPr>
        <w:sdtContent>
          <w:r w:rsidR="004C070A">
            <w:t xml:space="preserve">     </w:t>
          </w:r>
        </w:sdtContent>
      </w:sdt>
      <w:r>
        <w:rPr>
          <w:rFonts w:ascii="Calibri" w:eastAsia="Calibri" w:hAnsi="Calibri" w:cs="Calibri"/>
          <w:color w:val="000000"/>
        </w:rPr>
        <w:t xml:space="preserve">vzájemné spolupráce. </w:t>
      </w:r>
    </w:p>
    <w:p w14:paraId="1C954F79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Tato Smlouva stanovuje vzájemná práva a povinnosti v souvislosti s udělením statusu spin-off a jeho následným užíváním, jak je definován níže.</w:t>
      </w:r>
    </w:p>
    <w:p w14:paraId="1C954F7A" w14:textId="77777777" w:rsidR="00E906B2" w:rsidRDefault="00C4140E">
      <w:pPr>
        <w:pStyle w:val="Nadpis1"/>
        <w:numPr>
          <w:ilvl w:val="0"/>
          <w:numId w:val="1"/>
        </w:numPr>
      </w:pPr>
      <w:bookmarkStart w:id="1" w:name="_heading=h.30j0zll" w:colFirst="0" w:colLast="0"/>
      <w:bookmarkEnd w:id="1"/>
      <w:r>
        <w:t>Předmět Smlouvy</w:t>
      </w:r>
    </w:p>
    <w:p w14:paraId="1C954F7B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MU uděluje touto Smlouvou Spin-off právo užívat status spin-off Masarykovy univerzity, konkrétně pak užívat následující práva (dále vše souhrnně jako „</w:t>
      </w:r>
      <w:r>
        <w:rPr>
          <w:rFonts w:ascii="Calibri" w:eastAsia="Calibri" w:hAnsi="Calibri" w:cs="Calibri"/>
          <w:b/>
          <w:color w:val="000000"/>
        </w:rPr>
        <w:t>Status spin-off</w:t>
      </w:r>
      <w:r>
        <w:rPr>
          <w:rFonts w:ascii="Calibri" w:eastAsia="Calibri" w:hAnsi="Calibri" w:cs="Calibri"/>
          <w:color w:val="000000"/>
        </w:rPr>
        <w:t>“) za podmínek uvedených níže:</w:t>
      </w:r>
    </w:p>
    <w:p w14:paraId="1C954F7C" w14:textId="77777777" w:rsidR="00E906B2" w:rsidRDefault="00C414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používat označení „Spin-off společnost Masarykovy univerzity“;</w:t>
      </w:r>
    </w:p>
    <w:p w14:paraId="1C954F7D" w14:textId="77777777" w:rsidR="00E906B2" w:rsidRDefault="00C414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</w:rPr>
        <w:t>používat ochranné známky:</w:t>
      </w:r>
    </w:p>
    <w:p w14:paraId="1C954F7E" w14:textId="77777777" w:rsidR="00E906B2" w:rsidRDefault="00C4140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843"/>
      </w:pPr>
      <w:r>
        <w:rPr>
          <w:rFonts w:ascii="Calibri" w:eastAsia="Calibri" w:hAnsi="Calibri" w:cs="Calibri"/>
          <w:color w:val="000000"/>
        </w:rPr>
        <w:t>slovní ochrannou známku „MUNI“ zapsanou Úřadem pro průmyslové vlastnictví pod číslem 354 892, datum zápisu 17. 08. 2016, platné do 26. 02. 2025, a to jako nevýhradní, bezúplatnou a časově omezenou licenci k užití ochranné známky;</w:t>
      </w:r>
    </w:p>
    <w:p w14:paraId="1C954F7F" w14:textId="77777777" w:rsidR="00E906B2" w:rsidRDefault="00C4140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843"/>
      </w:pPr>
      <w:r>
        <w:rPr>
          <w:rFonts w:ascii="Calibri" w:eastAsia="Calibri" w:hAnsi="Calibri" w:cs="Calibri"/>
          <w:color w:val="000000"/>
        </w:rPr>
        <w:lastRenderedPageBreak/>
        <w:t>všeobecně známou ochrannou známku „Masarykova univerzita“, a to jako nevýhradní, bezúplatnou a časově omezenou licenci k užití ochranné známky;</w:t>
      </w:r>
    </w:p>
    <w:p w14:paraId="1C954F80" w14:textId="77777777" w:rsidR="00E906B2" w:rsidRDefault="00C414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</w:rPr>
        <w:t>používat autorské dílo – grafické logo (značka) „MUNI“, blíže specifikované v Grafickém manuálu MUNI, který je elektronickou přílohou č. 1, této Smlouvy (dále jen „</w:t>
      </w:r>
      <w:r>
        <w:rPr>
          <w:rFonts w:ascii="Calibri" w:eastAsia="Calibri" w:hAnsi="Calibri" w:cs="Calibri"/>
          <w:b/>
          <w:color w:val="000000"/>
        </w:rPr>
        <w:t>Grafický manuál</w:t>
      </w:r>
      <w:r>
        <w:rPr>
          <w:rFonts w:ascii="Calibri" w:eastAsia="Calibri" w:hAnsi="Calibri" w:cs="Calibri"/>
          <w:color w:val="000000"/>
        </w:rPr>
        <w:t>“), a to jako nevýhradní, bezúplatnou a časově omezenou podlicenci k užití grafického loga (značky) „MUNI“;</w:t>
      </w:r>
    </w:p>
    <w:p w14:paraId="1C954F81" w14:textId="77777777" w:rsidR="00E906B2" w:rsidRDefault="00C4140E" w:rsidP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, a to vše výhradně za účelem propagace externího využívání duševního vlastnictví MU, a výrobků, produktů a služeb z něho vycházejících, včetně případných odvozených děl. </w:t>
      </w:r>
    </w:p>
    <w:p w14:paraId="1C954F82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 xml:space="preserve">Status spin-off je udělen na dobu trvání této Smlouvy. </w:t>
      </w:r>
    </w:p>
    <w:p w14:paraId="1C954F83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Smluvní strany se dále zavazují rozšiřovat vzájemnou spolupráci a podporovat společná projektová a grantová schémata, a to vč. nastavení kontrolních mechanismů podle parametrů konkrétní spolupráce a v souladu se závazky plynoucími z této Smlouvy.</w:t>
      </w:r>
    </w:p>
    <w:p w14:paraId="1C954F84" w14:textId="0841BA4D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Současně s uzavřením této Smlouvy vydá MU Spin-off certifikát o udělení Statusu Spin-off MU.</w:t>
      </w:r>
    </w:p>
    <w:p w14:paraId="1C954F85" w14:textId="77777777" w:rsidR="00E906B2" w:rsidRDefault="00C4140E">
      <w:pPr>
        <w:pStyle w:val="Nadpis1"/>
        <w:numPr>
          <w:ilvl w:val="0"/>
          <w:numId w:val="1"/>
        </w:numPr>
      </w:pPr>
      <w:bookmarkStart w:id="4" w:name="_heading=h.2et92p0" w:colFirst="0" w:colLast="0"/>
      <w:bookmarkEnd w:id="4"/>
      <w:r>
        <w:t>Práva a povinnosti</w:t>
      </w:r>
    </w:p>
    <w:p w14:paraId="1C954F86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Spin-off je povinna se Statusem spin-off nakládat tak, aby z její strany nedošlo k porušení právních předpisů České republiky, k jednání proti dobrým mravům poškozujícím dobré jméno a pověst MU, k jednání, které by nepoctivě těžilo z dobrého jména MU nebo vyvolávalo nebezpečí záměny, k jednání poškozující oprávněné zájmy MU a ke klamavé reklamě a nekalé soutěži.</w:t>
      </w:r>
    </w:p>
    <w:p w14:paraId="1C954F87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Spin-off se dále zavazuje užívat grafické logo (značku) „MUNI“ výhradně způsobem stanoveným v Grafickém manuálu, který je samostatnou elektronickou přílohou č. 1, této Smlouvy. MU se zavazuje bez zbytečného prodlení poskytnout Spin-off jakoukoliv aktualizovanou verzi Grafického manuálu, která automatický nahradí stávající přílohu č. 1, této Smlouvy a bude pro Spin-off závazná s tím, že tato změna nevyžaduje uzavření dodatku k této Smlouvě ve smyslu níže uvedeném.</w:t>
      </w:r>
    </w:p>
    <w:p w14:paraId="1C954F88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Spin-off není oprávněna práva související se Statusem spin-off dále postoupit, přenechat, zapůjčit nebo převést na třetí osobu a není tak oprávněna poskytnout podlicenci k ochranné známce, ani umožnit užívání jak ochranné známky, tak i grafického loga (značky) třetím osobám. Všechny licence i podlicence dle této Smlouvy při zániku Spin-off zanikají, jejich přechod na právního nástupce Spin-off je vyloučen.</w:t>
      </w:r>
    </w:p>
    <w:p w14:paraId="1C954F8A" w14:textId="35F558F1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V případě, že Spin-off nezveřejňuje svou účetní závěrku v příslušné sbírce listin, je MU oprávněna písemně Spin-off o ni požádat. Spin-off se zavazuje do 30 dnů od přijetí žádosti MU dle předchozí věty tohoto odstavce svou účetní závěrku MU poskytnout.</w:t>
      </w:r>
    </w:p>
    <w:p w14:paraId="1C954F8B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Spin-off se zavazuje poskytnout MU nezbytnou součinnost pro kontrolu plnění podmínek této Smlouvy, zejména pak plnění podmínek nakládání se Statusem spin-off.</w:t>
      </w:r>
    </w:p>
    <w:p w14:paraId="1C954F8C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Smluvní strany se zavazují, že budou zachovávat mlčenlivost ve vztahu k důvěrným informacím, které si Smluvní strany předaly v rámci plnění této Smlouvy. Dále se zavazují, že nebudou tyto dále rozšiřovat nebo reprodukovat a nezpřístupní je třetí straně nebo je nepoužijí v rozporu s jejich účelem ani účelem jejich poskytnutí pro své potřeby nebo ve prospěch třetích osob. Za důvěrné informace a dokumenty je obsahující považují Smluvní strany takové, které budou takto řádně označeny a které nejsou veřejně dostupné nebo všeobecně známé. Veškeré informace předávané na základě dle této Smlouvy zůstávají vlastnictvím Smluvní strany, která je poskytla. Ustanovení tohoto odstavce se uplatní a zůstávají v účinnosti i v případě ukončení této Smlouvy.</w:t>
      </w:r>
    </w:p>
    <w:p w14:paraId="1C954F8D" w14:textId="77777777" w:rsidR="00E906B2" w:rsidRDefault="00C4140E">
      <w:pPr>
        <w:pStyle w:val="Nadpis1"/>
        <w:numPr>
          <w:ilvl w:val="0"/>
          <w:numId w:val="1"/>
        </w:numPr>
      </w:pPr>
      <w:r>
        <w:lastRenderedPageBreak/>
        <w:t>Střet zájmů</w:t>
      </w:r>
    </w:p>
    <w:p w14:paraId="1C954F8E" w14:textId="2D9D7A12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5" w:name="_heading=h.tyjcwt" w:colFirst="0" w:colLast="0"/>
      <w:bookmarkEnd w:id="5"/>
      <w:r>
        <w:rPr>
          <w:rFonts w:ascii="Calibri" w:eastAsia="Calibri" w:hAnsi="Calibri" w:cs="Calibri"/>
          <w:color w:val="000000"/>
        </w:rPr>
        <w:t xml:space="preserve">Smluvní strany se zavazují předcházet možnému střetu zájmů, který by pramenil </w:t>
      </w:r>
      <w:sdt>
        <w:sdtPr>
          <w:tag w:val="goog_rdk_11"/>
          <w:id w:val="1427687879"/>
          <w:showingPlcHdr/>
        </w:sdtPr>
        <w:sdtContent>
          <w:r w:rsidR="004C070A">
            <w:t xml:space="preserve">     </w:t>
          </w:r>
        </w:sdtContent>
      </w:sdt>
      <w:r>
        <w:rPr>
          <w:rFonts w:ascii="Calibri" w:eastAsia="Calibri" w:hAnsi="Calibri" w:cs="Calibri"/>
          <w:color w:val="000000"/>
        </w:rPr>
        <w:t xml:space="preserve">ze zaměstnávání totožných zaměstnanců oběma Smluvními stranami. </w:t>
      </w:r>
    </w:p>
    <w:p w14:paraId="1C954F8F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Za účelem minimalizace rizika plynoucího z takového střetu zájmů se Smluvní strany dohodly na následujících pravidlech:</w:t>
      </w:r>
    </w:p>
    <w:p w14:paraId="1C954F90" w14:textId="77777777" w:rsidR="00E906B2" w:rsidRDefault="00C414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zaměstnanec je povinen jednat transparentně a deklarovat svůj střet zájmů plynoucí z titulu svého postavení, funkce nebo pozice zaměstnance ve Spin-off a na MU, a to v případech rozhodování MU ve věcech přímo souvisejících se Spin-off,</w:t>
      </w:r>
    </w:p>
    <w:p w14:paraId="36FBE5E8" w14:textId="77777777" w:rsidR="004C070A" w:rsidRDefault="00C4140E" w:rsidP="004C07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v případě souběhu shodného předmětu činnosti Spin-off a MU, nezávisle na vlastní faktické činnosti, kterou zaměstnanec pro Spin-off vykonává, bude Spin-off po Zaměstnanci vyžadovat před jeho nástupem do zaměstnaneckého poměru předchozí písemný souhlas MU s výkonem jiné výdělečné činnosti ve smyslu § 304 z. č. 262/2006 Sb., zákoník práce, ve znění pozdějších předpisů, a to s výjimkou vědecké, pedagogické, publicistické, literní a umělecké činnosti;</w:t>
      </w:r>
    </w:p>
    <w:p w14:paraId="1C954F93" w14:textId="12573794" w:rsidR="00E906B2" w:rsidRDefault="00C4140E" w:rsidP="004C07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4C070A">
        <w:rPr>
          <w:rFonts w:ascii="Calibri" w:eastAsia="Calibri" w:hAnsi="Calibri" w:cs="Calibri"/>
          <w:color w:val="000000"/>
        </w:rPr>
        <w:t>Spin-off bude vyvíjet maximální snahu pro oddělení činností Zaměstnance vykonávaných pro Spin-off od činností vykonávaných pro MU.</w:t>
      </w:r>
    </w:p>
    <w:p w14:paraId="1C954F94" w14:textId="77777777" w:rsidR="00E906B2" w:rsidRDefault="00C4140E">
      <w:pPr>
        <w:pStyle w:val="Nadpis1"/>
        <w:numPr>
          <w:ilvl w:val="0"/>
          <w:numId w:val="1"/>
        </w:numPr>
      </w:pPr>
      <w:bookmarkStart w:id="6" w:name="_heading=h.3dy6vkm" w:colFirst="0" w:colLast="0"/>
      <w:bookmarkEnd w:id="6"/>
      <w:r>
        <w:t>Kontaktní osoby</w:t>
      </w:r>
    </w:p>
    <w:p w14:paraId="1C954F95" w14:textId="3D2770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 xml:space="preserve">Kontaktní osobou za MU je: </w:t>
      </w:r>
      <w:r w:rsidR="00D43838">
        <w:rPr>
          <w:rFonts w:ascii="Calibri" w:eastAsia="Calibri" w:hAnsi="Calibri" w:cs="Calibri"/>
          <w:color w:val="000000"/>
        </w:rPr>
        <w:t>XXXXXX.</w:t>
      </w:r>
    </w:p>
    <w:p w14:paraId="1C954F96" w14:textId="5E42A100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 xml:space="preserve">Kontaktní osobou za Spin-off je: </w:t>
      </w:r>
      <w:r w:rsidR="00D43838">
        <w:rPr>
          <w:rFonts w:ascii="Calibri" w:eastAsia="Calibri" w:hAnsi="Calibri" w:cs="Calibri"/>
        </w:rPr>
        <w:t>XXXXXX.</w:t>
      </w:r>
    </w:p>
    <w:p w14:paraId="1C954F97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Změnu kontaktních osob Smluvních stran uvedených v tomto článku je možné provést písemným oznámením Smluvní strany adresované příslušné kontaktní osobě druhé Smluvní strany s tím, že tato změna kontaktních osob nevyžaduje uzavření dodatku k této Smlouvě.</w:t>
      </w:r>
    </w:p>
    <w:p w14:paraId="1C954F98" w14:textId="77777777" w:rsidR="00E906B2" w:rsidRDefault="00C4140E">
      <w:pPr>
        <w:pStyle w:val="Nadpis1"/>
        <w:numPr>
          <w:ilvl w:val="0"/>
          <w:numId w:val="1"/>
        </w:numPr>
      </w:pPr>
      <w:r>
        <w:t>Doba trvání závazků z této Smlouvy</w:t>
      </w:r>
    </w:p>
    <w:p w14:paraId="1C954F99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Tato Smlouva je uzavřena dnem podpisu poslední Smluvní strany. Tato smlouva nabývá účinnosti uveřejněním v registru smluv dle zákona č. 340/2015 Sb., o registru smluv, ve znění pozdějších předpisů. Zveřejnění v registru smluv zajistí MU. Smluvní strany podpisem této Smlouvy potvrzují, že neobsahuje obchodní tajemství.</w:t>
      </w:r>
    </w:p>
    <w:p w14:paraId="1C954F9A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Tato Smlouva se uzavírá na dobu určitou, a to na dobu 10 let ode dne nabytí její účinnosti.</w:t>
      </w:r>
    </w:p>
    <w:p w14:paraId="1C954F9B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 xml:space="preserve">Kterákoliv Smluvní strana je oprávněna v případě podstatného porušení této Smlouvy druhou Smluvní stranou tuto Smlouvu písemně vypovědět s výpovědní dobou 30 dnů od dne doručení písemné výpovědi. Za podstatné porušení je považováno zejména porušování pravidel nakládání s duševním vlastnictvím MU, porušení právních předpisů České republiky, jednání proti dobrým mravům poškozujícím dobré jméno a pověst Smluvní strany, k jednání, které by nepoctivě těžilo z dobrého jména Smluvní strany nebo vyvolávalo nebezpečí záměny, nebo jednání poškozující její oprávněné zájmy, klamavá reklama a nekalá soutěž. Výpovědi dle tohoto odstavce Smlouvy musí předcházet písemná výzva k odstranění konkrétního nežádoucího stavu včetně příslušné lhůty k jejímu odstranění, teprve po jejímž marném uplynutí je oprávněna příslušná Smluvní strana tuto Smlouvu vypovědět. </w:t>
      </w:r>
    </w:p>
    <w:p w14:paraId="1C954F9C" w14:textId="77777777" w:rsidR="00E906B2" w:rsidRDefault="00C4140E">
      <w:pPr>
        <w:pStyle w:val="Nadpis1"/>
        <w:numPr>
          <w:ilvl w:val="0"/>
          <w:numId w:val="1"/>
        </w:numPr>
      </w:pPr>
      <w:r>
        <w:t>Závěrečná ustanovení</w:t>
      </w:r>
    </w:p>
    <w:p w14:paraId="1C954F9D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Závazkové vztahy vyplývající z této Smlouvy se řídí právním řádem České republiky.</w:t>
      </w:r>
    </w:p>
    <w:p w14:paraId="1C954F9E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lastRenderedPageBreak/>
        <w:t>Tato Smlouva může být měněna nebo doplňována toliko vzestupně číslovanými písemnými dodatky podepsanými oběma Smluvními stranami. Změna obsahu této Smlouvy v </w:t>
      </w:r>
      <w:proofErr w:type="gramStart"/>
      <w:r>
        <w:rPr>
          <w:rFonts w:ascii="Calibri" w:eastAsia="Calibri" w:hAnsi="Calibri" w:cs="Calibri"/>
          <w:color w:val="000000"/>
        </w:rPr>
        <w:t>jiné</w:t>
      </w:r>
      <w:proofErr w:type="gramEnd"/>
      <w:r>
        <w:rPr>
          <w:rFonts w:ascii="Calibri" w:eastAsia="Calibri" w:hAnsi="Calibri" w:cs="Calibri"/>
          <w:color w:val="000000"/>
        </w:rPr>
        <w:t xml:space="preserve"> než písemné formě se vylučuje.</w:t>
      </w:r>
    </w:p>
    <w:p w14:paraId="1C954F9F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Smluvní strany se zavazují, že veškeré spory budou řešit především vzájemnou dohodou a smírnou cestou. Všechny spory vznikající z této Smlouvy a v souvislosti s ní, které nebudou vyřešeny vzájemnou dohodou Smluvních stran, budou rozhodovány s konečnou platností místně a věcně příslušnými soudy ČR.</w:t>
      </w:r>
    </w:p>
    <w:p w14:paraId="1C954FA0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 xml:space="preserve">Souhlas postoupené Smluvní strany k převodu práv a povinností z této Smlouvy nebo z její části třetí osobě lze udělit pouze písemně. </w:t>
      </w:r>
    </w:p>
    <w:p w14:paraId="1C954FA1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 xml:space="preserve">Smlouva je vyhotovena ve dvou listinných stejnopisech, z nich každý má platnost originálu. Každá Smluvní strana </w:t>
      </w:r>
      <w:proofErr w:type="gramStart"/>
      <w:r>
        <w:rPr>
          <w:rFonts w:ascii="Calibri" w:eastAsia="Calibri" w:hAnsi="Calibri" w:cs="Calibri"/>
          <w:color w:val="000000"/>
        </w:rPr>
        <w:t>obdrží</w:t>
      </w:r>
      <w:proofErr w:type="gramEnd"/>
      <w:r>
        <w:rPr>
          <w:rFonts w:ascii="Calibri" w:eastAsia="Calibri" w:hAnsi="Calibri" w:cs="Calibri"/>
          <w:color w:val="000000"/>
        </w:rPr>
        <w:t xml:space="preserve"> po jednom stejnopisu. Smluvní strany se mohou dohodnout, že tuto Smlouvu uzavřou namísto v listinné formě ve formě elektronické, a to s příslušnými elektronickými podpisy obou Smluvních stran. V takovém případě každá ze Smluvních stran </w:t>
      </w:r>
      <w:proofErr w:type="gramStart"/>
      <w:r>
        <w:rPr>
          <w:rFonts w:ascii="Calibri" w:eastAsia="Calibri" w:hAnsi="Calibri" w:cs="Calibri"/>
          <w:color w:val="000000"/>
        </w:rPr>
        <w:t>obdrží</w:t>
      </w:r>
      <w:proofErr w:type="gramEnd"/>
      <w:r>
        <w:rPr>
          <w:rFonts w:ascii="Calibri" w:eastAsia="Calibri" w:hAnsi="Calibri" w:cs="Calibri"/>
          <w:color w:val="000000"/>
        </w:rPr>
        <w:t xml:space="preserve"> jedno elektronické vyhotovení podepsané všemi Smluvními stranami.</w:t>
      </w:r>
    </w:p>
    <w:p w14:paraId="1C954FA2" w14:textId="77777777" w:rsidR="00E906B2" w:rsidRDefault="00C414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eastAsia="Calibri" w:hAnsi="Calibri" w:cs="Calibri"/>
          <w:color w:val="000000"/>
        </w:rPr>
        <w:t>Nedílnou součástí této Smlouvy je i příloha č. 1 - Grafický manuál k logu MUNI (elektronická příloha)</w:t>
      </w:r>
    </w:p>
    <w:p w14:paraId="1C954FA3" w14:textId="77777777" w:rsidR="00E906B2" w:rsidRDefault="00E906B2">
      <w:pPr>
        <w:pBdr>
          <w:top w:val="nil"/>
          <w:left w:val="nil"/>
          <w:bottom w:val="nil"/>
          <w:right w:val="nil"/>
          <w:between w:val="nil"/>
        </w:pBdr>
        <w:tabs>
          <w:tab w:val="left" w:pos="2715"/>
        </w:tabs>
        <w:spacing w:before="0"/>
        <w:ind w:left="709" w:hanging="709"/>
        <w:rPr>
          <w:rFonts w:ascii="Calibri" w:eastAsia="Calibri" w:hAnsi="Calibri" w:cs="Calibri"/>
          <w:color w:val="00000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E906B2" w14:paraId="1C954FA8" w14:textId="77777777">
        <w:tc>
          <w:tcPr>
            <w:tcW w:w="4571" w:type="dxa"/>
          </w:tcPr>
          <w:p w14:paraId="1C954FA4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Místo: Brno</w:t>
            </w:r>
          </w:p>
          <w:p w14:paraId="1C954FA5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Datum: </w:t>
            </w:r>
          </w:p>
        </w:tc>
        <w:tc>
          <w:tcPr>
            <w:tcW w:w="4571" w:type="dxa"/>
          </w:tcPr>
          <w:p w14:paraId="1C954FA6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Místo: Brno</w:t>
            </w:r>
          </w:p>
          <w:p w14:paraId="1C954FA7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</w:pPr>
            <w:r>
              <w:rPr>
                <w:rFonts w:ascii="Calibri" w:eastAsia="Calibri" w:hAnsi="Calibri" w:cs="Calibri"/>
              </w:rPr>
              <w:t xml:space="preserve">Datum: </w:t>
            </w:r>
          </w:p>
        </w:tc>
      </w:tr>
      <w:tr w:rsidR="00E906B2" w14:paraId="1C954FAB" w14:textId="77777777">
        <w:tc>
          <w:tcPr>
            <w:tcW w:w="4571" w:type="dxa"/>
          </w:tcPr>
          <w:p w14:paraId="1C954FA9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Masarykova univerzita</w:t>
            </w:r>
          </w:p>
        </w:tc>
        <w:tc>
          <w:tcPr>
            <w:tcW w:w="4571" w:type="dxa"/>
          </w:tcPr>
          <w:p w14:paraId="1C954FAA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Magmio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a.s.</w:t>
            </w:r>
          </w:p>
        </w:tc>
      </w:tr>
      <w:tr w:rsidR="00E906B2" w14:paraId="1C954FB8" w14:textId="77777777">
        <w:tc>
          <w:tcPr>
            <w:tcW w:w="4571" w:type="dxa"/>
          </w:tcPr>
          <w:p w14:paraId="1C954FAC" w14:textId="77777777" w:rsidR="00E906B2" w:rsidRDefault="00E906B2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</w:p>
          <w:p w14:paraId="1C954FAD" w14:textId="77777777" w:rsidR="00E906B2" w:rsidRDefault="00E906B2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</w:p>
          <w:p w14:paraId="1C954FAE" w14:textId="77777777" w:rsidR="00E906B2" w:rsidRDefault="00E906B2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</w:p>
          <w:p w14:paraId="1C954FAF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</w:t>
            </w:r>
          </w:p>
          <w:p w14:paraId="1C954FB0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Jméno: RNDr. Eva Janouškovcová, Ph.D., LL.M. </w:t>
            </w:r>
          </w:p>
          <w:p w14:paraId="1C954FB1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Funkce: ředitelka Centra pro transfer technologií</w:t>
            </w:r>
          </w:p>
        </w:tc>
        <w:tc>
          <w:tcPr>
            <w:tcW w:w="4571" w:type="dxa"/>
          </w:tcPr>
          <w:p w14:paraId="1C954FB2" w14:textId="77777777" w:rsidR="00E906B2" w:rsidRDefault="00E906B2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</w:p>
          <w:p w14:paraId="1C954FB3" w14:textId="77777777" w:rsidR="00E906B2" w:rsidRDefault="00E906B2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</w:p>
          <w:p w14:paraId="1C954FB4" w14:textId="77777777" w:rsidR="00E906B2" w:rsidRDefault="00E906B2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</w:p>
          <w:p w14:paraId="1C954FB5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</w:t>
            </w:r>
          </w:p>
          <w:p w14:paraId="1C954FB6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Jméno:  Ing.</w:t>
            </w:r>
            <w:proofErr w:type="gramEnd"/>
            <w:r>
              <w:rPr>
                <w:rFonts w:ascii="Calibri" w:eastAsia="Calibri" w:hAnsi="Calibri" w:cs="Calibri"/>
              </w:rPr>
              <w:t xml:space="preserve"> Milan Dvořák, Ing. Jiří Kovář</w:t>
            </w:r>
          </w:p>
          <w:p w14:paraId="1C954FB7" w14:textId="77777777" w:rsidR="00E906B2" w:rsidRDefault="00C4140E">
            <w:pPr>
              <w:keepNext/>
              <w:widowControl w:val="0"/>
              <w:tabs>
                <w:tab w:val="left" w:pos="2835"/>
              </w:tabs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Funkce: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předseda představenstva, člen představenstva</w:t>
            </w:r>
          </w:p>
        </w:tc>
      </w:tr>
    </w:tbl>
    <w:p w14:paraId="1C954FB9" w14:textId="77777777" w:rsidR="00E906B2" w:rsidRDefault="00E906B2">
      <w:pPr>
        <w:spacing w:before="0" w:after="0"/>
        <w:jc w:val="left"/>
        <w:rPr>
          <w:rFonts w:ascii="Calibri" w:eastAsia="Calibri" w:hAnsi="Calibri" w:cs="Calibri"/>
        </w:rPr>
      </w:pPr>
    </w:p>
    <w:p w14:paraId="1C954FBA" w14:textId="77777777" w:rsidR="00E906B2" w:rsidRDefault="00E906B2">
      <w:pPr>
        <w:spacing w:before="0" w:after="0"/>
        <w:jc w:val="left"/>
        <w:rPr>
          <w:rFonts w:ascii="Calibri" w:eastAsia="Calibri" w:hAnsi="Calibri" w:cs="Calibri"/>
        </w:rPr>
      </w:pPr>
    </w:p>
    <w:p w14:paraId="1C954FBB" w14:textId="77777777" w:rsidR="00E906B2" w:rsidRDefault="00E906B2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E932B68" w14:textId="77777777" w:rsidR="00C4140E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74ABD72" w14:textId="77777777" w:rsidR="00C4140E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2095761" w14:textId="77777777" w:rsidR="00C4140E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AFA85D0" w14:textId="77777777" w:rsidR="00C4140E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CF2CAAC" w14:textId="77777777" w:rsidR="00C4140E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4BACF48" w14:textId="77777777" w:rsidR="00C4140E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4FF82E4" w14:textId="77777777" w:rsidR="00C4140E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1DA69C6" w14:textId="77777777" w:rsidR="00C4140E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E2680C1" w14:textId="77777777" w:rsidR="00C4140E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C954FBC" w14:textId="03188156" w:rsidR="00E906B2" w:rsidRDefault="00C4140E">
      <w:pPr>
        <w:pBdr>
          <w:top w:val="nil"/>
          <w:left w:val="nil"/>
          <w:bottom w:val="nil"/>
          <w:right w:val="nil"/>
          <w:between w:val="nil"/>
        </w:pBdr>
        <w:spacing w:before="0"/>
        <w:ind w:left="1418" w:hanging="1418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Příloha č. 1 - Grafický manuál k logu MUNI (elektronická příloha)</w:t>
      </w:r>
    </w:p>
    <w:sectPr w:rsidR="00E906B2">
      <w:footerReference w:type="default" r:id="rId11"/>
      <w:pgSz w:w="11905" w:h="16840"/>
      <w:pgMar w:top="851" w:right="1134" w:bottom="1702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22D6" w14:textId="77777777" w:rsidR="00830E1C" w:rsidRDefault="00830E1C">
      <w:pPr>
        <w:spacing w:before="0" w:after="0"/>
      </w:pPr>
      <w:r>
        <w:separator/>
      </w:r>
    </w:p>
  </w:endnote>
  <w:endnote w:type="continuationSeparator" w:id="0">
    <w:p w14:paraId="640352CA" w14:textId="77777777" w:rsidR="00830E1C" w:rsidRDefault="00830E1C">
      <w:pPr>
        <w:spacing w:before="0" w:after="0"/>
      </w:pPr>
      <w:r>
        <w:continuationSeparator/>
      </w:r>
    </w:p>
  </w:endnote>
  <w:endnote w:type="continuationNotice" w:id="1">
    <w:p w14:paraId="0C4A95AC" w14:textId="77777777" w:rsidR="00830E1C" w:rsidRDefault="00830E1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4FBD" w14:textId="069CC5E8" w:rsidR="00E906B2" w:rsidRDefault="00C414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946E8E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>/4</w:t>
    </w:r>
  </w:p>
  <w:p w14:paraId="1C954FBE" w14:textId="77777777" w:rsidR="00E906B2" w:rsidRDefault="00E906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35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DE1A" w14:textId="77777777" w:rsidR="00830E1C" w:rsidRDefault="00830E1C">
      <w:pPr>
        <w:spacing w:before="0" w:after="0"/>
      </w:pPr>
      <w:r>
        <w:separator/>
      </w:r>
    </w:p>
  </w:footnote>
  <w:footnote w:type="continuationSeparator" w:id="0">
    <w:p w14:paraId="31D013F4" w14:textId="77777777" w:rsidR="00830E1C" w:rsidRDefault="00830E1C">
      <w:pPr>
        <w:spacing w:before="0" w:after="0"/>
      </w:pPr>
      <w:r>
        <w:continuationSeparator/>
      </w:r>
    </w:p>
  </w:footnote>
  <w:footnote w:type="continuationNotice" w:id="1">
    <w:p w14:paraId="3618712E" w14:textId="77777777" w:rsidR="00830E1C" w:rsidRDefault="00830E1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2295B"/>
    <w:multiLevelType w:val="multilevel"/>
    <w:tmpl w:val="6BBC935A"/>
    <w:lvl w:ilvl="0">
      <w:start w:val="1"/>
      <w:numFmt w:val="decimal"/>
      <w:lvlText w:val="%1."/>
      <w:lvlJc w:val="left"/>
      <w:pPr>
        <w:ind w:left="709" w:hanging="709"/>
      </w:pPr>
    </w:lvl>
    <w:lvl w:ilvl="1">
      <w:start w:val="1"/>
      <w:numFmt w:val="decimal"/>
      <w:lvlText w:val="%1.%2."/>
      <w:lvlJc w:val="left"/>
      <w:pPr>
        <w:ind w:left="709" w:hanging="709"/>
      </w:pPr>
    </w:lvl>
    <w:lvl w:ilvl="2">
      <w:start w:val="1"/>
      <w:numFmt w:val="decimal"/>
      <w:lvlText w:val="%1.%2.%3."/>
      <w:lvlJc w:val="left"/>
      <w:pPr>
        <w:ind w:left="1419" w:hanging="709"/>
      </w:pPr>
    </w:lvl>
    <w:lvl w:ilvl="3">
      <w:start w:val="1"/>
      <w:numFmt w:val="lowerLetter"/>
      <w:lvlText w:val="%4)"/>
      <w:lvlJc w:val="left"/>
      <w:pPr>
        <w:ind w:left="709" w:hanging="4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71632F"/>
    <w:multiLevelType w:val="multilevel"/>
    <w:tmpl w:val="95D476F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ododstave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ododstavec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1392003">
    <w:abstractNumId w:val="0"/>
  </w:num>
  <w:num w:numId="2" w16cid:durableId="169104055">
    <w:abstractNumId w:val="1"/>
  </w:num>
  <w:num w:numId="3" w16cid:durableId="1970088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62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B2"/>
    <w:rsid w:val="000A4C83"/>
    <w:rsid w:val="00143E85"/>
    <w:rsid w:val="004529A4"/>
    <w:rsid w:val="004C070A"/>
    <w:rsid w:val="005E7551"/>
    <w:rsid w:val="007F0374"/>
    <w:rsid w:val="00830E1C"/>
    <w:rsid w:val="008E7B86"/>
    <w:rsid w:val="00946E8E"/>
    <w:rsid w:val="009C2C96"/>
    <w:rsid w:val="00A50D2F"/>
    <w:rsid w:val="00C4140E"/>
    <w:rsid w:val="00C9542B"/>
    <w:rsid w:val="00CA3553"/>
    <w:rsid w:val="00D43838"/>
    <w:rsid w:val="00E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4F63"/>
  <w15:docId w15:val="{F7158149-29B1-4440-84AD-FC365ED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E15"/>
    <w:rPr>
      <w:lang w:eastAsia="en-US"/>
    </w:rPr>
  </w:style>
  <w:style w:type="paragraph" w:styleId="Nadpis1">
    <w:name w:val="heading 1"/>
    <w:aliases w:val="Char"/>
    <w:basedOn w:val="Normln"/>
    <w:next w:val="Pododstavec"/>
    <w:link w:val="Nadpis1Char"/>
    <w:uiPriority w:val="9"/>
    <w:qFormat/>
    <w:rsid w:val="004414E8"/>
    <w:pPr>
      <w:keepNext/>
      <w:keepLines/>
      <w:numPr>
        <w:numId w:val="2"/>
      </w:numPr>
      <w:suppressAutoHyphens/>
      <w:spacing w:before="480"/>
      <w:jc w:val="left"/>
      <w:outlineLvl w:val="0"/>
    </w:pPr>
    <w:rPr>
      <w:rFonts w:asciiTheme="minorHAnsi" w:eastAsia="SimSun" w:hAnsiTheme="minorHAnsi" w:cstheme="minorHAnsi"/>
      <w:b/>
      <w:smallCaps/>
      <w:kern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F7CF9"/>
    <w:pPr>
      <w:tabs>
        <w:tab w:val="num" w:pos="851"/>
      </w:tabs>
      <w:ind w:left="1418" w:hanging="1135"/>
      <w:outlineLvl w:val="1"/>
    </w:pPr>
    <w:rPr>
      <w:rFonts w:asciiTheme="minorHAnsi" w:hAnsiTheme="minorHAnsi" w:cstheme="minorHAns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505"/>
    <w:pPr>
      <w:tabs>
        <w:tab w:val="num" w:pos="1701"/>
      </w:tabs>
      <w:ind w:left="1701" w:hanging="850"/>
      <w:outlineLvl w:val="2"/>
    </w:pPr>
    <w:rPr>
      <w:rFonts w:asciiTheme="minorHAnsi" w:hAnsiTheme="minorHAnsi" w:cstheme="minorHAnsi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81E15"/>
    <w:pPr>
      <w:numPr>
        <w:ilvl w:val="4"/>
        <w:numId w:val="3"/>
      </w:numPr>
      <w:outlineLvl w:val="4"/>
    </w:pPr>
  </w:style>
  <w:style w:type="paragraph" w:styleId="Nadpis6">
    <w:name w:val="heading 6"/>
    <w:basedOn w:val="Normln"/>
    <w:next w:val="Normln"/>
    <w:uiPriority w:val="9"/>
    <w:semiHidden/>
    <w:unhideWhenUsed/>
    <w:qFormat/>
    <w:rsid w:val="00081E15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81E1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81E1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81E15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Nadpis1Char">
    <w:name w:val="Nadpis 1 Char"/>
    <w:aliases w:val="Char Char"/>
    <w:link w:val="Nadpis1"/>
    <w:locked/>
    <w:rsid w:val="004414E8"/>
    <w:rPr>
      <w:rFonts w:asciiTheme="minorHAnsi" w:hAnsiTheme="minorHAnsi" w:cstheme="minorHAnsi"/>
      <w:b/>
      <w:smallCaps/>
      <w:kern w:val="28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81E15"/>
    <w:pPr>
      <w:tabs>
        <w:tab w:val="center" w:pos="4153"/>
        <w:tab w:val="right" w:pos="8306"/>
      </w:tabs>
    </w:pPr>
    <w:rPr>
      <w:rFonts w:eastAsia="SimSun"/>
      <w:lang w:val="x-none"/>
    </w:rPr>
  </w:style>
  <w:style w:type="paragraph" w:customStyle="1" w:styleId="Normal2">
    <w:name w:val="Normal 2"/>
    <w:basedOn w:val="Normln"/>
    <w:rsid w:val="00081E15"/>
    <w:pPr>
      <w:spacing w:before="0"/>
      <w:ind w:left="851"/>
    </w:pPr>
  </w:style>
  <w:style w:type="character" w:styleId="slostrnky">
    <w:name w:val="page number"/>
    <w:rsid w:val="00081E15"/>
    <w:rPr>
      <w:rFonts w:cs="Times New Roman"/>
    </w:rPr>
  </w:style>
  <w:style w:type="character" w:styleId="Odkaznakoment">
    <w:name w:val="annotation reference"/>
    <w:rsid w:val="00081E15"/>
    <w:rPr>
      <w:rFonts w:cs="Times New Roman"/>
      <w:sz w:val="16"/>
      <w:szCs w:val="16"/>
    </w:rPr>
  </w:style>
  <w:style w:type="paragraph" w:styleId="Textkomente">
    <w:name w:val="annotation text"/>
    <w:basedOn w:val="Normln"/>
    <w:rsid w:val="00081E15"/>
    <w:pPr>
      <w:spacing w:before="0" w:after="0"/>
      <w:jc w:val="left"/>
    </w:pPr>
    <w:rPr>
      <w:sz w:val="20"/>
      <w:lang w:val="x-none" w:eastAsia="x-none"/>
    </w:rPr>
  </w:style>
  <w:style w:type="paragraph" w:styleId="Textbubliny">
    <w:name w:val="Balloon Text"/>
    <w:basedOn w:val="Normln"/>
    <w:semiHidden/>
    <w:rsid w:val="00081E1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71785"/>
    <w:pPr>
      <w:spacing w:before="120" w:after="120"/>
      <w:jc w:val="both"/>
    </w:pPr>
    <w:rPr>
      <w:b/>
      <w:bCs/>
      <w:lang w:val="cs-CZ" w:eastAsia="en-US"/>
    </w:rPr>
  </w:style>
  <w:style w:type="character" w:styleId="Siln">
    <w:name w:val="Strong"/>
    <w:uiPriority w:val="22"/>
    <w:qFormat/>
    <w:rsid w:val="000F4521"/>
    <w:rPr>
      <w:b/>
      <w:bCs/>
    </w:rPr>
  </w:style>
  <w:style w:type="table" w:styleId="Mkatabulky">
    <w:name w:val="Table Grid"/>
    <w:basedOn w:val="Normlntabulka"/>
    <w:rsid w:val="00B33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locked/>
    <w:rsid w:val="00CD2F82"/>
    <w:rPr>
      <w:sz w:val="22"/>
      <w:lang w:val="x-none" w:eastAsia="en-US" w:bidi="ar-SA"/>
    </w:rPr>
  </w:style>
  <w:style w:type="paragraph" w:customStyle="1" w:styleId="st">
    <w:name w:val="Část"/>
    <w:basedOn w:val="Normln"/>
    <w:next w:val="Nadpis1"/>
    <w:rsid w:val="00621933"/>
    <w:pPr>
      <w:keepNext/>
      <w:pBdr>
        <w:bottom w:val="single" w:sz="4" w:space="1" w:color="auto"/>
      </w:pBdr>
      <w:tabs>
        <w:tab w:val="num" w:pos="720"/>
        <w:tab w:val="left" w:pos="1985"/>
      </w:tabs>
      <w:spacing w:before="600"/>
      <w:ind w:left="720" w:hanging="720"/>
      <w:outlineLvl w:val="0"/>
    </w:pPr>
    <w:rPr>
      <w:b/>
      <w:caps/>
      <w:color w:val="000000"/>
    </w:rPr>
  </w:style>
  <w:style w:type="paragraph" w:styleId="Zkladntextodsazen">
    <w:name w:val="Body Text Indent"/>
    <w:basedOn w:val="Normln"/>
    <w:rsid w:val="005B1D68"/>
    <w:pPr>
      <w:spacing w:before="0" w:after="0"/>
      <w:ind w:left="360"/>
      <w:jc w:val="left"/>
    </w:pPr>
    <w:rPr>
      <w:sz w:val="24"/>
      <w:szCs w:val="24"/>
      <w:lang w:eastAsia="cs-CZ"/>
    </w:rPr>
  </w:style>
  <w:style w:type="paragraph" w:customStyle="1" w:styleId="Barevnstnovnzvraznn11">
    <w:name w:val="Barevné stínování – zvýraznění 11"/>
    <w:hidden/>
    <w:uiPriority w:val="99"/>
    <w:semiHidden/>
    <w:rsid w:val="00EA00BD"/>
    <w:rPr>
      <w:lang w:eastAsia="en-US"/>
    </w:rPr>
  </w:style>
  <w:style w:type="character" w:styleId="Hypertextovodkaz">
    <w:name w:val="Hyperlink"/>
    <w:rsid w:val="00A90D40"/>
    <w:rPr>
      <w:color w:val="0000FF"/>
      <w:u w:val="single"/>
    </w:rPr>
  </w:style>
  <w:style w:type="character" w:customStyle="1" w:styleId="Nadpis2Char">
    <w:name w:val="Nadpis 2 Char"/>
    <w:link w:val="Nadpis2"/>
    <w:rsid w:val="00AF7CF9"/>
    <w:rPr>
      <w:rFonts w:asciiTheme="minorHAnsi" w:eastAsia="Times New Roman" w:hAnsiTheme="minorHAnsi" w:cstheme="minorHAnsi"/>
      <w:color w:val="000000"/>
      <w:sz w:val="22"/>
      <w:szCs w:val="22"/>
    </w:rPr>
  </w:style>
  <w:style w:type="paragraph" w:customStyle="1" w:styleId="Default">
    <w:name w:val="Default"/>
    <w:rsid w:val="004565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5">
    <w:name w:val="Základní text 5"/>
    <w:basedOn w:val="Normln"/>
    <w:uiPriority w:val="99"/>
    <w:rsid w:val="00CE40D8"/>
    <w:pPr>
      <w:spacing w:after="0"/>
      <w:jc w:val="center"/>
    </w:pPr>
    <w:rPr>
      <w:rFonts w:ascii="Verdana" w:hAnsi="Verdana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24AA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24AA"/>
    <w:rPr>
      <w:i/>
      <w:iCs/>
    </w:rPr>
  </w:style>
  <w:style w:type="paragraph" w:styleId="Revize">
    <w:name w:val="Revision"/>
    <w:hidden/>
    <w:uiPriority w:val="99"/>
    <w:semiHidden/>
    <w:rsid w:val="0024741A"/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3A6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63A66"/>
    <w:rPr>
      <w:rFonts w:eastAsia="Times New Roman"/>
      <w:sz w:val="22"/>
      <w:lang w:eastAsia="en-US"/>
    </w:rPr>
  </w:style>
  <w:style w:type="paragraph" w:customStyle="1" w:styleId="Pododstavec">
    <w:name w:val="Pododstavec"/>
    <w:basedOn w:val="Nadpis1"/>
    <w:link w:val="PododstavecChar"/>
    <w:qFormat/>
    <w:rsid w:val="00833ECB"/>
    <w:pPr>
      <w:keepNext w:val="0"/>
      <w:keepLines w:val="0"/>
      <w:numPr>
        <w:ilvl w:val="1"/>
      </w:numPr>
      <w:spacing w:before="0"/>
      <w:jc w:val="both"/>
      <w:outlineLvl w:val="9"/>
    </w:pPr>
    <w:rPr>
      <w:b w:val="0"/>
      <w:bCs/>
      <w:smallCaps w:val="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PododstavecChar">
    <w:name w:val="Pododstavec Char"/>
    <w:basedOn w:val="Nadpis2Char"/>
    <w:link w:val="Pododstavec"/>
    <w:rsid w:val="00833ECB"/>
    <w:rPr>
      <w:rFonts w:asciiTheme="minorHAnsi" w:eastAsia="Times New Roman" w:hAnsiTheme="minorHAnsi" w:cstheme="minorHAnsi"/>
      <w:bCs/>
      <w:color w:val="000000"/>
      <w:kern w:val="28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5411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Pododstavec0">
    <w:name w:val="Pododstavec_"/>
    <w:basedOn w:val="Pododstavec"/>
    <w:link w:val="PododstavecChar0"/>
    <w:qFormat/>
    <w:rsid w:val="008657F0"/>
    <w:pPr>
      <w:numPr>
        <w:ilvl w:val="2"/>
      </w:numPr>
      <w:ind w:left="1418"/>
    </w:pPr>
  </w:style>
  <w:style w:type="character" w:customStyle="1" w:styleId="Nadpis3Char">
    <w:name w:val="Nadpis 3 Char"/>
    <w:basedOn w:val="Standardnpsmoodstavce"/>
    <w:link w:val="Nadpis3"/>
    <w:rsid w:val="0054110C"/>
    <w:rPr>
      <w:rFonts w:asciiTheme="minorHAnsi" w:eastAsia="Times New Roman" w:hAnsiTheme="minorHAnsi" w:cstheme="minorHAnsi"/>
      <w:sz w:val="22"/>
      <w:lang w:eastAsia="en-US"/>
    </w:rPr>
  </w:style>
  <w:style w:type="character" w:customStyle="1" w:styleId="PododstavecChar0">
    <w:name w:val="Pododstavec_ Char"/>
    <w:basedOn w:val="Nadpis3Char"/>
    <w:link w:val="Pododstavec0"/>
    <w:rsid w:val="008657F0"/>
    <w:rPr>
      <w:rFonts w:asciiTheme="minorHAnsi" w:eastAsia="Times New Roman" w:hAnsiTheme="minorHAnsi" w:cstheme="minorHAnsi"/>
      <w:bCs/>
      <w:kern w:val="28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4CB3"/>
    <w:pPr>
      <w:spacing w:before="0" w:after="0"/>
      <w:ind w:left="720"/>
      <w:contextualSpacing/>
      <w:jc w:val="left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7D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7717B"/>
    <w:rPr>
      <w:rFonts w:ascii="Arial" w:hAnsi="Arial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24B503D585B4FBD839C20E2379786" ma:contentTypeVersion="16" ma:contentTypeDescription="Vytvoří nový dokument" ma:contentTypeScope="" ma:versionID="d3a0dd2c73290674d5929badb5b07556">
  <xsd:schema xmlns:xsd="http://www.w3.org/2001/XMLSchema" xmlns:xs="http://www.w3.org/2001/XMLSchema" xmlns:p="http://schemas.microsoft.com/office/2006/metadata/properties" xmlns:ns2="5fa07794-5b46-46c8-840b-941d4a74c2ef" xmlns:ns3="55616b4c-fc36-487c-bd45-8e83e229c194" targetNamespace="http://schemas.microsoft.com/office/2006/metadata/properties" ma:root="true" ma:fieldsID="12d6633742647f7de4764ca21af5b41c" ns2:_="" ns3:_="">
    <xsd:import namespace="5fa07794-5b46-46c8-840b-941d4a74c2ef"/>
    <xsd:import namespace="55616b4c-fc36-487c-bd45-8e83e229c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94-5b46-46c8-840b-941d4a74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16b4c-fc36-487c-bd45-8e83e229c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d6b9f-dd7b-4620-b546-8aaa1644337b}" ma:internalName="TaxCatchAll" ma:showField="CatchAllData" ma:web="55616b4c-fc36-487c-bd45-8e83e229c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QY7nxIHF/bT7/OSrLl/FpXYJTQ==">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07794-5b46-46c8-840b-941d4a74c2ef">
      <Terms xmlns="http://schemas.microsoft.com/office/infopath/2007/PartnerControls"/>
    </lcf76f155ced4ddcb4097134ff3c332f>
    <TaxCatchAll xmlns="55616b4c-fc36-487c-bd45-8e83e229c194" xsi:nil="true"/>
  </documentManagement>
</p:properties>
</file>

<file path=customXml/itemProps1.xml><?xml version="1.0" encoding="utf-8"?>
<ds:datastoreItem xmlns:ds="http://schemas.openxmlformats.org/officeDocument/2006/customXml" ds:itemID="{030A71AD-C161-4456-83AC-D847459ED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7794-5b46-46c8-840b-941d4a74c2ef"/>
    <ds:schemaRef ds:uri="55616b4c-fc36-487c-bd45-8e83e229c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7D415-E286-49EC-B819-7CEB8F15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1CA67FD-8221-44E9-99CC-2A1129EF4C05}">
  <ds:schemaRefs>
    <ds:schemaRef ds:uri="http://schemas.microsoft.com/office/2006/metadata/properties"/>
    <ds:schemaRef ds:uri="http://schemas.microsoft.com/office/infopath/2007/PartnerControls"/>
    <ds:schemaRef ds:uri="5fa07794-5b46-46c8-840b-941d4a74c2ef"/>
    <ds:schemaRef ds:uri="55616b4c-fc36-487c-bd45-8e83e229c1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Búřil</dc:creator>
  <cp:lastModifiedBy>Petra Nováková</cp:lastModifiedBy>
  <cp:revision>2</cp:revision>
  <cp:lastPrinted>2023-03-01T13:16:00Z</cp:lastPrinted>
  <dcterms:created xsi:type="dcterms:W3CDTF">2023-03-03T14:58:00Z</dcterms:created>
  <dcterms:modified xsi:type="dcterms:W3CDTF">2023-03-03T14:58:00Z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  <property fmtid="{D5CDD505-2E9C-101B-9397-08002B2CF9AE}" pid="3" name="MediaServiceImageTags">
    <vt:lpwstr/>
  </property>
</Properties>
</file>