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6E" w:rsidRDefault="007A406E">
      <w:pPr>
        <w:pStyle w:val="Zkladntext"/>
        <w:rPr>
          <w:sz w:val="20"/>
        </w:rPr>
      </w:pPr>
    </w:p>
    <w:p w:rsidR="007A406E" w:rsidRDefault="007A406E">
      <w:pPr>
        <w:pStyle w:val="Zkladntext"/>
        <w:spacing w:before="6"/>
        <w:rPr>
          <w:sz w:val="20"/>
        </w:rPr>
      </w:pPr>
    </w:p>
    <w:p w:rsidR="007A406E" w:rsidRDefault="00C463F2">
      <w:pPr>
        <w:spacing w:before="91" w:line="288" w:lineRule="auto"/>
        <w:ind w:left="4364" w:right="1499" w:hanging="2963"/>
        <w:rPr>
          <w:sz w:val="23"/>
        </w:rPr>
      </w:pPr>
      <w:r>
        <w:rPr>
          <w:b/>
          <w:sz w:val="23"/>
        </w:rPr>
        <w:t xml:space="preserve">NÁRODNÍ ÚSTAV DUŠEVNÍHO ZDRAVÍ, </w:t>
      </w:r>
      <w:r>
        <w:rPr>
          <w:sz w:val="23"/>
        </w:rPr>
        <w:t>státní příspěvková organizace IČO: 00023752</w:t>
      </w:r>
    </w:p>
    <w:p w:rsidR="007A406E" w:rsidRDefault="00C463F2">
      <w:pPr>
        <w:pStyle w:val="Zkladntext"/>
        <w:spacing w:line="288" w:lineRule="auto"/>
        <w:ind w:left="2489" w:right="2732" w:firstLine="686"/>
      </w:pPr>
      <w:r>
        <w:rPr>
          <w:w w:val="105"/>
        </w:rPr>
        <w:t>se sídlem Topolová 748, 25067 Klecany zastoupena PhDr. Petrem Winklerem, Ph.D., ředitelem</w:t>
      </w:r>
    </w:p>
    <w:p w:rsidR="007A406E" w:rsidRDefault="007A406E">
      <w:pPr>
        <w:pStyle w:val="Zkladntext"/>
        <w:spacing w:before="2"/>
        <w:rPr>
          <w:sz w:val="28"/>
        </w:rPr>
      </w:pPr>
    </w:p>
    <w:p w:rsidR="007A406E" w:rsidRDefault="00C463F2">
      <w:pPr>
        <w:ind w:left="2280" w:right="2596"/>
        <w:jc w:val="center"/>
        <w:rPr>
          <w:sz w:val="23"/>
        </w:rPr>
      </w:pPr>
      <w:r>
        <w:rPr>
          <w:w w:val="105"/>
          <w:sz w:val="23"/>
        </w:rPr>
        <w:t xml:space="preserve">dále jen </w:t>
      </w:r>
      <w:r>
        <w:rPr>
          <w:b/>
          <w:w w:val="105"/>
          <w:sz w:val="23"/>
        </w:rPr>
        <w:t xml:space="preserve">„NUDZ" </w:t>
      </w:r>
      <w:r>
        <w:rPr>
          <w:w w:val="105"/>
          <w:sz w:val="23"/>
        </w:rPr>
        <w:t>na straně jedné</w:t>
      </w:r>
    </w:p>
    <w:p w:rsidR="007A406E" w:rsidRDefault="007A406E">
      <w:pPr>
        <w:pStyle w:val="Zkladntext"/>
        <w:spacing w:before="2"/>
        <w:rPr>
          <w:sz w:val="35"/>
        </w:rPr>
      </w:pPr>
    </w:p>
    <w:p w:rsidR="007A406E" w:rsidRDefault="00C463F2">
      <w:pPr>
        <w:ind w:right="309"/>
        <w:jc w:val="center"/>
        <w:rPr>
          <w:rFonts w:ascii="Arial"/>
          <w:sz w:val="20"/>
        </w:rPr>
      </w:pPr>
      <w:r>
        <w:rPr>
          <w:rFonts w:ascii="Arial"/>
          <w:w w:val="104"/>
          <w:sz w:val="20"/>
        </w:rPr>
        <w:t>a</w:t>
      </w:r>
    </w:p>
    <w:p w:rsidR="007A406E" w:rsidRDefault="00C463F2">
      <w:pPr>
        <w:pStyle w:val="Zkladntext"/>
        <w:spacing w:before="61"/>
        <w:ind w:left="2221" w:right="2764"/>
        <w:jc w:val="center"/>
      </w:pPr>
      <w:r>
        <w:rPr>
          <w:w w:val="105"/>
        </w:rPr>
        <w:t>Nemocnice Slaný</w:t>
      </w:r>
    </w:p>
    <w:p w:rsidR="007A406E" w:rsidRDefault="00C463F2">
      <w:pPr>
        <w:pStyle w:val="Zkladntext"/>
        <w:spacing w:before="41" w:line="550" w:lineRule="atLeast"/>
        <w:ind w:left="2280" w:right="2764"/>
        <w:jc w:val="center"/>
      </w:pPr>
      <w:r>
        <w:rPr>
          <w:w w:val="105"/>
        </w:rPr>
        <w:t>adresa zdravotnického zařízení, kde je prováděna studie: Politických vězňů 576</w:t>
      </w:r>
    </w:p>
    <w:p w:rsidR="007A406E" w:rsidRDefault="00C463F2">
      <w:pPr>
        <w:pStyle w:val="Zkladntext"/>
        <w:spacing w:before="22" w:line="249" w:lineRule="auto"/>
        <w:ind w:left="4726" w:right="5223" w:firstLine="6"/>
        <w:jc w:val="center"/>
      </w:pPr>
      <w:r>
        <w:rPr>
          <w:w w:val="105"/>
        </w:rPr>
        <w:t xml:space="preserve">Slaný </w:t>
      </w:r>
      <w:r>
        <w:t>27401</w:t>
      </w:r>
    </w:p>
    <w:p w:rsidR="007A406E" w:rsidRDefault="007A406E">
      <w:pPr>
        <w:pStyle w:val="Zkladntext"/>
        <w:spacing w:before="5"/>
        <w:rPr>
          <w:sz w:val="27"/>
        </w:rPr>
      </w:pPr>
    </w:p>
    <w:p w:rsidR="007A406E" w:rsidRDefault="00C463F2">
      <w:pPr>
        <w:ind w:left="2280" w:right="2637"/>
        <w:jc w:val="center"/>
        <w:rPr>
          <w:sz w:val="23"/>
        </w:rPr>
      </w:pPr>
      <w:r>
        <w:rPr>
          <w:w w:val="105"/>
          <w:sz w:val="23"/>
        </w:rPr>
        <w:t xml:space="preserve">dále jen </w:t>
      </w:r>
      <w:r>
        <w:rPr>
          <w:b/>
          <w:w w:val="105"/>
          <w:sz w:val="23"/>
        </w:rPr>
        <w:t xml:space="preserve">„Nemocnice" </w:t>
      </w:r>
      <w:r>
        <w:rPr>
          <w:w w:val="105"/>
          <w:sz w:val="23"/>
        </w:rPr>
        <w:t>na straně druhé</w:t>
      </w:r>
    </w:p>
    <w:p w:rsidR="007A406E" w:rsidRDefault="007A406E">
      <w:pPr>
        <w:pStyle w:val="Zkladntext"/>
        <w:rPr>
          <w:sz w:val="26"/>
        </w:rPr>
      </w:pPr>
    </w:p>
    <w:p w:rsidR="007A406E" w:rsidRDefault="00C463F2">
      <w:pPr>
        <w:pStyle w:val="Zkladntext"/>
        <w:spacing w:before="194"/>
        <w:ind w:left="2275" w:right="2764"/>
        <w:jc w:val="center"/>
      </w:pPr>
      <w:r>
        <w:rPr>
          <w:w w:val="105"/>
        </w:rPr>
        <w:t>uzavřely níže uvedeného dne, měsíce a roku tuto</w:t>
      </w:r>
    </w:p>
    <w:p w:rsidR="007A406E" w:rsidRDefault="007A406E">
      <w:pPr>
        <w:pStyle w:val="Zkladntext"/>
        <w:spacing w:before="5"/>
        <w:rPr>
          <w:sz w:val="32"/>
        </w:rPr>
      </w:pPr>
    </w:p>
    <w:p w:rsidR="007A406E" w:rsidRDefault="00C463F2">
      <w:pPr>
        <w:ind w:left="2219" w:right="2764"/>
        <w:jc w:val="center"/>
        <w:rPr>
          <w:b/>
          <w:sz w:val="35"/>
        </w:rPr>
      </w:pPr>
      <w:r>
        <w:rPr>
          <w:b/>
          <w:w w:val="105"/>
          <w:sz w:val="35"/>
        </w:rPr>
        <w:t>Smlouvu o spolupráci</w:t>
      </w:r>
    </w:p>
    <w:p w:rsidR="007A406E" w:rsidRDefault="007A406E">
      <w:pPr>
        <w:pStyle w:val="Zkladntext"/>
        <w:spacing w:before="4"/>
        <w:rPr>
          <w:b/>
          <w:sz w:val="34"/>
        </w:rPr>
      </w:pPr>
    </w:p>
    <w:p w:rsidR="007A406E" w:rsidRDefault="00C463F2">
      <w:pPr>
        <w:pStyle w:val="Zkladntext"/>
        <w:ind w:left="1202" w:right="1725"/>
        <w:jc w:val="center"/>
      </w:pPr>
      <w:r>
        <w:rPr>
          <w:w w:val="105"/>
        </w:rPr>
        <w:t>dle ustanovení§ 1746 odst. 2 a násl. zákona č. 89/2012 Sb., občanský zákoník:</w:t>
      </w:r>
    </w:p>
    <w:p w:rsidR="007A406E" w:rsidRDefault="007A406E">
      <w:pPr>
        <w:jc w:val="center"/>
        <w:sectPr w:rsidR="007A406E">
          <w:headerReference w:type="even" r:id="rId7"/>
          <w:headerReference w:type="default" r:id="rId8"/>
          <w:footerReference w:type="even" r:id="rId9"/>
          <w:footerReference w:type="default" r:id="rId10"/>
          <w:headerReference w:type="first" r:id="rId11"/>
          <w:footerReference w:type="first" r:id="rId12"/>
          <w:type w:val="continuous"/>
          <w:pgSz w:w="11920" w:h="16840"/>
          <w:pgMar w:top="440" w:right="440" w:bottom="280" w:left="940" w:header="708" w:footer="708" w:gutter="0"/>
          <w:cols w:space="708"/>
        </w:sectPr>
      </w:pPr>
    </w:p>
    <w:p w:rsidR="007A406E" w:rsidRDefault="007A406E">
      <w:pPr>
        <w:pStyle w:val="Zkladntext"/>
        <w:rPr>
          <w:sz w:val="20"/>
        </w:rPr>
      </w:pPr>
    </w:p>
    <w:p w:rsidR="007A406E" w:rsidRDefault="007A406E">
      <w:pPr>
        <w:pStyle w:val="Zkladntext"/>
        <w:spacing w:before="7"/>
        <w:rPr>
          <w:sz w:val="25"/>
        </w:rPr>
      </w:pPr>
    </w:p>
    <w:p w:rsidR="007A406E" w:rsidRDefault="00C463F2">
      <w:pPr>
        <w:pStyle w:val="Zkladntext"/>
        <w:spacing w:before="91"/>
        <w:ind w:left="2253" w:right="2764"/>
        <w:jc w:val="center"/>
      </w:pPr>
      <w:r>
        <w:rPr>
          <w:w w:val="105"/>
        </w:rPr>
        <w:t>PREAMBULE</w:t>
      </w:r>
    </w:p>
    <w:p w:rsidR="007A406E" w:rsidRDefault="00C463F2">
      <w:pPr>
        <w:pStyle w:val="Zkladntext"/>
        <w:spacing w:before="53" w:line="288" w:lineRule="auto"/>
        <w:ind w:left="174" w:right="709" w:firstLine="21"/>
        <w:jc w:val="both"/>
      </w:pPr>
      <w:r>
        <w:rPr>
          <w:w w:val="105"/>
        </w:rPr>
        <w:t>Duševní poruchy významně snižují kvalitu života nemocného ve všech aspektech jeho života. Duševní onemocnění v těhotenství a poporodním období mohou v</w:t>
      </w:r>
      <w:r>
        <w:rPr>
          <w:w w:val="105"/>
        </w:rPr>
        <w:t>ýznamně narušit fungování a kvalitu života celé rodiny, což se odráží i do vývoje dítěte. Duševní onemocnění u těhotné ženy je často diagnostikováno pozdě, což komplikuje léčbu. I přes závažnost této problematiky není zatím tématu</w:t>
      </w:r>
      <w:r>
        <w:rPr>
          <w:spacing w:val="-7"/>
          <w:w w:val="105"/>
        </w:rPr>
        <w:t xml:space="preserve"> </w:t>
      </w:r>
      <w:r>
        <w:rPr>
          <w:w w:val="105"/>
        </w:rPr>
        <w:t>duševního</w:t>
      </w:r>
      <w:r>
        <w:rPr>
          <w:spacing w:val="1"/>
          <w:w w:val="105"/>
        </w:rPr>
        <w:t xml:space="preserve"> </w:t>
      </w:r>
      <w:r>
        <w:rPr>
          <w:w w:val="105"/>
        </w:rPr>
        <w:t>zdraví</w:t>
      </w:r>
      <w:r>
        <w:rPr>
          <w:spacing w:val="-13"/>
          <w:w w:val="105"/>
        </w:rPr>
        <w:t xml:space="preserve"> </w:t>
      </w:r>
      <w:r>
        <w:rPr>
          <w:w w:val="105"/>
        </w:rPr>
        <w:t>a</w:t>
      </w:r>
      <w:r>
        <w:rPr>
          <w:spacing w:val="-8"/>
          <w:w w:val="105"/>
        </w:rPr>
        <w:t xml:space="preserve"> </w:t>
      </w:r>
      <w:r>
        <w:rPr>
          <w:w w:val="105"/>
        </w:rPr>
        <w:t>pohody</w:t>
      </w:r>
      <w:r>
        <w:rPr>
          <w:spacing w:val="5"/>
          <w:w w:val="105"/>
        </w:rPr>
        <w:t xml:space="preserve"> </w:t>
      </w:r>
      <w:r>
        <w:rPr>
          <w:w w:val="105"/>
        </w:rPr>
        <w:t>těhotné</w:t>
      </w:r>
      <w:r>
        <w:rPr>
          <w:spacing w:val="-9"/>
          <w:w w:val="105"/>
        </w:rPr>
        <w:t xml:space="preserve"> </w:t>
      </w:r>
      <w:r>
        <w:rPr>
          <w:w w:val="105"/>
        </w:rPr>
        <w:t>v</w:t>
      </w:r>
      <w:r>
        <w:rPr>
          <w:spacing w:val="-11"/>
          <w:w w:val="105"/>
        </w:rPr>
        <w:t xml:space="preserve"> </w:t>
      </w:r>
      <w:r>
        <w:rPr>
          <w:w w:val="105"/>
        </w:rPr>
        <w:t>České</w:t>
      </w:r>
      <w:r>
        <w:rPr>
          <w:spacing w:val="-2"/>
          <w:w w:val="105"/>
        </w:rPr>
        <w:t xml:space="preserve"> </w:t>
      </w:r>
      <w:r>
        <w:rPr>
          <w:w w:val="105"/>
        </w:rPr>
        <w:t>republice</w:t>
      </w:r>
      <w:r>
        <w:rPr>
          <w:spacing w:val="-8"/>
          <w:w w:val="105"/>
        </w:rPr>
        <w:t xml:space="preserve"> </w:t>
      </w:r>
      <w:r>
        <w:rPr>
          <w:w w:val="105"/>
        </w:rPr>
        <w:t>věnována</w:t>
      </w:r>
      <w:r>
        <w:rPr>
          <w:spacing w:val="-3"/>
          <w:w w:val="105"/>
        </w:rPr>
        <w:t xml:space="preserve"> </w:t>
      </w:r>
      <w:r>
        <w:rPr>
          <w:w w:val="105"/>
        </w:rPr>
        <w:t>dostatečná</w:t>
      </w:r>
      <w:r>
        <w:rPr>
          <w:spacing w:val="-3"/>
          <w:w w:val="105"/>
        </w:rPr>
        <w:t xml:space="preserve"> </w:t>
      </w:r>
      <w:r>
        <w:rPr>
          <w:w w:val="105"/>
        </w:rPr>
        <w:t>pozornost.</w:t>
      </w:r>
      <w:r>
        <w:rPr>
          <w:spacing w:val="-2"/>
          <w:w w:val="105"/>
        </w:rPr>
        <w:t xml:space="preserve"> </w:t>
      </w:r>
      <w:r>
        <w:rPr>
          <w:w w:val="105"/>
        </w:rPr>
        <w:t>Cílem studie specifikované dále ve smlouvě je snaha tuto situaci postupně</w:t>
      </w:r>
      <w:r>
        <w:rPr>
          <w:spacing w:val="12"/>
          <w:w w:val="105"/>
        </w:rPr>
        <w:t xml:space="preserve"> </w:t>
      </w:r>
      <w:r>
        <w:rPr>
          <w:w w:val="105"/>
        </w:rPr>
        <w:t>měnit.</w:t>
      </w:r>
    </w:p>
    <w:p w:rsidR="007A406E" w:rsidRDefault="007A406E">
      <w:pPr>
        <w:pStyle w:val="Zkladntext"/>
        <w:spacing w:before="6"/>
        <w:rPr>
          <w:sz w:val="27"/>
        </w:rPr>
      </w:pPr>
    </w:p>
    <w:p w:rsidR="007A406E" w:rsidRDefault="00C463F2">
      <w:pPr>
        <w:pStyle w:val="Odstavecseseznamem"/>
        <w:numPr>
          <w:ilvl w:val="0"/>
          <w:numId w:val="10"/>
        </w:numPr>
        <w:tabs>
          <w:tab w:val="left" w:pos="3927"/>
        </w:tabs>
        <w:rPr>
          <w:sz w:val="23"/>
        </w:rPr>
      </w:pPr>
      <w:r>
        <w:rPr>
          <w:w w:val="105"/>
          <w:sz w:val="23"/>
        </w:rPr>
        <w:t>PŘEDMĚT</w:t>
      </w:r>
      <w:r>
        <w:rPr>
          <w:spacing w:val="3"/>
          <w:w w:val="105"/>
          <w:sz w:val="23"/>
        </w:rPr>
        <w:t xml:space="preserve"> </w:t>
      </w:r>
      <w:r>
        <w:rPr>
          <w:w w:val="105"/>
          <w:sz w:val="23"/>
        </w:rPr>
        <w:t>SMLOUVY</w:t>
      </w:r>
    </w:p>
    <w:p w:rsidR="007A406E" w:rsidRDefault="00C463F2">
      <w:pPr>
        <w:pStyle w:val="Zkladntext"/>
        <w:spacing w:before="53" w:line="285" w:lineRule="auto"/>
        <w:ind w:left="159" w:right="740" w:firstLine="13"/>
        <w:jc w:val="both"/>
        <w:rPr>
          <w:b/>
        </w:rPr>
      </w:pPr>
      <w:r>
        <w:rPr>
          <w:w w:val="105"/>
        </w:rPr>
        <w:t xml:space="preserve">1.1 Předmětem této smlouvy je sjednání podmínek spolupráce smluvních stran na provádění screeningu perinatálních duševních obtíží a poskytnutí návazné péče či kontaktů na poskytovatele návazné péče (dále jen </w:t>
      </w:r>
      <w:r>
        <w:rPr>
          <w:b/>
          <w:w w:val="105"/>
        </w:rPr>
        <w:t>„Screening").</w:t>
      </w:r>
    </w:p>
    <w:p w:rsidR="007A406E" w:rsidRDefault="007A406E">
      <w:pPr>
        <w:pStyle w:val="Zkladntext"/>
        <w:spacing w:before="3"/>
        <w:rPr>
          <w:b/>
          <w:sz w:val="28"/>
        </w:rPr>
      </w:pPr>
    </w:p>
    <w:p w:rsidR="007A406E" w:rsidRDefault="00C463F2">
      <w:pPr>
        <w:pStyle w:val="Zkladntext"/>
        <w:ind w:left="2182" w:right="2764"/>
        <w:jc w:val="center"/>
      </w:pPr>
      <w:r>
        <w:t>li.  PROVEDENÍ SCREENINGU</w:t>
      </w:r>
    </w:p>
    <w:p w:rsidR="007A406E" w:rsidRDefault="00C463F2">
      <w:pPr>
        <w:pStyle w:val="Odstavecseseznamem"/>
        <w:numPr>
          <w:ilvl w:val="1"/>
          <w:numId w:val="9"/>
        </w:numPr>
        <w:tabs>
          <w:tab w:val="left" w:pos="615"/>
        </w:tabs>
        <w:spacing w:before="53" w:line="288" w:lineRule="auto"/>
        <w:ind w:right="741" w:firstLine="9"/>
        <w:jc w:val="both"/>
        <w:rPr>
          <w:b/>
          <w:sz w:val="23"/>
        </w:rPr>
      </w:pPr>
      <w:r>
        <w:rPr>
          <w:w w:val="105"/>
          <w:sz w:val="23"/>
        </w:rPr>
        <w:t>NUDZ má</w:t>
      </w:r>
      <w:r>
        <w:rPr>
          <w:w w:val="105"/>
          <w:sz w:val="23"/>
        </w:rPr>
        <w:t xml:space="preserve"> v úmyslu zajistit sběr dat vymezených v příloze </w:t>
      </w:r>
      <w:r>
        <w:rPr>
          <w:w w:val="105"/>
        </w:rPr>
        <w:t xml:space="preserve">č. </w:t>
      </w:r>
      <w:r>
        <w:rPr>
          <w:w w:val="105"/>
          <w:sz w:val="23"/>
        </w:rPr>
        <w:t xml:space="preserve">I a č. 2 této smlouvy a jejich vyhodnocení u Pacientek, kdy sběr těchto dat bude zajišťován prostřednictvím pracovníků Nemocnice, kteří za tímto účelem v souladu se specifikací Studie dle přílohy </w:t>
      </w:r>
      <w:r>
        <w:rPr>
          <w:w w:val="105"/>
          <w:sz w:val="21"/>
        </w:rPr>
        <w:t xml:space="preserve">č. </w:t>
      </w:r>
      <w:r>
        <w:rPr>
          <w:w w:val="105"/>
          <w:sz w:val="23"/>
        </w:rPr>
        <w:t>l tét</w:t>
      </w:r>
      <w:r>
        <w:rPr>
          <w:w w:val="105"/>
          <w:sz w:val="23"/>
        </w:rPr>
        <w:t>o smlouvy Pacientkám předají tablety obdržené dle odst. 2.2 této smlouvy za účelem vyplnění příslušných dotazníků vytvořených ze strany NUDZ a seznámí je se správným postupem pro vyplnění dotazníků dle instrukcí obdržených od NUDZ (tito pracovníci Nemocnic</w:t>
      </w:r>
      <w:r>
        <w:rPr>
          <w:w w:val="105"/>
          <w:sz w:val="23"/>
        </w:rPr>
        <w:t>e dále jen</w:t>
      </w:r>
      <w:r>
        <w:rPr>
          <w:spacing w:val="-34"/>
          <w:w w:val="105"/>
          <w:sz w:val="23"/>
        </w:rPr>
        <w:t xml:space="preserve"> </w:t>
      </w:r>
      <w:r>
        <w:rPr>
          <w:b/>
          <w:w w:val="105"/>
          <w:sz w:val="23"/>
        </w:rPr>
        <w:t>„Pracovníci").</w:t>
      </w:r>
    </w:p>
    <w:p w:rsidR="007A406E" w:rsidRDefault="00C463F2">
      <w:pPr>
        <w:pStyle w:val="Odstavecseseznamem"/>
        <w:numPr>
          <w:ilvl w:val="1"/>
          <w:numId w:val="9"/>
        </w:numPr>
        <w:tabs>
          <w:tab w:val="left" w:pos="586"/>
        </w:tabs>
        <w:spacing w:before="7" w:line="288" w:lineRule="auto"/>
        <w:ind w:left="141" w:right="757" w:firstLine="2"/>
        <w:jc w:val="both"/>
        <w:rPr>
          <w:sz w:val="23"/>
        </w:rPr>
      </w:pPr>
      <w:r>
        <w:rPr>
          <w:w w:val="105"/>
          <w:sz w:val="23"/>
        </w:rPr>
        <w:t xml:space="preserve">NUDZ se zavazuje bezplatně předat Nemocnici celkem 2 tablety, aby je </w:t>
      </w:r>
      <w:r>
        <w:rPr>
          <w:w w:val="105"/>
          <w:sz w:val="23"/>
        </w:rPr>
        <w:lastRenderedPageBreak/>
        <w:t>Nemocnice následně zprostředkovala Pacientkám za účelem použití Pacientkami dle této smlouvy, a dále zajistit distribuci informačních materiálů, jež rovněž posky</w:t>
      </w:r>
      <w:r>
        <w:rPr>
          <w:w w:val="105"/>
          <w:sz w:val="23"/>
        </w:rPr>
        <w:t>tne NUDZ bezplatně v elektronické</w:t>
      </w:r>
      <w:r>
        <w:rPr>
          <w:spacing w:val="-17"/>
          <w:w w:val="105"/>
          <w:sz w:val="23"/>
        </w:rPr>
        <w:t xml:space="preserve"> </w:t>
      </w:r>
      <w:r>
        <w:rPr>
          <w:w w:val="105"/>
          <w:sz w:val="23"/>
        </w:rPr>
        <w:t>podobě.</w:t>
      </w:r>
    </w:p>
    <w:p w:rsidR="007A406E" w:rsidRDefault="00C463F2">
      <w:pPr>
        <w:pStyle w:val="Zkladntext"/>
        <w:spacing w:line="285" w:lineRule="auto"/>
        <w:ind w:left="131" w:right="743" w:firstLine="13"/>
        <w:jc w:val="both"/>
      </w:pPr>
      <w:r>
        <w:rPr>
          <w:w w:val="105"/>
        </w:rPr>
        <w:t xml:space="preserve">2.4. Nemocnice se zavazuje tablety dle odst. 2.2. tohoto článku smlouvy převzít a učinit veškerá opatření nezbytná k tomu, aby při manipulaci s tablety ze strany Nemocnice do doby jejich předání Pacientkám nedošlo </w:t>
      </w:r>
      <w:r>
        <w:rPr>
          <w:w w:val="105"/>
        </w:rPr>
        <w:t>k poškození či ztrátě těchto tabletů, v opačném případě odpovídá NUDZ za škodu tím vzniklou. Nemocnice však neodpovídá za škodu způsobenou Pacientkami, ani za běžné opotřebení tabletů.</w:t>
      </w:r>
    </w:p>
    <w:p w:rsidR="007A406E" w:rsidRDefault="007A406E">
      <w:pPr>
        <w:pStyle w:val="Zkladntext"/>
        <w:spacing w:before="8"/>
        <w:rPr>
          <w:sz w:val="28"/>
        </w:rPr>
      </w:pPr>
    </w:p>
    <w:p w:rsidR="007A406E" w:rsidRDefault="00C463F2">
      <w:pPr>
        <w:pStyle w:val="Odstavecseseznamem"/>
        <w:numPr>
          <w:ilvl w:val="1"/>
          <w:numId w:val="10"/>
        </w:numPr>
        <w:tabs>
          <w:tab w:val="left" w:pos="4817"/>
        </w:tabs>
        <w:ind w:hanging="359"/>
        <w:jc w:val="left"/>
        <w:rPr>
          <w:sz w:val="23"/>
        </w:rPr>
      </w:pPr>
      <w:r>
        <w:rPr>
          <w:w w:val="105"/>
          <w:sz w:val="23"/>
        </w:rPr>
        <w:t>CENA</w:t>
      </w:r>
    </w:p>
    <w:p w:rsidR="007A406E" w:rsidRDefault="00C463F2">
      <w:pPr>
        <w:pStyle w:val="Zkladntext"/>
        <w:spacing w:before="46"/>
        <w:ind w:left="125"/>
        <w:jc w:val="both"/>
      </w:pPr>
      <w:r>
        <w:rPr>
          <w:w w:val="105"/>
        </w:rPr>
        <w:t>3.1. Smluvní strany sjednávají, že plnění této smlouvy je oboustranně bezplatné.</w:t>
      </w:r>
    </w:p>
    <w:p w:rsidR="007A406E" w:rsidRDefault="007A406E">
      <w:pPr>
        <w:pStyle w:val="Zkladntext"/>
        <w:spacing w:before="2"/>
        <w:rPr>
          <w:sz w:val="32"/>
        </w:rPr>
      </w:pPr>
    </w:p>
    <w:p w:rsidR="007A406E" w:rsidRDefault="00C463F2">
      <w:pPr>
        <w:pStyle w:val="Odstavecseseznamem"/>
        <w:numPr>
          <w:ilvl w:val="1"/>
          <w:numId w:val="10"/>
        </w:numPr>
        <w:tabs>
          <w:tab w:val="left" w:pos="4345"/>
        </w:tabs>
        <w:ind w:left="4345" w:hanging="349"/>
        <w:jc w:val="left"/>
        <w:rPr>
          <w:sz w:val="23"/>
        </w:rPr>
      </w:pPr>
      <w:r>
        <w:rPr>
          <w:sz w:val="23"/>
        </w:rPr>
        <w:t>DOBA</w:t>
      </w:r>
      <w:r>
        <w:rPr>
          <w:spacing w:val="-2"/>
          <w:sz w:val="23"/>
        </w:rPr>
        <w:t xml:space="preserve"> </w:t>
      </w:r>
      <w:r>
        <w:rPr>
          <w:sz w:val="23"/>
        </w:rPr>
        <w:t>PLNĚNÍ</w:t>
      </w:r>
    </w:p>
    <w:p w:rsidR="007A406E" w:rsidRDefault="00C463F2">
      <w:pPr>
        <w:pStyle w:val="Odstavecseseznamem"/>
        <w:numPr>
          <w:ilvl w:val="1"/>
          <w:numId w:val="8"/>
        </w:numPr>
        <w:tabs>
          <w:tab w:val="left" w:pos="554"/>
        </w:tabs>
        <w:spacing w:before="60" w:line="276" w:lineRule="auto"/>
        <w:ind w:right="761" w:firstLine="7"/>
        <w:jc w:val="both"/>
        <w:rPr>
          <w:sz w:val="23"/>
        </w:rPr>
      </w:pPr>
      <w:r>
        <w:rPr>
          <w:w w:val="105"/>
          <w:sz w:val="23"/>
        </w:rPr>
        <w:t>Tato smlouva se sjednává na dobu neurčitou s tím, že o délce trvání Screeningu rozhodují obě strany</w:t>
      </w:r>
      <w:r>
        <w:rPr>
          <w:spacing w:val="12"/>
          <w:w w:val="105"/>
          <w:sz w:val="23"/>
        </w:rPr>
        <w:t xml:space="preserve"> </w:t>
      </w:r>
      <w:r>
        <w:rPr>
          <w:w w:val="105"/>
          <w:sz w:val="23"/>
        </w:rPr>
        <w:t>Smlouvy.</w:t>
      </w:r>
    </w:p>
    <w:p w:rsidR="007A406E" w:rsidRDefault="00C463F2">
      <w:pPr>
        <w:pStyle w:val="Odstavecseseznamem"/>
        <w:numPr>
          <w:ilvl w:val="1"/>
          <w:numId w:val="8"/>
        </w:numPr>
        <w:tabs>
          <w:tab w:val="left" w:pos="552"/>
        </w:tabs>
        <w:spacing w:before="185" w:line="285" w:lineRule="auto"/>
        <w:ind w:left="113" w:right="770" w:firstLine="3"/>
        <w:jc w:val="both"/>
        <w:rPr>
          <w:sz w:val="23"/>
        </w:rPr>
      </w:pPr>
      <w:r>
        <w:rPr>
          <w:w w:val="105"/>
          <w:sz w:val="23"/>
        </w:rPr>
        <w:t>V okamžiku, kdy NUDZ nebo Nemocnice rozhodne o ukončení provádění Screeningu dle této smlouvy, zavazuje se Nemocnice zajistit prostřednictvím Pracovníků vrácení tabletů dle odst. 2.2. této smlouvy zpátky NUDZ, a to nejpozději do 7 dnů ode dne, kdy bude dru</w:t>
      </w:r>
      <w:r>
        <w:rPr>
          <w:w w:val="105"/>
          <w:sz w:val="23"/>
        </w:rPr>
        <w:t>há strana o ukončení Screeningu písemně</w:t>
      </w:r>
      <w:r>
        <w:rPr>
          <w:spacing w:val="-30"/>
          <w:w w:val="105"/>
          <w:sz w:val="23"/>
        </w:rPr>
        <w:t xml:space="preserve"> </w:t>
      </w:r>
      <w:r>
        <w:rPr>
          <w:w w:val="105"/>
          <w:sz w:val="23"/>
        </w:rPr>
        <w:t>informována.</w:t>
      </w:r>
    </w:p>
    <w:p w:rsidR="007A406E" w:rsidRDefault="007A406E">
      <w:pPr>
        <w:spacing w:line="285" w:lineRule="auto"/>
        <w:jc w:val="both"/>
        <w:rPr>
          <w:sz w:val="23"/>
        </w:rPr>
        <w:sectPr w:rsidR="007A406E">
          <w:pgSz w:w="11920" w:h="16840"/>
          <w:pgMar w:top="1600" w:right="440" w:bottom="280" w:left="940" w:header="708" w:footer="708" w:gutter="0"/>
          <w:cols w:space="708"/>
        </w:sectPr>
      </w:pPr>
    </w:p>
    <w:p w:rsidR="007A406E" w:rsidRDefault="00C463F2">
      <w:pPr>
        <w:pStyle w:val="Odstavecseseznamem"/>
        <w:numPr>
          <w:ilvl w:val="1"/>
          <w:numId w:val="10"/>
        </w:numPr>
        <w:tabs>
          <w:tab w:val="left" w:pos="4326"/>
        </w:tabs>
        <w:spacing w:before="76"/>
        <w:ind w:left="4325" w:hanging="260"/>
        <w:jc w:val="left"/>
        <w:rPr>
          <w:rFonts w:ascii="Arial" w:hAnsi="Arial"/>
        </w:rPr>
      </w:pPr>
      <w:r>
        <w:rPr>
          <w:w w:val="105"/>
          <w:sz w:val="23"/>
        </w:rPr>
        <w:lastRenderedPageBreak/>
        <w:t>UKONČENÍ</w:t>
      </w:r>
      <w:r>
        <w:rPr>
          <w:spacing w:val="25"/>
          <w:w w:val="105"/>
          <w:sz w:val="23"/>
        </w:rPr>
        <w:t xml:space="preserve"> </w:t>
      </w:r>
      <w:r>
        <w:rPr>
          <w:w w:val="105"/>
          <w:sz w:val="23"/>
        </w:rPr>
        <w:t>SMLOUVY</w:t>
      </w:r>
    </w:p>
    <w:p w:rsidR="007A406E" w:rsidRDefault="00C463F2">
      <w:pPr>
        <w:pStyle w:val="Odstavecseseznamem"/>
        <w:numPr>
          <w:ilvl w:val="1"/>
          <w:numId w:val="7"/>
        </w:numPr>
        <w:tabs>
          <w:tab w:val="left" w:pos="655"/>
        </w:tabs>
        <w:spacing w:before="46"/>
        <w:rPr>
          <w:sz w:val="23"/>
        </w:rPr>
      </w:pPr>
      <w:r>
        <w:rPr>
          <w:w w:val="105"/>
          <w:sz w:val="23"/>
        </w:rPr>
        <w:t>Tato smlouva může být ukončena vzájemnou písemnou dohodou obou smluvních</w:t>
      </w:r>
      <w:r>
        <w:rPr>
          <w:spacing w:val="9"/>
          <w:w w:val="105"/>
          <w:sz w:val="23"/>
        </w:rPr>
        <w:t xml:space="preserve"> </w:t>
      </w:r>
      <w:r>
        <w:rPr>
          <w:w w:val="105"/>
          <w:sz w:val="23"/>
        </w:rPr>
        <w:t>stran.</w:t>
      </w:r>
    </w:p>
    <w:p w:rsidR="007A406E" w:rsidRDefault="00C463F2">
      <w:pPr>
        <w:pStyle w:val="Odstavecseseznamem"/>
        <w:numPr>
          <w:ilvl w:val="1"/>
          <w:numId w:val="7"/>
        </w:numPr>
        <w:tabs>
          <w:tab w:val="left" w:pos="709"/>
        </w:tabs>
        <w:spacing w:before="60" w:line="276" w:lineRule="auto"/>
        <w:ind w:left="232" w:right="622" w:firstLine="7"/>
        <w:rPr>
          <w:sz w:val="23"/>
        </w:rPr>
      </w:pPr>
      <w:r>
        <w:rPr>
          <w:w w:val="105"/>
          <w:sz w:val="23"/>
        </w:rPr>
        <w:t>NUDZ i Nemocnice jsou oprávněni tuto smlouvu jednostranně vypovědět kdykoliv v době jejího t</w:t>
      </w:r>
      <w:r>
        <w:rPr>
          <w:w w:val="105"/>
          <w:sz w:val="23"/>
        </w:rPr>
        <w:t>rvání i bez uvedené důvodu. a to s okamžitou</w:t>
      </w:r>
      <w:r>
        <w:rPr>
          <w:spacing w:val="59"/>
          <w:w w:val="105"/>
          <w:sz w:val="23"/>
        </w:rPr>
        <w:t xml:space="preserve"> </w:t>
      </w:r>
      <w:r>
        <w:rPr>
          <w:w w:val="105"/>
          <w:sz w:val="23"/>
        </w:rPr>
        <w:t>účinností.</w:t>
      </w:r>
    </w:p>
    <w:p w:rsidR="007A406E" w:rsidRDefault="00C463F2">
      <w:pPr>
        <w:pStyle w:val="Odstavecseseznamem"/>
        <w:numPr>
          <w:ilvl w:val="1"/>
          <w:numId w:val="7"/>
        </w:numPr>
        <w:tabs>
          <w:tab w:val="left" w:pos="740"/>
        </w:tabs>
        <w:spacing w:before="26" w:line="261" w:lineRule="auto"/>
        <w:ind w:left="234" w:right="652" w:hanging="2"/>
        <w:rPr>
          <w:sz w:val="23"/>
        </w:rPr>
      </w:pPr>
      <w:r>
        <w:rPr>
          <w:w w:val="105"/>
          <w:sz w:val="23"/>
        </w:rPr>
        <w:t>Výpověď dle tohoto článku smlouvy je účinná okamžikem doručení jejího písemného vyhotovení druhé smluvní</w:t>
      </w:r>
      <w:r>
        <w:rPr>
          <w:spacing w:val="18"/>
          <w:w w:val="105"/>
          <w:sz w:val="23"/>
        </w:rPr>
        <w:t xml:space="preserve"> </w:t>
      </w:r>
      <w:r>
        <w:rPr>
          <w:w w:val="105"/>
          <w:sz w:val="23"/>
        </w:rPr>
        <w:t>straně.</w:t>
      </w:r>
    </w:p>
    <w:p w:rsidR="007A406E" w:rsidRDefault="00C463F2">
      <w:pPr>
        <w:pStyle w:val="Odstavecseseznamem"/>
        <w:numPr>
          <w:ilvl w:val="1"/>
          <w:numId w:val="10"/>
        </w:numPr>
        <w:tabs>
          <w:tab w:val="left" w:pos="3264"/>
        </w:tabs>
        <w:spacing w:before="66"/>
        <w:ind w:left="3263" w:right="427" w:hanging="3264"/>
        <w:jc w:val="left"/>
        <w:rPr>
          <w:sz w:val="21"/>
        </w:rPr>
      </w:pPr>
      <w:r>
        <w:rPr>
          <w:w w:val="105"/>
          <w:sz w:val="23"/>
        </w:rPr>
        <w:t>PRÁVA DUŠEVNÍHO</w:t>
      </w:r>
      <w:r>
        <w:rPr>
          <w:spacing w:val="16"/>
          <w:w w:val="105"/>
          <w:sz w:val="23"/>
        </w:rPr>
        <w:t xml:space="preserve"> </w:t>
      </w:r>
      <w:r>
        <w:rPr>
          <w:w w:val="105"/>
          <w:sz w:val="23"/>
        </w:rPr>
        <w:t>VLASTNICTVÍ</w:t>
      </w:r>
    </w:p>
    <w:p w:rsidR="007A406E" w:rsidRDefault="00C463F2">
      <w:pPr>
        <w:pStyle w:val="Odstavecseseznamem"/>
        <w:numPr>
          <w:ilvl w:val="1"/>
          <w:numId w:val="6"/>
        </w:numPr>
        <w:tabs>
          <w:tab w:val="left" w:pos="651"/>
        </w:tabs>
        <w:spacing w:before="45" w:line="285" w:lineRule="auto"/>
        <w:ind w:right="648" w:firstLine="9"/>
        <w:jc w:val="both"/>
        <w:rPr>
          <w:sz w:val="23"/>
        </w:rPr>
      </w:pPr>
      <w:r>
        <w:rPr>
          <w:w w:val="105"/>
          <w:sz w:val="23"/>
        </w:rPr>
        <w:t>Dojde-li na</w:t>
      </w:r>
      <w:r>
        <w:rPr>
          <w:spacing w:val="-9"/>
          <w:w w:val="105"/>
          <w:sz w:val="23"/>
        </w:rPr>
        <w:t xml:space="preserve"> </w:t>
      </w:r>
      <w:r>
        <w:rPr>
          <w:w w:val="105"/>
          <w:sz w:val="23"/>
        </w:rPr>
        <w:t>základě</w:t>
      </w:r>
      <w:r>
        <w:rPr>
          <w:spacing w:val="-10"/>
          <w:w w:val="105"/>
          <w:sz w:val="23"/>
        </w:rPr>
        <w:t xml:space="preserve"> </w:t>
      </w:r>
      <w:r>
        <w:rPr>
          <w:w w:val="105"/>
          <w:sz w:val="23"/>
        </w:rPr>
        <w:t>spolupráce smluvních</w:t>
      </w:r>
      <w:r>
        <w:rPr>
          <w:spacing w:val="2"/>
          <w:w w:val="105"/>
          <w:sz w:val="23"/>
        </w:rPr>
        <w:t xml:space="preserve"> </w:t>
      </w:r>
      <w:r>
        <w:rPr>
          <w:w w:val="105"/>
          <w:sz w:val="23"/>
        </w:rPr>
        <w:t>stran</w:t>
      </w:r>
      <w:r>
        <w:rPr>
          <w:spacing w:val="-2"/>
          <w:w w:val="105"/>
          <w:sz w:val="23"/>
        </w:rPr>
        <w:t xml:space="preserve"> </w:t>
      </w:r>
      <w:r>
        <w:rPr>
          <w:w w:val="105"/>
          <w:sz w:val="23"/>
        </w:rPr>
        <w:t>dle</w:t>
      </w:r>
      <w:r>
        <w:rPr>
          <w:spacing w:val="-13"/>
          <w:w w:val="105"/>
          <w:sz w:val="23"/>
        </w:rPr>
        <w:t xml:space="preserve"> </w:t>
      </w:r>
      <w:r>
        <w:rPr>
          <w:w w:val="105"/>
          <w:sz w:val="23"/>
        </w:rPr>
        <w:t>této</w:t>
      </w:r>
      <w:r>
        <w:rPr>
          <w:spacing w:val="-12"/>
          <w:w w:val="105"/>
          <w:sz w:val="23"/>
        </w:rPr>
        <w:t xml:space="preserve"> </w:t>
      </w:r>
      <w:r>
        <w:rPr>
          <w:w w:val="105"/>
          <w:sz w:val="23"/>
        </w:rPr>
        <w:t>smlouvy</w:t>
      </w:r>
      <w:r>
        <w:rPr>
          <w:spacing w:val="3"/>
          <w:w w:val="105"/>
          <w:sz w:val="23"/>
        </w:rPr>
        <w:t xml:space="preserve"> </w:t>
      </w:r>
      <w:r>
        <w:rPr>
          <w:w w:val="105"/>
          <w:sz w:val="23"/>
        </w:rPr>
        <w:t>ke</w:t>
      </w:r>
      <w:r>
        <w:rPr>
          <w:spacing w:val="-13"/>
          <w:w w:val="105"/>
          <w:sz w:val="23"/>
        </w:rPr>
        <w:t xml:space="preserve"> </w:t>
      </w:r>
      <w:r>
        <w:rPr>
          <w:w w:val="105"/>
          <w:sz w:val="23"/>
        </w:rPr>
        <w:t>vzniku</w:t>
      </w:r>
      <w:r>
        <w:rPr>
          <w:spacing w:val="-8"/>
          <w:w w:val="105"/>
          <w:sz w:val="23"/>
        </w:rPr>
        <w:t xml:space="preserve"> </w:t>
      </w:r>
      <w:r>
        <w:rPr>
          <w:w w:val="105"/>
          <w:sz w:val="23"/>
        </w:rPr>
        <w:t>jakýchkoliv</w:t>
      </w:r>
      <w:r>
        <w:rPr>
          <w:spacing w:val="9"/>
          <w:w w:val="105"/>
          <w:sz w:val="23"/>
        </w:rPr>
        <w:t xml:space="preserve"> </w:t>
      </w:r>
      <w:r>
        <w:rPr>
          <w:w w:val="105"/>
          <w:sz w:val="23"/>
        </w:rPr>
        <w:t>nových předmětů chráněných právy duševního vlastnictví, je jejich výlučným vlastníkem NUDZ, neboť Nemocnice se na Screeningu jinak než zprostředkováním kontaktu mezi Pacientkami a NUDZ způsobem popsaným v této smlouvě</w:t>
      </w:r>
      <w:r>
        <w:rPr>
          <w:spacing w:val="-2"/>
          <w:w w:val="105"/>
          <w:sz w:val="23"/>
        </w:rPr>
        <w:t xml:space="preserve"> </w:t>
      </w:r>
      <w:r>
        <w:rPr>
          <w:w w:val="105"/>
          <w:sz w:val="23"/>
        </w:rPr>
        <w:t>nepodílí</w:t>
      </w:r>
      <w:r>
        <w:rPr>
          <w:w w:val="105"/>
          <w:sz w:val="23"/>
        </w:rPr>
        <w:t>.</w:t>
      </w:r>
    </w:p>
    <w:p w:rsidR="007A406E" w:rsidRDefault="00C463F2">
      <w:pPr>
        <w:pStyle w:val="Odstavecseseznamem"/>
        <w:numPr>
          <w:ilvl w:val="1"/>
          <w:numId w:val="6"/>
        </w:numPr>
        <w:tabs>
          <w:tab w:val="left" w:pos="644"/>
        </w:tabs>
        <w:spacing w:before="25" w:line="254" w:lineRule="auto"/>
        <w:ind w:left="212" w:right="669" w:hanging="8"/>
        <w:jc w:val="both"/>
        <w:rPr>
          <w:sz w:val="23"/>
        </w:rPr>
      </w:pPr>
      <w:r>
        <w:rPr>
          <w:w w:val="105"/>
          <w:sz w:val="23"/>
        </w:rPr>
        <w:t>Nemocnice souhlasí s tím, aby NUDZ využil data sesbíraná v rámci Screeningu k publikačním výstupům.</w:t>
      </w:r>
    </w:p>
    <w:p w:rsidR="007A406E" w:rsidRDefault="00C463F2">
      <w:pPr>
        <w:pStyle w:val="Odstavecseseznamem"/>
        <w:numPr>
          <w:ilvl w:val="1"/>
          <w:numId w:val="6"/>
        </w:numPr>
        <w:tabs>
          <w:tab w:val="left" w:pos="687"/>
        </w:tabs>
        <w:spacing w:before="74" w:line="285" w:lineRule="auto"/>
        <w:ind w:left="200" w:right="657" w:firstLine="3"/>
        <w:jc w:val="both"/>
        <w:rPr>
          <w:sz w:val="23"/>
        </w:rPr>
      </w:pPr>
      <w:r>
        <w:rPr>
          <w:w w:val="105"/>
          <w:sz w:val="23"/>
        </w:rPr>
        <w:t>NUDZ a Nemocnice souhlasí s tím, aby Nemocnice byla v případě publikačních výstupů uvedena jako subjekt, který svojí činností umožnil realizaci studie, vý</w:t>
      </w:r>
      <w:r>
        <w:rPr>
          <w:w w:val="105"/>
          <w:sz w:val="23"/>
        </w:rPr>
        <w:t>hradně způsobem a v rozsahu předem písemně odsouhlaseným Nemocnicí. V případě z jmu Pracovníků na spolupráci na publikačních výstupech, je toto možné po předchozí písemné dohodě s</w:t>
      </w:r>
      <w:r>
        <w:rPr>
          <w:spacing w:val="-23"/>
          <w:w w:val="105"/>
          <w:sz w:val="23"/>
        </w:rPr>
        <w:t xml:space="preserve"> </w:t>
      </w:r>
      <w:r>
        <w:rPr>
          <w:w w:val="105"/>
          <w:sz w:val="23"/>
        </w:rPr>
        <w:t>NUDZ.</w:t>
      </w:r>
    </w:p>
    <w:p w:rsidR="007A406E" w:rsidRDefault="007A406E">
      <w:pPr>
        <w:pStyle w:val="Zkladntext"/>
        <w:spacing w:before="1"/>
        <w:rPr>
          <w:sz w:val="29"/>
        </w:rPr>
      </w:pPr>
    </w:p>
    <w:p w:rsidR="007A406E" w:rsidRDefault="00C463F2">
      <w:pPr>
        <w:pStyle w:val="Odstavecseseznamem"/>
        <w:numPr>
          <w:ilvl w:val="1"/>
          <w:numId w:val="6"/>
        </w:numPr>
        <w:tabs>
          <w:tab w:val="left" w:pos="608"/>
        </w:tabs>
        <w:ind w:left="607" w:hanging="418"/>
        <w:rPr>
          <w:sz w:val="23"/>
        </w:rPr>
      </w:pPr>
      <w:r>
        <w:rPr>
          <w:w w:val="105"/>
          <w:sz w:val="23"/>
        </w:rPr>
        <w:t>Nemocnice i NUDZ jsou oprávněny veřejně prezentovat svou spolupráci n</w:t>
      </w:r>
      <w:r>
        <w:rPr>
          <w:w w:val="105"/>
          <w:sz w:val="23"/>
        </w:rPr>
        <w:t>a</w:t>
      </w:r>
      <w:r>
        <w:rPr>
          <w:spacing w:val="23"/>
          <w:w w:val="105"/>
          <w:sz w:val="23"/>
        </w:rPr>
        <w:t xml:space="preserve"> </w:t>
      </w:r>
      <w:r>
        <w:rPr>
          <w:w w:val="105"/>
          <w:sz w:val="23"/>
        </w:rPr>
        <w:t>Screeningu.</w:t>
      </w:r>
    </w:p>
    <w:p w:rsidR="007A406E" w:rsidRDefault="007A406E">
      <w:pPr>
        <w:pStyle w:val="Zkladntext"/>
        <w:spacing w:before="10"/>
        <w:rPr>
          <w:sz w:val="32"/>
        </w:rPr>
      </w:pPr>
    </w:p>
    <w:p w:rsidR="007A406E" w:rsidRDefault="00C463F2">
      <w:pPr>
        <w:pStyle w:val="Zkladntext"/>
        <w:ind w:left="2256" w:right="2764"/>
        <w:jc w:val="center"/>
      </w:pPr>
      <w:r>
        <w:t>VIJ. KOMUNIKACE MEZI STRANAMI</w:t>
      </w:r>
    </w:p>
    <w:p w:rsidR="007A406E" w:rsidRDefault="00C463F2">
      <w:pPr>
        <w:pStyle w:val="Odstavecseseznamem"/>
        <w:numPr>
          <w:ilvl w:val="1"/>
          <w:numId w:val="5"/>
        </w:numPr>
        <w:tabs>
          <w:tab w:val="left" w:pos="593"/>
        </w:tabs>
        <w:spacing w:before="53" w:line="285" w:lineRule="auto"/>
        <w:ind w:right="691" w:firstLine="31"/>
        <w:jc w:val="both"/>
        <w:rPr>
          <w:sz w:val="23"/>
        </w:rPr>
      </w:pPr>
      <w:r>
        <w:rPr>
          <w:w w:val="105"/>
          <w:sz w:val="23"/>
        </w:rPr>
        <w:t xml:space="preserve">Nevyplývá-li z písemného ujednání smluvních stran výslovně něco jiného, </w:t>
      </w:r>
      <w:r>
        <w:rPr>
          <w:w w:val="105"/>
          <w:sz w:val="23"/>
        </w:rPr>
        <w:lastRenderedPageBreak/>
        <w:t xml:space="preserve">budou jakákoli právní jednání, oznámení, včetně případných výzev, či jiná sdělení předpokládaná podle této smlouvy nebo v souvislosti s ní </w:t>
      </w:r>
      <w:r>
        <w:rPr>
          <w:w w:val="105"/>
          <w:sz w:val="23"/>
        </w:rPr>
        <w:t>učiněna písemně. Přípustnou formou jejich doručování je osobní doručení, doručení kurýrem, doporučený dopis doručený prostřednictvím držitele poštovní licence a zpráva poslaná elektronickou poštou řádně podepsaná způsobem stanoveným příslušnými právními př</w:t>
      </w:r>
      <w:r>
        <w:rPr>
          <w:w w:val="105"/>
          <w:sz w:val="23"/>
        </w:rPr>
        <w:t>edpisy.  Za  adresy</w:t>
      </w:r>
      <w:r>
        <w:rPr>
          <w:spacing w:val="60"/>
          <w:w w:val="105"/>
          <w:sz w:val="23"/>
        </w:rPr>
        <w:t xml:space="preserve"> </w:t>
      </w:r>
      <w:r>
        <w:rPr>
          <w:w w:val="105"/>
          <w:sz w:val="23"/>
        </w:rPr>
        <w:t>pro  doručování  písemností  se  považují  adresy  smluvních  stran  uvedené  v záhlaví této smlouvy. Změnu adresy pro doručování písemností je třeba vždy oznámit druhé straně bez zbytečného odkladu, a to</w:t>
      </w:r>
      <w:r>
        <w:rPr>
          <w:spacing w:val="27"/>
          <w:w w:val="105"/>
          <w:sz w:val="23"/>
        </w:rPr>
        <w:t xml:space="preserve"> </w:t>
      </w:r>
      <w:r>
        <w:rPr>
          <w:w w:val="105"/>
          <w:sz w:val="23"/>
        </w:rPr>
        <w:t>písemně.</w:t>
      </w:r>
    </w:p>
    <w:p w:rsidR="007A406E" w:rsidRDefault="00C463F2">
      <w:pPr>
        <w:pStyle w:val="Odstavecseseznamem"/>
        <w:numPr>
          <w:ilvl w:val="1"/>
          <w:numId w:val="5"/>
        </w:numPr>
        <w:tabs>
          <w:tab w:val="left" w:pos="527"/>
        </w:tabs>
        <w:spacing w:before="25" w:line="271" w:lineRule="auto"/>
        <w:ind w:left="147" w:right="706" w:firstLine="8"/>
        <w:jc w:val="both"/>
        <w:rPr>
          <w:sz w:val="21"/>
        </w:rPr>
      </w:pPr>
      <w:r>
        <w:rPr>
          <w:w w:val="105"/>
          <w:sz w:val="21"/>
        </w:rPr>
        <w:t>Smluvní strany tímto dále sjednávají, že v případech, kdy bude komunikace mezi ními probíhat e­ mailovou formou, budou jednotlivé e-mailové zprávy zasílány na e-mailové adresy smluvních stran uvedené v tomto článku</w:t>
      </w:r>
      <w:r>
        <w:rPr>
          <w:spacing w:val="21"/>
          <w:w w:val="105"/>
          <w:sz w:val="21"/>
        </w:rPr>
        <w:t xml:space="preserve"> </w:t>
      </w:r>
      <w:r>
        <w:rPr>
          <w:w w:val="105"/>
          <w:sz w:val="21"/>
        </w:rPr>
        <w:t>smlouvy.</w:t>
      </w:r>
    </w:p>
    <w:p w:rsidR="007A406E" w:rsidRDefault="007A406E">
      <w:pPr>
        <w:pStyle w:val="Zkladntext"/>
        <w:spacing w:before="9"/>
        <w:rPr>
          <w:sz w:val="29"/>
        </w:rPr>
      </w:pPr>
    </w:p>
    <w:p w:rsidR="007A406E" w:rsidRDefault="00C463F2">
      <w:pPr>
        <w:pStyle w:val="Odstavecseseznamem"/>
        <w:numPr>
          <w:ilvl w:val="1"/>
          <w:numId w:val="5"/>
        </w:numPr>
        <w:tabs>
          <w:tab w:val="left" w:pos="476"/>
        </w:tabs>
        <w:spacing w:line="285" w:lineRule="auto"/>
        <w:ind w:left="120" w:right="725" w:firstLine="20"/>
        <w:jc w:val="both"/>
        <w:rPr>
          <w:sz w:val="21"/>
        </w:rPr>
      </w:pPr>
      <w:r>
        <w:rPr>
          <w:w w:val="105"/>
          <w:sz w:val="21"/>
        </w:rPr>
        <w:t>Smluvní strany tímto dále sjedn</w:t>
      </w:r>
      <w:r>
        <w:rPr>
          <w:w w:val="105"/>
          <w:sz w:val="21"/>
        </w:rPr>
        <w:t>ávají, že e-mailová zpráva bude považována za doručenou, pakliže druhá smluvní strana její přijetí potvrdí, popř. na tuto zprávu odpoví stejnou formou do tří (3) dnů po jejím odeslání. V opačném případě je e-mailová zpráva považována za nedoručenou a odesí</w:t>
      </w:r>
      <w:r>
        <w:rPr>
          <w:w w:val="105"/>
          <w:sz w:val="21"/>
        </w:rPr>
        <w:t>lající smluvní strana je povinna bez zbytečného odkladu zaslat druhé smluvní straně na vlastní náklady odpovídající zprávu doporučenou poštou prostřednictvím držitele poštovní</w:t>
      </w:r>
      <w:r>
        <w:rPr>
          <w:spacing w:val="-13"/>
          <w:w w:val="105"/>
          <w:sz w:val="21"/>
        </w:rPr>
        <w:t xml:space="preserve"> </w:t>
      </w:r>
      <w:r>
        <w:rPr>
          <w:w w:val="105"/>
          <w:sz w:val="21"/>
        </w:rPr>
        <w:t>licence.</w:t>
      </w:r>
    </w:p>
    <w:p w:rsidR="007A406E" w:rsidRDefault="007A406E">
      <w:pPr>
        <w:spacing w:line="285" w:lineRule="auto"/>
        <w:jc w:val="both"/>
        <w:rPr>
          <w:sz w:val="21"/>
        </w:rPr>
        <w:sectPr w:rsidR="007A406E">
          <w:pgSz w:w="11920" w:h="16840"/>
          <w:pgMar w:top="1180" w:right="440" w:bottom="280" w:left="940" w:header="708" w:footer="708" w:gutter="0"/>
          <w:cols w:space="708"/>
        </w:sectPr>
      </w:pPr>
    </w:p>
    <w:p w:rsidR="007A406E" w:rsidRDefault="00C463F2">
      <w:pPr>
        <w:pStyle w:val="Odstavecseseznamem"/>
        <w:numPr>
          <w:ilvl w:val="1"/>
          <w:numId w:val="5"/>
        </w:numPr>
        <w:tabs>
          <w:tab w:val="left" w:pos="515"/>
        </w:tabs>
        <w:spacing w:before="73"/>
        <w:ind w:left="514" w:hanging="338"/>
        <w:rPr>
          <w:sz w:val="21"/>
        </w:rPr>
      </w:pPr>
      <w:r>
        <w:rPr>
          <w:w w:val="105"/>
          <w:sz w:val="21"/>
        </w:rPr>
        <w:lastRenderedPageBreak/>
        <w:t>Pro účely elektronické komunikace označují smluvní strany</w:t>
      </w:r>
      <w:r>
        <w:rPr>
          <w:w w:val="105"/>
          <w:sz w:val="21"/>
        </w:rPr>
        <w:t xml:space="preserve"> tyto kontaktní e-mailové</w:t>
      </w:r>
      <w:r>
        <w:rPr>
          <w:spacing w:val="-1"/>
          <w:w w:val="105"/>
          <w:sz w:val="21"/>
        </w:rPr>
        <w:t xml:space="preserve"> </w:t>
      </w:r>
      <w:r>
        <w:rPr>
          <w:w w:val="105"/>
          <w:sz w:val="21"/>
        </w:rPr>
        <w:t>adresy:</w:t>
      </w:r>
    </w:p>
    <w:p w:rsidR="007A406E" w:rsidRDefault="007A406E">
      <w:pPr>
        <w:pStyle w:val="Zkladntext"/>
        <w:spacing w:before="3"/>
        <w:rPr>
          <w:sz w:val="21"/>
        </w:rPr>
      </w:pPr>
    </w:p>
    <w:p w:rsidR="007A406E" w:rsidRDefault="007A406E">
      <w:pPr>
        <w:rPr>
          <w:sz w:val="21"/>
        </w:rPr>
        <w:sectPr w:rsidR="007A406E">
          <w:pgSz w:w="11920" w:h="16840"/>
          <w:pgMar w:top="1180" w:right="440" w:bottom="280" w:left="940" w:header="708" w:footer="708" w:gutter="0"/>
          <w:cols w:space="708"/>
        </w:sectPr>
      </w:pPr>
    </w:p>
    <w:p w:rsidR="007A406E" w:rsidRDefault="00C463F2">
      <w:pPr>
        <w:spacing w:before="91"/>
        <w:ind w:left="888"/>
        <w:rPr>
          <w:sz w:val="21"/>
        </w:rPr>
      </w:pPr>
      <w:r>
        <w:rPr>
          <w:w w:val="105"/>
          <w:sz w:val="21"/>
        </w:rPr>
        <w:t>NUDZ:</w:t>
      </w:r>
    </w:p>
    <w:p w:rsidR="007A406E" w:rsidRDefault="00C463F2">
      <w:pPr>
        <w:spacing w:before="49"/>
        <w:ind w:left="882"/>
        <w:rPr>
          <w:b/>
          <w:sz w:val="20"/>
        </w:rPr>
      </w:pPr>
      <w:r>
        <w:rPr>
          <w:b/>
          <w:w w:val="105"/>
          <w:sz w:val="20"/>
        </w:rPr>
        <w:t>Nemocnice:</w:t>
      </w:r>
    </w:p>
    <w:p w:rsidR="0050108F" w:rsidRPr="0050108F" w:rsidRDefault="00C463F2">
      <w:pPr>
        <w:spacing w:before="91" w:line="285" w:lineRule="auto"/>
        <w:ind w:left="327" w:right="3554" w:hanging="6"/>
        <w:rPr>
          <w:b/>
          <w:highlight w:val="yellow"/>
        </w:rPr>
      </w:pPr>
      <w:r>
        <w:br w:type="column"/>
      </w:r>
      <w:r w:rsidR="0050108F" w:rsidRPr="0050108F">
        <w:rPr>
          <w:b/>
          <w:highlight w:val="yellow"/>
        </w:rPr>
        <w:lastRenderedPageBreak/>
        <w:t>Smazáno</w:t>
      </w:r>
    </w:p>
    <w:p w:rsidR="007A406E" w:rsidRPr="0050108F" w:rsidRDefault="0050108F" w:rsidP="0050108F">
      <w:pPr>
        <w:spacing w:before="91" w:line="285" w:lineRule="auto"/>
        <w:ind w:left="327" w:right="3554" w:hanging="6"/>
        <w:rPr>
          <w:b/>
        </w:rPr>
      </w:pPr>
      <w:r w:rsidRPr="0050108F">
        <w:rPr>
          <w:b/>
          <w:highlight w:val="yellow"/>
        </w:rPr>
        <w:t>smazáno</w:t>
      </w:r>
    </w:p>
    <w:p w:rsidR="0050108F" w:rsidRDefault="0050108F" w:rsidP="0050108F">
      <w:pPr>
        <w:spacing w:before="91" w:line="285" w:lineRule="auto"/>
        <w:ind w:left="327" w:right="3554" w:hanging="6"/>
        <w:rPr>
          <w:sz w:val="21"/>
        </w:rPr>
        <w:sectPr w:rsidR="0050108F">
          <w:type w:val="continuous"/>
          <w:pgSz w:w="11920" w:h="16840"/>
          <w:pgMar w:top="440" w:right="440" w:bottom="280" w:left="940" w:header="708" w:footer="708" w:gutter="0"/>
          <w:cols w:num="2" w:space="708" w:equalWidth="0">
            <w:col w:w="1945" w:space="40"/>
            <w:col w:w="8555"/>
          </w:cols>
        </w:sectPr>
      </w:pPr>
    </w:p>
    <w:p w:rsidR="007A406E" w:rsidRDefault="007A406E">
      <w:pPr>
        <w:pStyle w:val="Zkladntext"/>
        <w:spacing w:before="2"/>
        <w:rPr>
          <w:sz w:val="20"/>
        </w:rPr>
      </w:pPr>
    </w:p>
    <w:p w:rsidR="007A406E" w:rsidRDefault="00C463F2">
      <w:pPr>
        <w:pStyle w:val="Odstavecseseznamem"/>
        <w:numPr>
          <w:ilvl w:val="0"/>
          <w:numId w:val="4"/>
        </w:numPr>
        <w:tabs>
          <w:tab w:val="left" w:pos="3194"/>
        </w:tabs>
        <w:spacing w:before="91"/>
        <w:jc w:val="left"/>
        <w:rPr>
          <w:sz w:val="23"/>
        </w:rPr>
      </w:pPr>
      <w:r>
        <w:rPr>
          <w:sz w:val="23"/>
        </w:rPr>
        <w:t>OCHRANA DŮVĚRNÝCH</w:t>
      </w:r>
      <w:r>
        <w:rPr>
          <w:spacing w:val="-6"/>
          <w:sz w:val="23"/>
        </w:rPr>
        <w:t xml:space="preserve"> </w:t>
      </w:r>
      <w:r>
        <w:rPr>
          <w:sz w:val="23"/>
        </w:rPr>
        <w:t>INFORMACÍ</w:t>
      </w:r>
    </w:p>
    <w:p w:rsidR="007A406E" w:rsidRDefault="00C463F2">
      <w:pPr>
        <w:pStyle w:val="Odstavecseseznamem"/>
        <w:numPr>
          <w:ilvl w:val="1"/>
          <w:numId w:val="3"/>
        </w:numPr>
        <w:tabs>
          <w:tab w:val="left" w:pos="576"/>
        </w:tabs>
        <w:spacing w:before="50" w:line="288" w:lineRule="auto"/>
        <w:ind w:right="733" w:firstLine="16"/>
        <w:jc w:val="both"/>
        <w:rPr>
          <w:sz w:val="21"/>
        </w:rPr>
      </w:pPr>
      <w:r>
        <w:rPr>
          <w:sz w:val="21"/>
        </w:rPr>
        <w:t xml:space="preserve">Obsah této smlouvy a veškeré informace a skutečnosti,  které  se  smluvní  strany  dozví  v  souvislosti  s touto smlouvou, její přípravou, uzavřením a plněním, jsou považovány za důvěrné (dále jen </w:t>
      </w:r>
      <w:r>
        <w:rPr>
          <w:b/>
          <w:sz w:val="21"/>
        </w:rPr>
        <w:t xml:space="preserve">„Důvěrné informace").    </w:t>
      </w:r>
      <w:r>
        <w:rPr>
          <w:sz w:val="21"/>
        </w:rPr>
        <w:t>Smluv</w:t>
      </w:r>
      <w:r>
        <w:rPr>
          <w:sz w:val="21"/>
        </w:rPr>
        <w:t xml:space="preserve">ní   strany   jsou    povinny   zachovávat    mlčenlivost   vůči   třetím   osobám    ve   vztahu k veškerým Důvěrným informacím a chránit je rovněž ve  smyslu  ustanovení  </w:t>
      </w:r>
      <w:r>
        <w:rPr>
          <w:rFonts w:ascii="Arial" w:hAnsi="Arial"/>
          <w:i/>
          <w:sz w:val="21"/>
        </w:rPr>
        <w:t xml:space="preserve">§  </w:t>
      </w:r>
      <w:r>
        <w:rPr>
          <w:sz w:val="21"/>
        </w:rPr>
        <w:t>1730  odst.  2  zákona  č. 89/2012 Sb., občanský zákoník. Smluvní strany se zava</w:t>
      </w:r>
      <w:r>
        <w:rPr>
          <w:sz w:val="21"/>
        </w:rPr>
        <w:t>zují  zachovávat  mlčenlivost  dle  této  smlouvy  jak během doby trvání této smlouvy, tak i po jejím skončení. Každá smluvní strana  je  povinna  zajistit,  aby povinnost mlčenlivosti dle tohoto článku smlouvy byla  dodržena  i  ze  strany  jejích  zaměst</w:t>
      </w:r>
      <w:r>
        <w:rPr>
          <w:sz w:val="21"/>
        </w:rPr>
        <w:t>nanců  či  jiných osob pověřených smluvní stranou plněním jakýchkoliv povinností dle této</w:t>
      </w:r>
      <w:r>
        <w:rPr>
          <w:spacing w:val="-33"/>
          <w:sz w:val="21"/>
        </w:rPr>
        <w:t xml:space="preserve"> </w:t>
      </w:r>
      <w:r>
        <w:rPr>
          <w:sz w:val="21"/>
        </w:rPr>
        <w:t>smlouvy.</w:t>
      </w:r>
    </w:p>
    <w:p w:rsidR="007A406E" w:rsidRDefault="007A406E">
      <w:pPr>
        <w:pStyle w:val="Zkladntext"/>
        <w:spacing w:before="11"/>
        <w:rPr>
          <w:sz w:val="25"/>
        </w:rPr>
      </w:pPr>
    </w:p>
    <w:p w:rsidR="007A406E" w:rsidRDefault="00C463F2">
      <w:pPr>
        <w:pStyle w:val="Odstavecseseznamem"/>
        <w:numPr>
          <w:ilvl w:val="1"/>
          <w:numId w:val="3"/>
        </w:numPr>
        <w:tabs>
          <w:tab w:val="left" w:pos="550"/>
        </w:tabs>
        <w:spacing w:line="290" w:lineRule="auto"/>
        <w:ind w:left="132" w:right="749" w:firstLine="19"/>
        <w:jc w:val="both"/>
        <w:rPr>
          <w:sz w:val="21"/>
        </w:rPr>
      </w:pPr>
      <w:r>
        <w:rPr>
          <w:w w:val="105"/>
          <w:sz w:val="21"/>
        </w:rPr>
        <w:t>Nemocnice nesmí užít Důvěrné informace získané od NUDZ pro jiné účely než pro účely plnění svých povinností dle této smlouvy, ani zveřejnit či jinak poskytn</w:t>
      </w:r>
      <w:r>
        <w:rPr>
          <w:w w:val="105"/>
          <w:sz w:val="21"/>
        </w:rPr>
        <w:t>out takové Důvěrné informace třetím osobám. vyjma svých zaměstnanců, členů svých orgánů, poradců, právních zástupců, kteří jsou vázáni povinností mlčenlivosti ohledně Důvěrných informací. Takovým osobám může být Důvěrná infonnace poskytnuta pouze v rozsahu</w:t>
      </w:r>
      <w:r>
        <w:rPr>
          <w:w w:val="105"/>
          <w:sz w:val="21"/>
        </w:rPr>
        <w:t xml:space="preserve"> nezbytném pro plnění této smlouvy, v souvislosti s auditem či uplatněním  práv Nemocnice z této smlouvy. Povinnost mlčenlivosti neplatí také ve vztahu ke společnosti, Nemocnice Slaný jejím zaměstnancům, poradcům, právním zástupcům či členům jejích orgánů,</w:t>
      </w:r>
      <w:r>
        <w:rPr>
          <w:w w:val="105"/>
          <w:sz w:val="21"/>
        </w:rPr>
        <w:t xml:space="preserve"> a </w:t>
      </w:r>
      <w:r>
        <w:rPr>
          <w:w w:val="105"/>
          <w:sz w:val="20"/>
        </w:rPr>
        <w:t xml:space="preserve">to </w:t>
      </w:r>
      <w:r>
        <w:rPr>
          <w:w w:val="105"/>
          <w:sz w:val="21"/>
        </w:rPr>
        <w:t>za předpokladu, že všechny tyto osoby budou Nemocnici zavázány k ochraně důvěrných informací alespoň ve stejném rozsahu jako dle této smlouvy.</w:t>
      </w:r>
      <w:r>
        <w:rPr>
          <w:spacing w:val="-13"/>
          <w:w w:val="105"/>
          <w:sz w:val="21"/>
        </w:rPr>
        <w:t xml:space="preserve"> </w:t>
      </w:r>
      <w:r>
        <w:rPr>
          <w:w w:val="105"/>
          <w:sz w:val="21"/>
        </w:rPr>
        <w:t>Tato</w:t>
      </w:r>
      <w:r>
        <w:rPr>
          <w:spacing w:val="1"/>
          <w:w w:val="105"/>
          <w:sz w:val="21"/>
        </w:rPr>
        <w:t xml:space="preserve"> </w:t>
      </w:r>
      <w:r>
        <w:rPr>
          <w:w w:val="105"/>
          <w:sz w:val="21"/>
        </w:rPr>
        <w:t>povinnost</w:t>
      </w:r>
      <w:r>
        <w:rPr>
          <w:spacing w:val="1"/>
          <w:w w:val="105"/>
          <w:sz w:val="21"/>
        </w:rPr>
        <w:t xml:space="preserve"> </w:t>
      </w:r>
      <w:r>
        <w:rPr>
          <w:w w:val="105"/>
          <w:sz w:val="21"/>
        </w:rPr>
        <w:t>ve</w:t>
      </w:r>
      <w:r>
        <w:rPr>
          <w:spacing w:val="-14"/>
          <w:w w:val="105"/>
          <w:sz w:val="21"/>
        </w:rPr>
        <w:t xml:space="preserve"> </w:t>
      </w:r>
      <w:r>
        <w:rPr>
          <w:w w:val="105"/>
          <w:sz w:val="21"/>
        </w:rPr>
        <w:t>vztahu ke</w:t>
      </w:r>
      <w:r>
        <w:rPr>
          <w:spacing w:val="-21"/>
          <w:w w:val="105"/>
          <w:sz w:val="21"/>
        </w:rPr>
        <w:t xml:space="preserve"> </w:t>
      </w:r>
      <w:r>
        <w:rPr>
          <w:w w:val="105"/>
          <w:sz w:val="21"/>
        </w:rPr>
        <w:t>společnosti</w:t>
      </w:r>
      <w:r>
        <w:rPr>
          <w:spacing w:val="4"/>
          <w:w w:val="105"/>
          <w:sz w:val="21"/>
        </w:rPr>
        <w:t xml:space="preserve"> </w:t>
      </w:r>
      <w:r>
        <w:rPr>
          <w:w w:val="105"/>
          <w:sz w:val="21"/>
        </w:rPr>
        <w:t>Nemocnice</w:t>
      </w:r>
      <w:r>
        <w:rPr>
          <w:spacing w:val="-1"/>
          <w:w w:val="105"/>
          <w:sz w:val="21"/>
        </w:rPr>
        <w:t xml:space="preserve"> </w:t>
      </w:r>
      <w:r>
        <w:rPr>
          <w:w w:val="105"/>
          <w:sz w:val="21"/>
        </w:rPr>
        <w:t>Slaný</w:t>
      </w:r>
      <w:r>
        <w:rPr>
          <w:spacing w:val="-7"/>
          <w:w w:val="105"/>
          <w:sz w:val="21"/>
        </w:rPr>
        <w:t xml:space="preserve"> </w:t>
      </w:r>
      <w:r>
        <w:rPr>
          <w:w w:val="105"/>
          <w:sz w:val="21"/>
        </w:rPr>
        <w:t>také</w:t>
      </w:r>
      <w:r>
        <w:rPr>
          <w:spacing w:val="-6"/>
          <w:w w:val="105"/>
          <w:sz w:val="21"/>
        </w:rPr>
        <w:t xml:space="preserve"> </w:t>
      </w:r>
      <w:r>
        <w:rPr>
          <w:w w:val="105"/>
          <w:sz w:val="21"/>
        </w:rPr>
        <w:t>neplatí,</w:t>
      </w:r>
      <w:r>
        <w:rPr>
          <w:spacing w:val="-1"/>
          <w:w w:val="105"/>
          <w:sz w:val="21"/>
        </w:rPr>
        <w:t xml:space="preserve"> </w:t>
      </w:r>
      <w:r>
        <w:rPr>
          <w:w w:val="105"/>
          <w:sz w:val="21"/>
        </w:rPr>
        <w:t>pokud</w:t>
      </w:r>
      <w:r>
        <w:rPr>
          <w:spacing w:val="3"/>
          <w:w w:val="105"/>
          <w:sz w:val="21"/>
        </w:rPr>
        <w:t xml:space="preserve"> </w:t>
      </w:r>
      <w:r>
        <w:rPr>
          <w:w w:val="105"/>
          <w:sz w:val="21"/>
        </w:rPr>
        <w:t>to</w:t>
      </w:r>
      <w:r>
        <w:rPr>
          <w:spacing w:val="-10"/>
          <w:w w:val="105"/>
          <w:sz w:val="21"/>
        </w:rPr>
        <w:t xml:space="preserve"> </w:t>
      </w:r>
      <w:r>
        <w:rPr>
          <w:w w:val="105"/>
          <w:sz w:val="21"/>
        </w:rPr>
        <w:t>vylučuje příslušný právní  předpis;  povinnost   mlčenlivosti   stanovená   zákonem   a  zákonem   stanovený  způsob  nakládání s určitými informacemi a osobními údaji nejsou tímto ujednáním</w:t>
      </w:r>
      <w:r>
        <w:rPr>
          <w:spacing w:val="27"/>
          <w:w w:val="105"/>
          <w:sz w:val="21"/>
        </w:rPr>
        <w:t xml:space="preserve"> </w:t>
      </w:r>
      <w:r>
        <w:rPr>
          <w:w w:val="105"/>
          <w:sz w:val="21"/>
        </w:rPr>
        <w:t>dotčeny.</w:t>
      </w:r>
    </w:p>
    <w:p w:rsidR="007A406E" w:rsidRDefault="007A406E">
      <w:pPr>
        <w:pStyle w:val="Zkladntext"/>
        <w:rPr>
          <w:sz w:val="24"/>
        </w:rPr>
      </w:pPr>
    </w:p>
    <w:p w:rsidR="007A406E" w:rsidRDefault="00C463F2">
      <w:pPr>
        <w:pStyle w:val="Odstavecseseznamem"/>
        <w:numPr>
          <w:ilvl w:val="1"/>
          <w:numId w:val="3"/>
        </w:numPr>
        <w:tabs>
          <w:tab w:val="left" w:pos="529"/>
        </w:tabs>
        <w:spacing w:before="1"/>
        <w:ind w:left="528" w:hanging="393"/>
        <w:jc w:val="both"/>
        <w:rPr>
          <w:sz w:val="21"/>
        </w:rPr>
      </w:pPr>
      <w:r>
        <w:rPr>
          <w:w w:val="105"/>
          <w:sz w:val="21"/>
        </w:rPr>
        <w:lastRenderedPageBreak/>
        <w:t>Povinnost zachovávat mlčenlivost dle tohoto článku smlo</w:t>
      </w:r>
      <w:r>
        <w:rPr>
          <w:w w:val="105"/>
          <w:sz w:val="21"/>
        </w:rPr>
        <w:t>uvy se nevztahuje na Důvěrné</w:t>
      </w:r>
      <w:r>
        <w:rPr>
          <w:spacing w:val="42"/>
          <w:w w:val="105"/>
          <w:sz w:val="21"/>
        </w:rPr>
        <w:t xml:space="preserve"> </w:t>
      </w:r>
      <w:r>
        <w:rPr>
          <w:w w:val="105"/>
          <w:sz w:val="21"/>
        </w:rPr>
        <w:t>informace:</w:t>
      </w:r>
    </w:p>
    <w:p w:rsidR="007A406E" w:rsidRDefault="007A406E">
      <w:pPr>
        <w:pStyle w:val="Zkladntext"/>
        <w:spacing w:before="9"/>
        <w:rPr>
          <w:sz w:val="29"/>
        </w:rPr>
      </w:pPr>
    </w:p>
    <w:p w:rsidR="007A406E" w:rsidRDefault="00C463F2">
      <w:pPr>
        <w:pStyle w:val="Odstavecseseznamem"/>
        <w:numPr>
          <w:ilvl w:val="2"/>
          <w:numId w:val="3"/>
        </w:numPr>
        <w:tabs>
          <w:tab w:val="left" w:pos="1281"/>
        </w:tabs>
        <w:rPr>
          <w:sz w:val="21"/>
        </w:rPr>
      </w:pPr>
      <w:r>
        <w:rPr>
          <w:sz w:val="21"/>
        </w:rPr>
        <w:t>které byly v době, kdy byly smluvní straně poskytnuty, veřejně</w:t>
      </w:r>
      <w:r>
        <w:rPr>
          <w:spacing w:val="45"/>
          <w:sz w:val="21"/>
        </w:rPr>
        <w:t xml:space="preserve"> </w:t>
      </w:r>
      <w:r>
        <w:rPr>
          <w:sz w:val="21"/>
        </w:rPr>
        <w:t>známé,</w:t>
      </w:r>
    </w:p>
    <w:p w:rsidR="007A406E" w:rsidRDefault="007A406E">
      <w:pPr>
        <w:pStyle w:val="Zkladntext"/>
        <w:spacing w:before="9"/>
        <w:rPr>
          <w:sz w:val="24"/>
        </w:rPr>
      </w:pPr>
    </w:p>
    <w:p w:rsidR="007A406E" w:rsidRDefault="00C463F2">
      <w:pPr>
        <w:pStyle w:val="Odstavecseseznamem"/>
        <w:numPr>
          <w:ilvl w:val="2"/>
          <w:numId w:val="3"/>
        </w:numPr>
        <w:tabs>
          <w:tab w:val="left" w:pos="1281"/>
        </w:tabs>
        <w:spacing w:line="285" w:lineRule="auto"/>
        <w:ind w:left="1273" w:right="766" w:hanging="279"/>
        <w:jc w:val="both"/>
        <w:rPr>
          <w:sz w:val="21"/>
        </w:rPr>
      </w:pPr>
      <w:r>
        <w:rPr>
          <w:w w:val="105"/>
          <w:sz w:val="21"/>
        </w:rPr>
        <w:t xml:space="preserve">které se stanou veřejně známými poté, co byly smluvní straně poskytnuty, s výjimkou případů, kdy se tyto skutečnosti a informace stanou veřejně </w:t>
      </w:r>
      <w:r>
        <w:rPr>
          <w:w w:val="105"/>
          <w:sz w:val="21"/>
        </w:rPr>
        <w:t>známými v důsledku porušení povinností podle této smlouvy smluvní</w:t>
      </w:r>
      <w:r>
        <w:rPr>
          <w:spacing w:val="27"/>
          <w:w w:val="105"/>
          <w:sz w:val="21"/>
        </w:rPr>
        <w:t xml:space="preserve"> </w:t>
      </w:r>
      <w:r>
        <w:rPr>
          <w:w w:val="105"/>
          <w:sz w:val="21"/>
        </w:rPr>
        <w:t>stranou</w:t>
      </w:r>
    </w:p>
    <w:p w:rsidR="007A406E" w:rsidRDefault="007A406E">
      <w:pPr>
        <w:pStyle w:val="Zkladntext"/>
        <w:spacing w:before="2"/>
        <w:rPr>
          <w:sz w:val="22"/>
        </w:rPr>
      </w:pPr>
    </w:p>
    <w:p w:rsidR="007A406E" w:rsidRDefault="00C463F2">
      <w:pPr>
        <w:pStyle w:val="Odstavecseseznamem"/>
        <w:numPr>
          <w:ilvl w:val="2"/>
          <w:numId w:val="3"/>
        </w:numPr>
        <w:tabs>
          <w:tab w:val="left" w:pos="1274"/>
        </w:tabs>
        <w:spacing w:before="1"/>
        <w:ind w:left="1273"/>
        <w:rPr>
          <w:sz w:val="21"/>
        </w:rPr>
      </w:pPr>
      <w:r>
        <w:rPr>
          <w:w w:val="105"/>
          <w:sz w:val="21"/>
        </w:rPr>
        <w:t>které byly smluvní straně prokazatelně známé před jejich</w:t>
      </w:r>
      <w:r>
        <w:rPr>
          <w:spacing w:val="6"/>
          <w:w w:val="105"/>
          <w:sz w:val="21"/>
        </w:rPr>
        <w:t xml:space="preserve"> </w:t>
      </w:r>
      <w:r>
        <w:rPr>
          <w:w w:val="105"/>
          <w:sz w:val="21"/>
        </w:rPr>
        <w:t>poskytnutím.</w:t>
      </w:r>
    </w:p>
    <w:p w:rsidR="007A406E" w:rsidRDefault="007A406E">
      <w:pPr>
        <w:pStyle w:val="Zkladntext"/>
        <w:spacing w:before="4"/>
        <w:rPr>
          <w:sz w:val="25"/>
        </w:rPr>
      </w:pPr>
    </w:p>
    <w:p w:rsidR="007A406E" w:rsidRDefault="00C463F2">
      <w:pPr>
        <w:pStyle w:val="Odstavecseseznamem"/>
        <w:numPr>
          <w:ilvl w:val="2"/>
          <w:numId w:val="3"/>
        </w:numPr>
        <w:tabs>
          <w:tab w:val="left" w:pos="1274"/>
        </w:tabs>
        <w:spacing w:line="285" w:lineRule="auto"/>
        <w:ind w:left="1268" w:right="790" w:hanging="290"/>
        <w:jc w:val="both"/>
        <w:rPr>
          <w:sz w:val="21"/>
        </w:rPr>
      </w:pPr>
      <w:r>
        <w:rPr>
          <w:sz w:val="21"/>
        </w:rPr>
        <w:t>které je smluvní strana povinna sdělit oprávněným osobám  na  základě  platných  právních předpisů.</w:t>
      </w:r>
    </w:p>
    <w:p w:rsidR="007A406E" w:rsidRDefault="007A406E">
      <w:pPr>
        <w:pStyle w:val="Zkladntext"/>
        <w:spacing w:before="10"/>
        <w:rPr>
          <w:sz w:val="20"/>
        </w:rPr>
      </w:pPr>
    </w:p>
    <w:p w:rsidR="007A406E" w:rsidRDefault="00C463F2">
      <w:pPr>
        <w:pStyle w:val="Odstavecseseznamem"/>
        <w:numPr>
          <w:ilvl w:val="1"/>
          <w:numId w:val="3"/>
        </w:numPr>
        <w:tabs>
          <w:tab w:val="left" w:pos="519"/>
        </w:tabs>
        <w:spacing w:before="1" w:line="288" w:lineRule="auto"/>
        <w:ind w:left="115" w:right="777" w:firstLine="7"/>
        <w:jc w:val="both"/>
        <w:rPr>
          <w:sz w:val="21"/>
        </w:rPr>
      </w:pPr>
      <w:r>
        <w:rPr>
          <w:w w:val="105"/>
          <w:sz w:val="21"/>
        </w:rPr>
        <w:t>Smluvní strany prohlašují, že každá z nich jako samostatný správce osobních údajů přijaly veškerá jim známá bezpečnostní opatření k zajištění ochrany osobních údajů, které zpracovávají, před jejich zneužitím a jejich únikem, a dále prohlašují, že jejich za</w:t>
      </w:r>
      <w:r>
        <w:rPr>
          <w:w w:val="105"/>
          <w:sz w:val="21"/>
        </w:rPr>
        <w:t>městnanci, případně jiné oprávněné osoby, které při výkonu své práce přicházejí do styku s osobními  údaji, byli  nálež.itě poučení o zásadách zpracování osobních  údajů     v souladu s příslušnými právními předpisy. zejména nařízením Evropského parlamentu</w:t>
      </w:r>
      <w:r>
        <w:rPr>
          <w:w w:val="105"/>
          <w:sz w:val="21"/>
        </w:rPr>
        <w:t xml:space="preserve"> a Rady EU 2016/679 (obecné nařízení o ochraně osobních údajů), a tyto se zavázali</w:t>
      </w:r>
      <w:r>
        <w:rPr>
          <w:spacing w:val="7"/>
          <w:w w:val="105"/>
          <w:sz w:val="21"/>
        </w:rPr>
        <w:t xml:space="preserve"> </w:t>
      </w:r>
      <w:r>
        <w:rPr>
          <w:w w:val="105"/>
          <w:sz w:val="21"/>
        </w:rPr>
        <w:t>dodržovat.</w:t>
      </w:r>
    </w:p>
    <w:p w:rsidR="007A406E" w:rsidRDefault="007A406E">
      <w:pPr>
        <w:pStyle w:val="Zkladntext"/>
        <w:spacing w:before="10"/>
        <w:rPr>
          <w:sz w:val="20"/>
        </w:rPr>
      </w:pPr>
    </w:p>
    <w:p w:rsidR="007A406E" w:rsidRDefault="00C463F2">
      <w:pPr>
        <w:pStyle w:val="Odstavecseseznamem"/>
        <w:numPr>
          <w:ilvl w:val="0"/>
          <w:numId w:val="4"/>
        </w:numPr>
        <w:tabs>
          <w:tab w:val="left" w:pos="3618"/>
        </w:tabs>
        <w:ind w:left="3617" w:hanging="372"/>
        <w:jc w:val="left"/>
        <w:rPr>
          <w:sz w:val="23"/>
        </w:rPr>
      </w:pPr>
      <w:r>
        <w:rPr>
          <w:sz w:val="23"/>
        </w:rPr>
        <w:t>ZÁVĚREČNÁ</w:t>
      </w:r>
      <w:r>
        <w:rPr>
          <w:spacing w:val="31"/>
          <w:sz w:val="23"/>
        </w:rPr>
        <w:t xml:space="preserve"> </w:t>
      </w:r>
      <w:r>
        <w:rPr>
          <w:sz w:val="23"/>
        </w:rPr>
        <w:t>USTANOVENÍ</w:t>
      </w:r>
    </w:p>
    <w:p w:rsidR="007A406E" w:rsidRDefault="00C463F2">
      <w:pPr>
        <w:pStyle w:val="Odstavecseseznamem"/>
        <w:numPr>
          <w:ilvl w:val="1"/>
          <w:numId w:val="2"/>
        </w:numPr>
        <w:tabs>
          <w:tab w:val="left" w:pos="519"/>
        </w:tabs>
        <w:spacing w:before="71" w:line="321" w:lineRule="auto"/>
        <w:ind w:right="773" w:firstLine="11"/>
        <w:jc w:val="both"/>
        <w:rPr>
          <w:sz w:val="21"/>
        </w:rPr>
      </w:pPr>
      <w:r>
        <w:rPr>
          <w:w w:val="115"/>
          <w:sz w:val="21"/>
        </w:rPr>
        <w:t xml:space="preserve">Tato smlouva nabývá platnosti dnem podpisu oběma smluvními stranami a účinnosti dnem jejího uveřejnění v registru smluv. Na tuto smlouvu se </w:t>
      </w:r>
      <w:r>
        <w:rPr>
          <w:w w:val="115"/>
          <w:sz w:val="21"/>
        </w:rPr>
        <w:t>vztahuje, dle zákona č. 340/2015 Sb.,</w:t>
      </w:r>
      <w:r>
        <w:rPr>
          <w:spacing w:val="35"/>
          <w:w w:val="115"/>
          <w:sz w:val="21"/>
        </w:rPr>
        <w:t xml:space="preserve"> </w:t>
      </w:r>
      <w:r>
        <w:rPr>
          <w:w w:val="115"/>
          <w:sz w:val="21"/>
        </w:rPr>
        <w:t>o</w:t>
      </w:r>
    </w:p>
    <w:p w:rsidR="007A406E" w:rsidRDefault="007A406E">
      <w:pPr>
        <w:spacing w:line="321" w:lineRule="auto"/>
        <w:jc w:val="both"/>
        <w:rPr>
          <w:sz w:val="21"/>
        </w:rPr>
        <w:sectPr w:rsidR="007A406E">
          <w:type w:val="continuous"/>
          <w:pgSz w:w="11920" w:h="16840"/>
          <w:pgMar w:top="440" w:right="440" w:bottom="280" w:left="940" w:header="708" w:footer="708" w:gutter="0"/>
          <w:cols w:space="708"/>
        </w:sectPr>
      </w:pPr>
    </w:p>
    <w:p w:rsidR="007A406E" w:rsidRDefault="00C463F2">
      <w:pPr>
        <w:spacing w:before="77" w:line="297" w:lineRule="auto"/>
        <w:ind w:left="205" w:right="682" w:firstLine="12"/>
        <w:jc w:val="both"/>
      </w:pPr>
      <w:r>
        <w:rPr>
          <w:w w:val="110"/>
        </w:rPr>
        <w:lastRenderedPageBreak/>
        <w:t>zvláštních podmínkách účinnosti některých smluv. uveřejňování těchto smluv a o registru smluv (zákon o registru smluv). ve znění pozdějších předpisů (dále jen „Zákon o registru smluv"). povinnost jejího uveřejnění prostřednictvím registru smluv, neboť NUDZ</w:t>
      </w:r>
      <w:r>
        <w:rPr>
          <w:w w:val="110"/>
        </w:rPr>
        <w:t xml:space="preserve"> je státní příspěvkovou organizací, a jsou splněny další podmínky uvedené v Zákoně o registru smluv; smluvní strany se dohodly, že tuto smlouvu v souladu s příslušnými ustanoveními Zákona o registru smluv uveřejní prostřednictvím registru smluv NUDZ s tím,</w:t>
      </w:r>
      <w:r>
        <w:rPr>
          <w:w w:val="110"/>
        </w:rPr>
        <w:t xml:space="preserve"> že tak učiní nejpozději do 15 dnů ode dne jejího uzavření. NUDZ se zavazuje písemně informovat Nemocnici nejpozději do tří </w:t>
      </w:r>
      <w:r>
        <w:rPr>
          <w:w w:val="110"/>
          <w:sz w:val="23"/>
        </w:rPr>
        <w:t xml:space="preserve">(3) </w:t>
      </w:r>
      <w:r>
        <w:rPr>
          <w:w w:val="110"/>
        </w:rPr>
        <w:t>dnů ode dne, kdy tak učiní.</w:t>
      </w:r>
    </w:p>
    <w:p w:rsidR="007A406E" w:rsidRDefault="00C463F2">
      <w:pPr>
        <w:pStyle w:val="Odstavecseseznamem"/>
        <w:numPr>
          <w:ilvl w:val="1"/>
          <w:numId w:val="2"/>
        </w:numPr>
        <w:tabs>
          <w:tab w:val="left" w:pos="564"/>
        </w:tabs>
        <w:spacing w:before="15" w:line="295" w:lineRule="auto"/>
        <w:ind w:left="199" w:right="683" w:firstLine="6"/>
        <w:jc w:val="both"/>
      </w:pPr>
      <w:r>
        <w:rPr>
          <w:w w:val="105"/>
        </w:rPr>
        <w:t>Jakékoliv změny a doplnění této smlouvy mohou být provedeny pouze v písemné formě po sobě číslovanými dodatky k této smlouvě, podepsanými smluvními</w:t>
      </w:r>
      <w:r>
        <w:rPr>
          <w:spacing w:val="57"/>
          <w:w w:val="105"/>
        </w:rPr>
        <w:t xml:space="preserve"> </w:t>
      </w:r>
      <w:r>
        <w:rPr>
          <w:w w:val="105"/>
        </w:rPr>
        <w:t>stranami.</w:t>
      </w:r>
    </w:p>
    <w:p w:rsidR="007A406E" w:rsidRDefault="00C463F2">
      <w:pPr>
        <w:pStyle w:val="Odstavecseseznamem"/>
        <w:numPr>
          <w:ilvl w:val="1"/>
          <w:numId w:val="1"/>
        </w:numPr>
        <w:tabs>
          <w:tab w:val="left" w:pos="696"/>
        </w:tabs>
        <w:spacing w:before="12" w:line="295" w:lineRule="auto"/>
        <w:ind w:right="697" w:hanging="8"/>
        <w:jc w:val="both"/>
      </w:pPr>
      <w:r>
        <w:rPr>
          <w:w w:val="110"/>
        </w:rPr>
        <w:t>Závazky. práva a povinnosti vyplývající z této smlouvy přecházejí na eventuální právní nástupce sm</w:t>
      </w:r>
      <w:r>
        <w:rPr>
          <w:w w:val="110"/>
        </w:rPr>
        <w:t>luvních</w:t>
      </w:r>
      <w:r>
        <w:rPr>
          <w:spacing w:val="20"/>
          <w:w w:val="110"/>
        </w:rPr>
        <w:t xml:space="preserve"> </w:t>
      </w:r>
      <w:r>
        <w:rPr>
          <w:w w:val="110"/>
        </w:rPr>
        <w:t>stran.</w:t>
      </w:r>
    </w:p>
    <w:p w:rsidR="007A406E" w:rsidRDefault="00C463F2">
      <w:pPr>
        <w:pStyle w:val="Odstavecseseznamem"/>
        <w:numPr>
          <w:ilvl w:val="1"/>
          <w:numId w:val="1"/>
        </w:numPr>
        <w:tabs>
          <w:tab w:val="left" w:pos="656"/>
        </w:tabs>
        <w:spacing w:before="12" w:line="288" w:lineRule="auto"/>
        <w:ind w:left="198" w:right="712" w:hanging="1"/>
        <w:jc w:val="both"/>
      </w:pPr>
      <w:r>
        <w:rPr>
          <w:w w:val="105"/>
        </w:rPr>
        <w:t>Tato smlouva, práva a povinnosti z ní, jakož i z jejího případného porušení  se  řídí  právním řádem České</w:t>
      </w:r>
      <w:r>
        <w:rPr>
          <w:spacing w:val="-26"/>
          <w:w w:val="105"/>
        </w:rPr>
        <w:t xml:space="preserve"> </w:t>
      </w:r>
      <w:r>
        <w:rPr>
          <w:w w:val="105"/>
        </w:rPr>
        <w:t>republiky.</w:t>
      </w:r>
    </w:p>
    <w:p w:rsidR="007A406E" w:rsidRDefault="00C463F2">
      <w:pPr>
        <w:pStyle w:val="Odstavecseseznamem"/>
        <w:numPr>
          <w:ilvl w:val="1"/>
          <w:numId w:val="1"/>
        </w:numPr>
        <w:tabs>
          <w:tab w:val="left" w:pos="627"/>
        </w:tabs>
        <w:spacing w:before="18" w:line="290" w:lineRule="auto"/>
        <w:ind w:left="188" w:right="694" w:firstLine="9"/>
        <w:jc w:val="both"/>
        <w:rPr>
          <w:sz w:val="23"/>
        </w:rPr>
      </w:pPr>
      <w:r>
        <w:rPr>
          <w:w w:val="110"/>
        </w:rPr>
        <w:t xml:space="preserve">Tato smlouva je vyhotovena ve dvou originálech, z nichž každá ze smluvních stran obdrží po jednom originále. Její nedílnou </w:t>
      </w:r>
      <w:r>
        <w:rPr>
          <w:w w:val="110"/>
        </w:rPr>
        <w:t xml:space="preserve">součástí je příloha č. </w:t>
      </w:r>
      <w:r>
        <w:rPr>
          <w:rFonts w:ascii="Arial" w:hAnsi="Arial"/>
          <w:w w:val="110"/>
        </w:rPr>
        <w:t xml:space="preserve">1 </w:t>
      </w:r>
      <w:r>
        <w:rPr>
          <w:w w:val="110"/>
        </w:rPr>
        <w:t>(Protokol Studie) obsahující specifikaci Studie.</w:t>
      </w:r>
    </w:p>
    <w:p w:rsidR="007A406E" w:rsidRDefault="00C463F2">
      <w:pPr>
        <w:pStyle w:val="Odstavecseseznamem"/>
        <w:numPr>
          <w:ilvl w:val="1"/>
          <w:numId w:val="1"/>
        </w:numPr>
        <w:tabs>
          <w:tab w:val="left" w:pos="659"/>
        </w:tabs>
        <w:spacing w:before="28" w:line="295" w:lineRule="auto"/>
        <w:ind w:left="188" w:right="689" w:firstLine="2"/>
        <w:jc w:val="both"/>
      </w:pPr>
      <w:r>
        <w:rPr>
          <w:w w:val="110"/>
        </w:rPr>
        <w:t>Pokud oddělitelné ustanovení této smlouvy je nebo se stane neplatným či nevynutitelným, nemá</w:t>
      </w:r>
      <w:r>
        <w:rPr>
          <w:spacing w:val="-11"/>
          <w:w w:val="110"/>
        </w:rPr>
        <w:t xml:space="preserve"> </w:t>
      </w:r>
      <w:r>
        <w:rPr>
          <w:w w:val="110"/>
        </w:rPr>
        <w:t>to</w:t>
      </w:r>
      <w:r>
        <w:rPr>
          <w:spacing w:val="-8"/>
          <w:w w:val="110"/>
        </w:rPr>
        <w:t xml:space="preserve"> </w:t>
      </w:r>
      <w:r>
        <w:rPr>
          <w:w w:val="110"/>
        </w:rPr>
        <w:t>vliv</w:t>
      </w:r>
      <w:r>
        <w:rPr>
          <w:spacing w:val="2"/>
          <w:w w:val="110"/>
        </w:rPr>
        <w:t xml:space="preserve"> </w:t>
      </w:r>
      <w:r>
        <w:rPr>
          <w:w w:val="110"/>
        </w:rPr>
        <w:t>na</w:t>
      </w:r>
      <w:r>
        <w:rPr>
          <w:spacing w:val="-12"/>
          <w:w w:val="110"/>
        </w:rPr>
        <w:t xml:space="preserve"> </w:t>
      </w:r>
      <w:r>
        <w:rPr>
          <w:w w:val="110"/>
        </w:rPr>
        <w:t>platnost</w:t>
      </w:r>
      <w:r>
        <w:rPr>
          <w:spacing w:val="-2"/>
          <w:w w:val="110"/>
        </w:rPr>
        <w:t xml:space="preserve"> </w:t>
      </w:r>
      <w:r>
        <w:rPr>
          <w:w w:val="110"/>
        </w:rPr>
        <w:t>zbývajících</w:t>
      </w:r>
      <w:r>
        <w:rPr>
          <w:spacing w:val="12"/>
          <w:w w:val="110"/>
        </w:rPr>
        <w:t xml:space="preserve"> </w:t>
      </w:r>
      <w:r>
        <w:rPr>
          <w:w w:val="110"/>
        </w:rPr>
        <w:t>ustanovení této</w:t>
      </w:r>
      <w:r>
        <w:rPr>
          <w:spacing w:val="-9"/>
          <w:w w:val="110"/>
        </w:rPr>
        <w:t xml:space="preserve"> </w:t>
      </w:r>
      <w:r>
        <w:rPr>
          <w:w w:val="110"/>
        </w:rPr>
        <w:t>smlouvy.</w:t>
      </w:r>
      <w:r>
        <w:rPr>
          <w:spacing w:val="-8"/>
          <w:w w:val="110"/>
        </w:rPr>
        <w:t xml:space="preserve"> </w:t>
      </w:r>
      <w:r>
        <w:rPr>
          <w:w w:val="110"/>
          <w:sz w:val="24"/>
        </w:rPr>
        <w:t>V</w:t>
      </w:r>
      <w:r>
        <w:rPr>
          <w:spacing w:val="-19"/>
          <w:w w:val="110"/>
          <w:sz w:val="24"/>
        </w:rPr>
        <w:t xml:space="preserve"> </w:t>
      </w:r>
      <w:r>
        <w:rPr>
          <w:w w:val="110"/>
        </w:rPr>
        <w:t>takovém případě</w:t>
      </w:r>
      <w:r>
        <w:rPr>
          <w:spacing w:val="-8"/>
          <w:w w:val="110"/>
        </w:rPr>
        <w:t xml:space="preserve"> </w:t>
      </w:r>
      <w:r>
        <w:rPr>
          <w:w w:val="110"/>
        </w:rPr>
        <w:t>se</w:t>
      </w:r>
      <w:r>
        <w:rPr>
          <w:spacing w:val="-8"/>
          <w:w w:val="110"/>
        </w:rPr>
        <w:t xml:space="preserve"> </w:t>
      </w:r>
      <w:r>
        <w:rPr>
          <w:w w:val="110"/>
        </w:rPr>
        <w:t>smluvní</w:t>
      </w:r>
      <w:r>
        <w:rPr>
          <w:spacing w:val="-8"/>
          <w:w w:val="110"/>
        </w:rPr>
        <w:t xml:space="preserve"> </w:t>
      </w:r>
      <w:r>
        <w:rPr>
          <w:w w:val="110"/>
        </w:rPr>
        <w:t>str</w:t>
      </w:r>
      <w:r>
        <w:rPr>
          <w:w w:val="110"/>
        </w:rPr>
        <w:t>any zavazují zavřít do 30 pracovních dnů od výzvy druhé ze smluvních stran dodatek k této smlouvě nahrazující oddělitelné ustanovení této smlouvy. které je neplatné či nevynutitelné, platným a vynutitelným ustanovením odpovídajícím účelu a smyslu takto nah</w:t>
      </w:r>
      <w:r>
        <w:rPr>
          <w:w w:val="110"/>
        </w:rPr>
        <w:t>razovaného</w:t>
      </w:r>
      <w:r>
        <w:rPr>
          <w:spacing w:val="34"/>
          <w:w w:val="110"/>
        </w:rPr>
        <w:t xml:space="preserve"> </w:t>
      </w:r>
      <w:r>
        <w:rPr>
          <w:w w:val="110"/>
        </w:rPr>
        <w:t>ustanovení.</w:t>
      </w:r>
    </w:p>
    <w:p w:rsidR="007A406E" w:rsidRDefault="00C463F2">
      <w:pPr>
        <w:pStyle w:val="Odstavecseseznamem"/>
        <w:numPr>
          <w:ilvl w:val="1"/>
          <w:numId w:val="1"/>
        </w:numPr>
        <w:tabs>
          <w:tab w:val="left" w:pos="656"/>
        </w:tabs>
        <w:spacing w:before="10" w:line="295" w:lineRule="auto"/>
        <w:ind w:left="178" w:right="711" w:firstLine="5"/>
        <w:jc w:val="both"/>
      </w:pPr>
      <w:r>
        <w:rPr>
          <w:w w:val="110"/>
        </w:rPr>
        <w:lastRenderedPageBreak/>
        <w:t>Smluvní strany po přečtení této smlouvy prohlašují. že souhlasí s jejím obsahem, že tato smlouva byla sepsána vážně, určitě. srozumitelně a na základě jejich pravé a svobodné vůle, na důkaz čehož připojují své podpisy.</w:t>
      </w:r>
    </w:p>
    <w:p w:rsidR="007A406E" w:rsidRDefault="007A406E">
      <w:pPr>
        <w:pStyle w:val="Zkladntext"/>
        <w:spacing w:before="2"/>
        <w:rPr>
          <w:sz w:val="27"/>
        </w:rPr>
      </w:pPr>
    </w:p>
    <w:p w:rsidR="007A406E" w:rsidRDefault="00C463F2">
      <w:pPr>
        <w:pStyle w:val="Nadpis1"/>
        <w:ind w:left="182"/>
      </w:pPr>
      <w:r>
        <w:rPr>
          <w:w w:val="105"/>
        </w:rPr>
        <w:t>Národní ústav duševního zdraví, p.o.</w:t>
      </w:r>
    </w:p>
    <w:p w:rsidR="007A406E" w:rsidRDefault="00C463F2">
      <w:pPr>
        <w:spacing w:before="62"/>
        <w:ind w:left="182"/>
      </w:pPr>
      <w:r>
        <w:rPr>
          <w:w w:val="105"/>
        </w:rPr>
        <w:t>PhDr. Petr Winkler, Ph.D.</w:t>
      </w:r>
    </w:p>
    <w:p w:rsidR="0050108F" w:rsidRPr="0050108F" w:rsidRDefault="0050108F" w:rsidP="0050108F">
      <w:pPr>
        <w:spacing w:before="91" w:line="285" w:lineRule="auto"/>
        <w:ind w:left="327" w:right="3554" w:hanging="6"/>
        <w:rPr>
          <w:b/>
        </w:rPr>
      </w:pPr>
      <w:r w:rsidRPr="0050108F">
        <w:rPr>
          <w:b/>
          <w:highlight w:val="yellow"/>
        </w:rPr>
        <w:t>smazáno</w:t>
      </w:r>
    </w:p>
    <w:p w:rsidR="007A406E" w:rsidRDefault="007A406E">
      <w:pPr>
        <w:pStyle w:val="Zkladntext"/>
        <w:spacing w:before="8"/>
        <w:rPr>
          <w:sz w:val="25"/>
        </w:rPr>
      </w:pPr>
    </w:p>
    <w:p w:rsidR="007A406E" w:rsidRDefault="007A406E">
      <w:pPr>
        <w:pStyle w:val="Zkladntext"/>
        <w:spacing w:before="5"/>
        <w:rPr>
          <w:sz w:val="28"/>
        </w:rPr>
      </w:pPr>
    </w:p>
    <w:p w:rsidR="007A406E" w:rsidRDefault="00C463F2">
      <w:pPr>
        <w:pStyle w:val="Nadpis1"/>
      </w:pPr>
      <w:r>
        <w:rPr>
          <w:w w:val="105"/>
        </w:rPr>
        <w:t>Nemocnice Slaný</w:t>
      </w:r>
    </w:p>
    <w:p w:rsidR="0050108F" w:rsidRPr="0050108F" w:rsidRDefault="0050108F" w:rsidP="0050108F">
      <w:pPr>
        <w:spacing w:before="91" w:line="285" w:lineRule="auto"/>
        <w:ind w:left="327" w:right="3554" w:hanging="6"/>
        <w:rPr>
          <w:b/>
        </w:rPr>
      </w:pPr>
      <w:r w:rsidRPr="0050108F">
        <w:rPr>
          <w:b/>
          <w:highlight w:val="yellow"/>
        </w:rPr>
        <w:t>smazáno</w:t>
      </w:r>
    </w:p>
    <w:p w:rsidR="007A406E" w:rsidRDefault="0050108F" w:rsidP="0050108F">
      <w:pPr>
        <w:tabs>
          <w:tab w:val="left" w:pos="567"/>
          <w:tab w:val="left" w:pos="1895"/>
          <w:tab w:val="left" w:pos="2385"/>
          <w:tab w:val="left" w:pos="3068"/>
        </w:tabs>
        <w:spacing w:before="54"/>
        <w:ind w:left="170"/>
        <w:rPr>
          <w:i/>
          <w:sz w:val="25"/>
        </w:rPr>
      </w:pPr>
      <w:bookmarkStart w:id="0" w:name="_GoBack"/>
      <w:bookmarkEnd w:id="0"/>
      <w:r>
        <w:rPr>
          <w:i/>
          <w:sz w:val="25"/>
        </w:rPr>
        <w:t xml:space="preserve"> </w:t>
      </w:r>
    </w:p>
    <w:p w:rsidR="007A406E" w:rsidRDefault="007A406E">
      <w:pPr>
        <w:rPr>
          <w:sz w:val="25"/>
        </w:rPr>
        <w:sectPr w:rsidR="007A406E">
          <w:pgSz w:w="11920" w:h="16840"/>
          <w:pgMar w:top="1160" w:right="440" w:bottom="280" w:left="940" w:header="708" w:footer="708" w:gutter="0"/>
          <w:cols w:space="708"/>
        </w:sectPr>
      </w:pPr>
    </w:p>
    <w:p w:rsidR="007A406E" w:rsidRDefault="00C463F2">
      <w:pPr>
        <w:pStyle w:val="Zkladntext"/>
        <w:ind w:left="2176"/>
        <w:rPr>
          <w:sz w:val="20"/>
        </w:rPr>
      </w:pPr>
      <w:r>
        <w:rPr>
          <w:noProof/>
          <w:sz w:val="20"/>
          <w:lang w:val="cs-CZ" w:eastAsia="cs-CZ"/>
        </w:rPr>
        <w:lastRenderedPageBreak/>
        <w:drawing>
          <wp:inline distT="0" distB="0" distL="0" distR="0">
            <wp:extent cx="5135892" cy="792384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5135892" cy="7923847"/>
                    </a:xfrm>
                    <a:prstGeom prst="rect">
                      <a:avLst/>
                    </a:prstGeom>
                  </pic:spPr>
                </pic:pic>
              </a:graphicData>
            </a:graphic>
          </wp:inline>
        </w:drawing>
      </w:r>
    </w:p>
    <w:sectPr w:rsidR="007A406E">
      <w:pgSz w:w="11920" w:h="16840"/>
      <w:pgMar w:top="700" w:right="440" w:bottom="280" w:left="9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3F2" w:rsidRDefault="00C463F2" w:rsidP="00C463F2">
      <w:r>
        <w:separator/>
      </w:r>
    </w:p>
  </w:endnote>
  <w:endnote w:type="continuationSeparator" w:id="0">
    <w:p w:rsidR="00C463F2" w:rsidRDefault="00C463F2" w:rsidP="00C4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F2" w:rsidRDefault="00C463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F2" w:rsidRDefault="00C463F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F2" w:rsidRDefault="00C463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3F2" w:rsidRDefault="00C463F2" w:rsidP="00C463F2">
      <w:r>
        <w:separator/>
      </w:r>
    </w:p>
  </w:footnote>
  <w:footnote w:type="continuationSeparator" w:id="0">
    <w:p w:rsidR="00C463F2" w:rsidRDefault="00C463F2" w:rsidP="00C46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F2" w:rsidRDefault="00C463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F2" w:rsidRDefault="00C463F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F2" w:rsidRDefault="00C463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5E79"/>
    <w:multiLevelType w:val="multilevel"/>
    <w:tmpl w:val="F4982CAE"/>
    <w:lvl w:ilvl="0">
      <w:start w:val="9"/>
      <w:numFmt w:val="decimal"/>
      <w:lvlText w:val="%1"/>
      <w:lvlJc w:val="left"/>
      <w:pPr>
        <w:ind w:left="205" w:hanging="497"/>
        <w:jc w:val="left"/>
      </w:pPr>
      <w:rPr>
        <w:rFonts w:hint="default"/>
      </w:rPr>
    </w:lvl>
    <w:lvl w:ilvl="1">
      <w:start w:val="3"/>
      <w:numFmt w:val="decimal"/>
      <w:lvlText w:val="%1.%2."/>
      <w:lvlJc w:val="left"/>
      <w:pPr>
        <w:ind w:left="205" w:hanging="497"/>
        <w:jc w:val="left"/>
      </w:pPr>
      <w:rPr>
        <w:rFonts w:hint="default"/>
        <w:w w:val="111"/>
      </w:rPr>
    </w:lvl>
    <w:lvl w:ilvl="2">
      <w:numFmt w:val="bullet"/>
      <w:lvlText w:val="•"/>
      <w:lvlJc w:val="left"/>
      <w:pPr>
        <w:ind w:left="2268" w:hanging="497"/>
      </w:pPr>
      <w:rPr>
        <w:rFonts w:hint="default"/>
      </w:rPr>
    </w:lvl>
    <w:lvl w:ilvl="3">
      <w:numFmt w:val="bullet"/>
      <w:lvlText w:val="•"/>
      <w:lvlJc w:val="left"/>
      <w:pPr>
        <w:ind w:left="3302" w:hanging="497"/>
      </w:pPr>
      <w:rPr>
        <w:rFonts w:hint="default"/>
      </w:rPr>
    </w:lvl>
    <w:lvl w:ilvl="4">
      <w:numFmt w:val="bullet"/>
      <w:lvlText w:val="•"/>
      <w:lvlJc w:val="left"/>
      <w:pPr>
        <w:ind w:left="4336" w:hanging="497"/>
      </w:pPr>
      <w:rPr>
        <w:rFonts w:hint="default"/>
      </w:rPr>
    </w:lvl>
    <w:lvl w:ilvl="5">
      <w:numFmt w:val="bullet"/>
      <w:lvlText w:val="•"/>
      <w:lvlJc w:val="left"/>
      <w:pPr>
        <w:ind w:left="5370" w:hanging="497"/>
      </w:pPr>
      <w:rPr>
        <w:rFonts w:hint="default"/>
      </w:rPr>
    </w:lvl>
    <w:lvl w:ilvl="6">
      <w:numFmt w:val="bullet"/>
      <w:lvlText w:val="•"/>
      <w:lvlJc w:val="left"/>
      <w:pPr>
        <w:ind w:left="6404" w:hanging="497"/>
      </w:pPr>
      <w:rPr>
        <w:rFonts w:hint="default"/>
      </w:rPr>
    </w:lvl>
    <w:lvl w:ilvl="7">
      <w:numFmt w:val="bullet"/>
      <w:lvlText w:val="•"/>
      <w:lvlJc w:val="left"/>
      <w:pPr>
        <w:ind w:left="7438" w:hanging="497"/>
      </w:pPr>
      <w:rPr>
        <w:rFonts w:hint="default"/>
      </w:rPr>
    </w:lvl>
    <w:lvl w:ilvl="8">
      <w:numFmt w:val="bullet"/>
      <w:lvlText w:val="•"/>
      <w:lvlJc w:val="left"/>
      <w:pPr>
        <w:ind w:left="8472" w:hanging="497"/>
      </w:pPr>
      <w:rPr>
        <w:rFonts w:hint="default"/>
      </w:rPr>
    </w:lvl>
  </w:abstractNum>
  <w:abstractNum w:abstractNumId="1" w15:restartNumberingAfterBreak="0">
    <w:nsid w:val="15743DD7"/>
    <w:multiLevelType w:val="multilevel"/>
    <w:tmpl w:val="6A4EC686"/>
    <w:lvl w:ilvl="0">
      <w:start w:val="8"/>
      <w:numFmt w:val="decimal"/>
      <w:lvlText w:val="%1"/>
      <w:lvlJc w:val="left"/>
      <w:pPr>
        <w:ind w:left="149" w:hanging="410"/>
        <w:jc w:val="left"/>
      </w:pPr>
      <w:rPr>
        <w:rFonts w:hint="default"/>
      </w:rPr>
    </w:lvl>
    <w:lvl w:ilvl="1">
      <w:start w:val="1"/>
      <w:numFmt w:val="decimal"/>
      <w:lvlText w:val="%1.%2."/>
      <w:lvlJc w:val="left"/>
      <w:pPr>
        <w:ind w:left="149" w:hanging="410"/>
        <w:jc w:val="left"/>
      </w:pPr>
      <w:rPr>
        <w:rFonts w:ascii="Times New Roman" w:eastAsia="Times New Roman" w:hAnsi="Times New Roman" w:cs="Times New Roman" w:hint="default"/>
        <w:w w:val="106"/>
        <w:sz w:val="21"/>
        <w:szCs w:val="21"/>
      </w:rPr>
    </w:lvl>
    <w:lvl w:ilvl="2">
      <w:start w:val="1"/>
      <w:numFmt w:val="lowerLetter"/>
      <w:lvlText w:val="%3)"/>
      <w:lvlJc w:val="left"/>
      <w:pPr>
        <w:ind w:left="1280" w:hanging="295"/>
        <w:jc w:val="left"/>
      </w:pPr>
      <w:rPr>
        <w:rFonts w:ascii="Times New Roman" w:eastAsia="Times New Roman" w:hAnsi="Times New Roman" w:cs="Times New Roman" w:hint="default"/>
        <w:spacing w:val="-1"/>
        <w:w w:val="102"/>
        <w:sz w:val="21"/>
        <w:szCs w:val="21"/>
      </w:rPr>
    </w:lvl>
    <w:lvl w:ilvl="3">
      <w:numFmt w:val="bullet"/>
      <w:lvlText w:val="•"/>
      <w:lvlJc w:val="left"/>
      <w:pPr>
        <w:ind w:left="3337" w:hanging="295"/>
      </w:pPr>
      <w:rPr>
        <w:rFonts w:hint="default"/>
      </w:rPr>
    </w:lvl>
    <w:lvl w:ilvl="4">
      <w:numFmt w:val="bullet"/>
      <w:lvlText w:val="•"/>
      <w:lvlJc w:val="left"/>
      <w:pPr>
        <w:ind w:left="4366" w:hanging="295"/>
      </w:pPr>
      <w:rPr>
        <w:rFonts w:hint="default"/>
      </w:rPr>
    </w:lvl>
    <w:lvl w:ilvl="5">
      <w:numFmt w:val="bullet"/>
      <w:lvlText w:val="•"/>
      <w:lvlJc w:val="left"/>
      <w:pPr>
        <w:ind w:left="5395" w:hanging="295"/>
      </w:pPr>
      <w:rPr>
        <w:rFonts w:hint="default"/>
      </w:rPr>
    </w:lvl>
    <w:lvl w:ilvl="6">
      <w:numFmt w:val="bullet"/>
      <w:lvlText w:val="•"/>
      <w:lvlJc w:val="left"/>
      <w:pPr>
        <w:ind w:left="6424" w:hanging="295"/>
      </w:pPr>
      <w:rPr>
        <w:rFonts w:hint="default"/>
      </w:rPr>
    </w:lvl>
    <w:lvl w:ilvl="7">
      <w:numFmt w:val="bullet"/>
      <w:lvlText w:val="•"/>
      <w:lvlJc w:val="left"/>
      <w:pPr>
        <w:ind w:left="7453" w:hanging="295"/>
      </w:pPr>
      <w:rPr>
        <w:rFonts w:hint="default"/>
      </w:rPr>
    </w:lvl>
    <w:lvl w:ilvl="8">
      <w:numFmt w:val="bullet"/>
      <w:lvlText w:val="•"/>
      <w:lvlJc w:val="left"/>
      <w:pPr>
        <w:ind w:left="8482" w:hanging="295"/>
      </w:pPr>
      <w:rPr>
        <w:rFonts w:hint="default"/>
      </w:rPr>
    </w:lvl>
  </w:abstractNum>
  <w:abstractNum w:abstractNumId="2" w15:restartNumberingAfterBreak="0">
    <w:nsid w:val="1A22495C"/>
    <w:multiLevelType w:val="hybridMultilevel"/>
    <w:tmpl w:val="2D3A7D28"/>
    <w:lvl w:ilvl="0" w:tplc="FE9AE184">
      <w:start w:val="1"/>
      <w:numFmt w:val="upperRoman"/>
      <w:lvlText w:val="%1."/>
      <w:lvlJc w:val="left"/>
      <w:pPr>
        <w:ind w:left="3926" w:hanging="205"/>
        <w:jc w:val="left"/>
      </w:pPr>
      <w:rPr>
        <w:rFonts w:ascii="Times New Roman" w:eastAsia="Times New Roman" w:hAnsi="Times New Roman" w:cs="Times New Roman" w:hint="default"/>
        <w:w w:val="107"/>
        <w:sz w:val="23"/>
        <w:szCs w:val="23"/>
      </w:rPr>
    </w:lvl>
    <w:lvl w:ilvl="1" w:tplc="0F8A8028">
      <w:start w:val="3"/>
      <w:numFmt w:val="upperRoman"/>
      <w:lvlText w:val="%2."/>
      <w:lvlJc w:val="left"/>
      <w:pPr>
        <w:ind w:left="4816" w:hanging="358"/>
        <w:jc w:val="right"/>
      </w:pPr>
      <w:rPr>
        <w:rFonts w:hint="default"/>
        <w:w w:val="107"/>
      </w:rPr>
    </w:lvl>
    <w:lvl w:ilvl="2" w:tplc="F06848F6">
      <w:numFmt w:val="bullet"/>
      <w:lvlText w:val="•"/>
      <w:lvlJc w:val="left"/>
      <w:pPr>
        <w:ind w:left="5455" w:hanging="358"/>
      </w:pPr>
      <w:rPr>
        <w:rFonts w:hint="default"/>
      </w:rPr>
    </w:lvl>
    <w:lvl w:ilvl="3" w:tplc="5B36817C">
      <w:numFmt w:val="bullet"/>
      <w:lvlText w:val="•"/>
      <w:lvlJc w:val="left"/>
      <w:pPr>
        <w:ind w:left="6091" w:hanging="358"/>
      </w:pPr>
      <w:rPr>
        <w:rFonts w:hint="default"/>
      </w:rPr>
    </w:lvl>
    <w:lvl w:ilvl="4" w:tplc="E6CEF30C">
      <w:numFmt w:val="bullet"/>
      <w:lvlText w:val="•"/>
      <w:lvlJc w:val="left"/>
      <w:pPr>
        <w:ind w:left="6726" w:hanging="358"/>
      </w:pPr>
      <w:rPr>
        <w:rFonts w:hint="default"/>
      </w:rPr>
    </w:lvl>
    <w:lvl w:ilvl="5" w:tplc="D5B63B62">
      <w:numFmt w:val="bullet"/>
      <w:lvlText w:val="•"/>
      <w:lvlJc w:val="left"/>
      <w:pPr>
        <w:ind w:left="7362" w:hanging="358"/>
      </w:pPr>
      <w:rPr>
        <w:rFonts w:hint="default"/>
      </w:rPr>
    </w:lvl>
    <w:lvl w:ilvl="6" w:tplc="7574627E">
      <w:numFmt w:val="bullet"/>
      <w:lvlText w:val="•"/>
      <w:lvlJc w:val="left"/>
      <w:pPr>
        <w:ind w:left="7997" w:hanging="358"/>
      </w:pPr>
      <w:rPr>
        <w:rFonts w:hint="default"/>
      </w:rPr>
    </w:lvl>
    <w:lvl w:ilvl="7" w:tplc="DF567EC6">
      <w:numFmt w:val="bullet"/>
      <w:lvlText w:val="•"/>
      <w:lvlJc w:val="left"/>
      <w:pPr>
        <w:ind w:left="8633" w:hanging="358"/>
      </w:pPr>
      <w:rPr>
        <w:rFonts w:hint="default"/>
      </w:rPr>
    </w:lvl>
    <w:lvl w:ilvl="8" w:tplc="D4AA0D86">
      <w:numFmt w:val="bullet"/>
      <w:lvlText w:val="•"/>
      <w:lvlJc w:val="left"/>
      <w:pPr>
        <w:ind w:left="9268" w:hanging="358"/>
      </w:pPr>
      <w:rPr>
        <w:rFonts w:hint="default"/>
      </w:rPr>
    </w:lvl>
  </w:abstractNum>
  <w:abstractNum w:abstractNumId="3" w15:restartNumberingAfterBreak="0">
    <w:nsid w:val="208B20C0"/>
    <w:multiLevelType w:val="hybridMultilevel"/>
    <w:tmpl w:val="4FFCFE6E"/>
    <w:lvl w:ilvl="0" w:tplc="9080EB6C">
      <w:start w:val="8"/>
      <w:numFmt w:val="upperRoman"/>
      <w:lvlText w:val="%1."/>
      <w:lvlJc w:val="left"/>
      <w:pPr>
        <w:ind w:left="3193" w:hanging="536"/>
        <w:jc w:val="right"/>
      </w:pPr>
      <w:rPr>
        <w:rFonts w:ascii="Times New Roman" w:eastAsia="Times New Roman" w:hAnsi="Times New Roman" w:cs="Times New Roman" w:hint="default"/>
        <w:spacing w:val="-1"/>
        <w:w w:val="104"/>
        <w:sz w:val="23"/>
        <w:szCs w:val="23"/>
      </w:rPr>
    </w:lvl>
    <w:lvl w:ilvl="1" w:tplc="41B05828">
      <w:numFmt w:val="bullet"/>
      <w:lvlText w:val="•"/>
      <w:lvlJc w:val="left"/>
      <w:pPr>
        <w:ind w:left="3934" w:hanging="536"/>
      </w:pPr>
      <w:rPr>
        <w:rFonts w:hint="default"/>
      </w:rPr>
    </w:lvl>
    <w:lvl w:ilvl="2" w:tplc="6AAA5944">
      <w:numFmt w:val="bullet"/>
      <w:lvlText w:val="•"/>
      <w:lvlJc w:val="left"/>
      <w:pPr>
        <w:ind w:left="4668" w:hanging="536"/>
      </w:pPr>
      <w:rPr>
        <w:rFonts w:hint="default"/>
      </w:rPr>
    </w:lvl>
    <w:lvl w:ilvl="3" w:tplc="DE364D5A">
      <w:numFmt w:val="bullet"/>
      <w:lvlText w:val="•"/>
      <w:lvlJc w:val="left"/>
      <w:pPr>
        <w:ind w:left="5402" w:hanging="536"/>
      </w:pPr>
      <w:rPr>
        <w:rFonts w:hint="default"/>
      </w:rPr>
    </w:lvl>
    <w:lvl w:ilvl="4" w:tplc="06F2B8C4">
      <w:numFmt w:val="bullet"/>
      <w:lvlText w:val="•"/>
      <w:lvlJc w:val="left"/>
      <w:pPr>
        <w:ind w:left="6136" w:hanging="536"/>
      </w:pPr>
      <w:rPr>
        <w:rFonts w:hint="default"/>
      </w:rPr>
    </w:lvl>
    <w:lvl w:ilvl="5" w:tplc="E41A6508">
      <w:numFmt w:val="bullet"/>
      <w:lvlText w:val="•"/>
      <w:lvlJc w:val="left"/>
      <w:pPr>
        <w:ind w:left="6870" w:hanging="536"/>
      </w:pPr>
      <w:rPr>
        <w:rFonts w:hint="default"/>
      </w:rPr>
    </w:lvl>
    <w:lvl w:ilvl="6" w:tplc="5268CBB2">
      <w:numFmt w:val="bullet"/>
      <w:lvlText w:val="•"/>
      <w:lvlJc w:val="left"/>
      <w:pPr>
        <w:ind w:left="7604" w:hanging="536"/>
      </w:pPr>
      <w:rPr>
        <w:rFonts w:hint="default"/>
      </w:rPr>
    </w:lvl>
    <w:lvl w:ilvl="7" w:tplc="10665652">
      <w:numFmt w:val="bullet"/>
      <w:lvlText w:val="•"/>
      <w:lvlJc w:val="left"/>
      <w:pPr>
        <w:ind w:left="8338" w:hanging="536"/>
      </w:pPr>
      <w:rPr>
        <w:rFonts w:hint="default"/>
      </w:rPr>
    </w:lvl>
    <w:lvl w:ilvl="8" w:tplc="DB307098">
      <w:numFmt w:val="bullet"/>
      <w:lvlText w:val="•"/>
      <w:lvlJc w:val="left"/>
      <w:pPr>
        <w:ind w:left="9072" w:hanging="536"/>
      </w:pPr>
      <w:rPr>
        <w:rFonts w:hint="default"/>
      </w:rPr>
    </w:lvl>
  </w:abstractNum>
  <w:abstractNum w:abstractNumId="4" w15:restartNumberingAfterBreak="0">
    <w:nsid w:val="2CD949F3"/>
    <w:multiLevelType w:val="multilevel"/>
    <w:tmpl w:val="91A62936"/>
    <w:lvl w:ilvl="0">
      <w:start w:val="2"/>
      <w:numFmt w:val="decimal"/>
      <w:lvlText w:val="%1"/>
      <w:lvlJc w:val="left"/>
      <w:pPr>
        <w:ind w:left="149" w:hanging="456"/>
        <w:jc w:val="left"/>
      </w:pPr>
      <w:rPr>
        <w:rFonts w:hint="default"/>
      </w:rPr>
    </w:lvl>
    <w:lvl w:ilvl="1">
      <w:start w:val="1"/>
      <w:numFmt w:val="decimal"/>
      <w:lvlText w:val="%1.%2."/>
      <w:lvlJc w:val="left"/>
      <w:pPr>
        <w:ind w:left="149" w:hanging="456"/>
        <w:jc w:val="left"/>
      </w:pPr>
      <w:rPr>
        <w:rFonts w:ascii="Times New Roman" w:eastAsia="Times New Roman" w:hAnsi="Times New Roman" w:cs="Times New Roman" w:hint="default"/>
        <w:w w:val="105"/>
        <w:sz w:val="23"/>
        <w:szCs w:val="23"/>
      </w:rPr>
    </w:lvl>
    <w:lvl w:ilvl="2">
      <w:numFmt w:val="bullet"/>
      <w:lvlText w:val="•"/>
      <w:lvlJc w:val="left"/>
      <w:pPr>
        <w:ind w:left="2220" w:hanging="456"/>
      </w:pPr>
      <w:rPr>
        <w:rFonts w:hint="default"/>
      </w:rPr>
    </w:lvl>
    <w:lvl w:ilvl="3">
      <w:numFmt w:val="bullet"/>
      <w:lvlText w:val="•"/>
      <w:lvlJc w:val="left"/>
      <w:pPr>
        <w:ind w:left="3260" w:hanging="456"/>
      </w:pPr>
      <w:rPr>
        <w:rFonts w:hint="default"/>
      </w:rPr>
    </w:lvl>
    <w:lvl w:ilvl="4">
      <w:numFmt w:val="bullet"/>
      <w:lvlText w:val="•"/>
      <w:lvlJc w:val="left"/>
      <w:pPr>
        <w:ind w:left="4300" w:hanging="456"/>
      </w:pPr>
      <w:rPr>
        <w:rFonts w:hint="default"/>
      </w:rPr>
    </w:lvl>
    <w:lvl w:ilvl="5">
      <w:numFmt w:val="bullet"/>
      <w:lvlText w:val="•"/>
      <w:lvlJc w:val="left"/>
      <w:pPr>
        <w:ind w:left="5340" w:hanging="456"/>
      </w:pPr>
      <w:rPr>
        <w:rFonts w:hint="default"/>
      </w:rPr>
    </w:lvl>
    <w:lvl w:ilvl="6">
      <w:numFmt w:val="bullet"/>
      <w:lvlText w:val="•"/>
      <w:lvlJc w:val="left"/>
      <w:pPr>
        <w:ind w:left="6380" w:hanging="456"/>
      </w:pPr>
      <w:rPr>
        <w:rFonts w:hint="default"/>
      </w:rPr>
    </w:lvl>
    <w:lvl w:ilvl="7">
      <w:numFmt w:val="bullet"/>
      <w:lvlText w:val="•"/>
      <w:lvlJc w:val="left"/>
      <w:pPr>
        <w:ind w:left="7420" w:hanging="456"/>
      </w:pPr>
      <w:rPr>
        <w:rFonts w:hint="default"/>
      </w:rPr>
    </w:lvl>
    <w:lvl w:ilvl="8">
      <w:numFmt w:val="bullet"/>
      <w:lvlText w:val="•"/>
      <w:lvlJc w:val="left"/>
      <w:pPr>
        <w:ind w:left="8460" w:hanging="456"/>
      </w:pPr>
      <w:rPr>
        <w:rFonts w:hint="default"/>
      </w:rPr>
    </w:lvl>
  </w:abstractNum>
  <w:abstractNum w:abstractNumId="5" w15:restartNumberingAfterBreak="0">
    <w:nsid w:val="40F95954"/>
    <w:multiLevelType w:val="multilevel"/>
    <w:tmpl w:val="8918D502"/>
    <w:lvl w:ilvl="0">
      <w:start w:val="5"/>
      <w:numFmt w:val="decimal"/>
      <w:lvlText w:val="%1"/>
      <w:lvlJc w:val="left"/>
      <w:pPr>
        <w:ind w:left="654" w:hanging="416"/>
        <w:jc w:val="left"/>
      </w:pPr>
      <w:rPr>
        <w:rFonts w:hint="default"/>
      </w:rPr>
    </w:lvl>
    <w:lvl w:ilvl="1">
      <w:start w:val="1"/>
      <w:numFmt w:val="decimal"/>
      <w:lvlText w:val="%1.%2."/>
      <w:lvlJc w:val="left"/>
      <w:pPr>
        <w:ind w:left="654" w:hanging="416"/>
        <w:jc w:val="left"/>
      </w:pPr>
      <w:rPr>
        <w:rFonts w:ascii="Times New Roman" w:eastAsia="Times New Roman" w:hAnsi="Times New Roman" w:cs="Times New Roman" w:hint="default"/>
        <w:w w:val="107"/>
        <w:sz w:val="23"/>
        <w:szCs w:val="23"/>
      </w:rPr>
    </w:lvl>
    <w:lvl w:ilvl="2">
      <w:numFmt w:val="bullet"/>
      <w:lvlText w:val="•"/>
      <w:lvlJc w:val="left"/>
      <w:pPr>
        <w:ind w:left="2636" w:hanging="416"/>
      </w:pPr>
      <w:rPr>
        <w:rFonts w:hint="default"/>
      </w:rPr>
    </w:lvl>
    <w:lvl w:ilvl="3">
      <w:numFmt w:val="bullet"/>
      <w:lvlText w:val="•"/>
      <w:lvlJc w:val="left"/>
      <w:pPr>
        <w:ind w:left="3624" w:hanging="416"/>
      </w:pPr>
      <w:rPr>
        <w:rFonts w:hint="default"/>
      </w:rPr>
    </w:lvl>
    <w:lvl w:ilvl="4">
      <w:numFmt w:val="bullet"/>
      <w:lvlText w:val="•"/>
      <w:lvlJc w:val="left"/>
      <w:pPr>
        <w:ind w:left="4612" w:hanging="416"/>
      </w:pPr>
      <w:rPr>
        <w:rFonts w:hint="default"/>
      </w:rPr>
    </w:lvl>
    <w:lvl w:ilvl="5">
      <w:numFmt w:val="bullet"/>
      <w:lvlText w:val="•"/>
      <w:lvlJc w:val="left"/>
      <w:pPr>
        <w:ind w:left="5600" w:hanging="416"/>
      </w:pPr>
      <w:rPr>
        <w:rFonts w:hint="default"/>
      </w:rPr>
    </w:lvl>
    <w:lvl w:ilvl="6">
      <w:numFmt w:val="bullet"/>
      <w:lvlText w:val="•"/>
      <w:lvlJc w:val="left"/>
      <w:pPr>
        <w:ind w:left="6588" w:hanging="416"/>
      </w:pPr>
      <w:rPr>
        <w:rFonts w:hint="default"/>
      </w:rPr>
    </w:lvl>
    <w:lvl w:ilvl="7">
      <w:numFmt w:val="bullet"/>
      <w:lvlText w:val="•"/>
      <w:lvlJc w:val="left"/>
      <w:pPr>
        <w:ind w:left="7576" w:hanging="416"/>
      </w:pPr>
      <w:rPr>
        <w:rFonts w:hint="default"/>
      </w:rPr>
    </w:lvl>
    <w:lvl w:ilvl="8">
      <w:numFmt w:val="bullet"/>
      <w:lvlText w:val="•"/>
      <w:lvlJc w:val="left"/>
      <w:pPr>
        <w:ind w:left="8564" w:hanging="416"/>
      </w:pPr>
      <w:rPr>
        <w:rFonts w:hint="default"/>
      </w:rPr>
    </w:lvl>
  </w:abstractNum>
  <w:abstractNum w:abstractNumId="6" w15:restartNumberingAfterBreak="0">
    <w:nsid w:val="603F17C8"/>
    <w:multiLevelType w:val="multilevel"/>
    <w:tmpl w:val="46F48586"/>
    <w:lvl w:ilvl="0">
      <w:start w:val="9"/>
      <w:numFmt w:val="decimal"/>
      <w:lvlText w:val="%1"/>
      <w:lvlJc w:val="left"/>
      <w:pPr>
        <w:ind w:left="108" w:hanging="399"/>
        <w:jc w:val="left"/>
      </w:pPr>
      <w:rPr>
        <w:rFonts w:hint="default"/>
      </w:rPr>
    </w:lvl>
    <w:lvl w:ilvl="1">
      <w:start w:val="1"/>
      <w:numFmt w:val="decimal"/>
      <w:lvlText w:val="%1.%2"/>
      <w:lvlJc w:val="left"/>
      <w:pPr>
        <w:ind w:left="108" w:hanging="399"/>
        <w:jc w:val="right"/>
      </w:pPr>
      <w:rPr>
        <w:rFonts w:hint="default"/>
        <w:w w:val="108"/>
      </w:rPr>
    </w:lvl>
    <w:lvl w:ilvl="2">
      <w:numFmt w:val="bullet"/>
      <w:lvlText w:val="•"/>
      <w:lvlJc w:val="left"/>
      <w:pPr>
        <w:ind w:left="2188" w:hanging="399"/>
      </w:pPr>
      <w:rPr>
        <w:rFonts w:hint="default"/>
      </w:rPr>
    </w:lvl>
    <w:lvl w:ilvl="3">
      <w:numFmt w:val="bullet"/>
      <w:lvlText w:val="•"/>
      <w:lvlJc w:val="left"/>
      <w:pPr>
        <w:ind w:left="3232" w:hanging="399"/>
      </w:pPr>
      <w:rPr>
        <w:rFonts w:hint="default"/>
      </w:rPr>
    </w:lvl>
    <w:lvl w:ilvl="4">
      <w:numFmt w:val="bullet"/>
      <w:lvlText w:val="•"/>
      <w:lvlJc w:val="left"/>
      <w:pPr>
        <w:ind w:left="4276" w:hanging="399"/>
      </w:pPr>
      <w:rPr>
        <w:rFonts w:hint="default"/>
      </w:rPr>
    </w:lvl>
    <w:lvl w:ilvl="5">
      <w:numFmt w:val="bullet"/>
      <w:lvlText w:val="•"/>
      <w:lvlJc w:val="left"/>
      <w:pPr>
        <w:ind w:left="5320" w:hanging="399"/>
      </w:pPr>
      <w:rPr>
        <w:rFonts w:hint="default"/>
      </w:rPr>
    </w:lvl>
    <w:lvl w:ilvl="6">
      <w:numFmt w:val="bullet"/>
      <w:lvlText w:val="•"/>
      <w:lvlJc w:val="left"/>
      <w:pPr>
        <w:ind w:left="6364" w:hanging="399"/>
      </w:pPr>
      <w:rPr>
        <w:rFonts w:hint="default"/>
      </w:rPr>
    </w:lvl>
    <w:lvl w:ilvl="7">
      <w:numFmt w:val="bullet"/>
      <w:lvlText w:val="•"/>
      <w:lvlJc w:val="left"/>
      <w:pPr>
        <w:ind w:left="7408" w:hanging="399"/>
      </w:pPr>
      <w:rPr>
        <w:rFonts w:hint="default"/>
      </w:rPr>
    </w:lvl>
    <w:lvl w:ilvl="8">
      <w:numFmt w:val="bullet"/>
      <w:lvlText w:val="•"/>
      <w:lvlJc w:val="left"/>
      <w:pPr>
        <w:ind w:left="8452" w:hanging="399"/>
      </w:pPr>
      <w:rPr>
        <w:rFonts w:hint="default"/>
      </w:rPr>
    </w:lvl>
  </w:abstractNum>
  <w:abstractNum w:abstractNumId="7" w15:restartNumberingAfterBreak="0">
    <w:nsid w:val="647B7C67"/>
    <w:multiLevelType w:val="multilevel"/>
    <w:tmpl w:val="DE4A623A"/>
    <w:lvl w:ilvl="0">
      <w:start w:val="4"/>
      <w:numFmt w:val="decimal"/>
      <w:lvlText w:val="%1"/>
      <w:lvlJc w:val="left"/>
      <w:pPr>
        <w:ind w:left="116" w:hanging="430"/>
        <w:jc w:val="left"/>
      </w:pPr>
      <w:rPr>
        <w:rFonts w:hint="default"/>
      </w:rPr>
    </w:lvl>
    <w:lvl w:ilvl="1">
      <w:start w:val="1"/>
      <w:numFmt w:val="decimal"/>
      <w:lvlText w:val="%1.%2."/>
      <w:lvlJc w:val="left"/>
      <w:pPr>
        <w:ind w:left="116" w:hanging="430"/>
        <w:jc w:val="left"/>
      </w:pPr>
      <w:rPr>
        <w:rFonts w:ascii="Times New Roman" w:eastAsia="Times New Roman" w:hAnsi="Times New Roman" w:cs="Times New Roman" w:hint="default"/>
        <w:w w:val="104"/>
        <w:sz w:val="23"/>
        <w:szCs w:val="23"/>
      </w:rPr>
    </w:lvl>
    <w:lvl w:ilvl="2">
      <w:numFmt w:val="bullet"/>
      <w:lvlText w:val="•"/>
      <w:lvlJc w:val="left"/>
      <w:pPr>
        <w:ind w:left="2204" w:hanging="430"/>
      </w:pPr>
      <w:rPr>
        <w:rFonts w:hint="default"/>
      </w:rPr>
    </w:lvl>
    <w:lvl w:ilvl="3">
      <w:numFmt w:val="bullet"/>
      <w:lvlText w:val="•"/>
      <w:lvlJc w:val="left"/>
      <w:pPr>
        <w:ind w:left="3246" w:hanging="430"/>
      </w:pPr>
      <w:rPr>
        <w:rFonts w:hint="default"/>
      </w:rPr>
    </w:lvl>
    <w:lvl w:ilvl="4">
      <w:numFmt w:val="bullet"/>
      <w:lvlText w:val="•"/>
      <w:lvlJc w:val="left"/>
      <w:pPr>
        <w:ind w:left="4288" w:hanging="430"/>
      </w:pPr>
      <w:rPr>
        <w:rFonts w:hint="default"/>
      </w:rPr>
    </w:lvl>
    <w:lvl w:ilvl="5">
      <w:numFmt w:val="bullet"/>
      <w:lvlText w:val="•"/>
      <w:lvlJc w:val="left"/>
      <w:pPr>
        <w:ind w:left="5330" w:hanging="430"/>
      </w:pPr>
      <w:rPr>
        <w:rFonts w:hint="default"/>
      </w:rPr>
    </w:lvl>
    <w:lvl w:ilvl="6">
      <w:numFmt w:val="bullet"/>
      <w:lvlText w:val="•"/>
      <w:lvlJc w:val="left"/>
      <w:pPr>
        <w:ind w:left="6372" w:hanging="430"/>
      </w:pPr>
      <w:rPr>
        <w:rFonts w:hint="default"/>
      </w:rPr>
    </w:lvl>
    <w:lvl w:ilvl="7">
      <w:numFmt w:val="bullet"/>
      <w:lvlText w:val="•"/>
      <w:lvlJc w:val="left"/>
      <w:pPr>
        <w:ind w:left="7414" w:hanging="430"/>
      </w:pPr>
      <w:rPr>
        <w:rFonts w:hint="default"/>
      </w:rPr>
    </w:lvl>
    <w:lvl w:ilvl="8">
      <w:numFmt w:val="bullet"/>
      <w:lvlText w:val="•"/>
      <w:lvlJc w:val="left"/>
      <w:pPr>
        <w:ind w:left="8456" w:hanging="430"/>
      </w:pPr>
      <w:rPr>
        <w:rFonts w:hint="default"/>
      </w:rPr>
    </w:lvl>
  </w:abstractNum>
  <w:abstractNum w:abstractNumId="8" w15:restartNumberingAfterBreak="0">
    <w:nsid w:val="76626AC5"/>
    <w:multiLevelType w:val="multilevel"/>
    <w:tmpl w:val="CAFCC584"/>
    <w:lvl w:ilvl="0">
      <w:start w:val="6"/>
      <w:numFmt w:val="decimal"/>
      <w:lvlText w:val="%1"/>
      <w:lvlJc w:val="left"/>
      <w:pPr>
        <w:ind w:left="209" w:hanging="432"/>
        <w:jc w:val="left"/>
      </w:pPr>
      <w:rPr>
        <w:rFonts w:hint="default"/>
      </w:rPr>
    </w:lvl>
    <w:lvl w:ilvl="1">
      <w:start w:val="1"/>
      <w:numFmt w:val="decimal"/>
      <w:lvlText w:val="%1.%2."/>
      <w:lvlJc w:val="left"/>
      <w:pPr>
        <w:ind w:left="209" w:hanging="432"/>
        <w:jc w:val="left"/>
      </w:pPr>
      <w:rPr>
        <w:rFonts w:ascii="Times New Roman" w:eastAsia="Times New Roman" w:hAnsi="Times New Roman" w:cs="Times New Roman" w:hint="default"/>
        <w:w w:val="106"/>
        <w:sz w:val="23"/>
        <w:szCs w:val="23"/>
      </w:rPr>
    </w:lvl>
    <w:lvl w:ilvl="2">
      <w:numFmt w:val="bullet"/>
      <w:lvlText w:val="•"/>
      <w:lvlJc w:val="left"/>
      <w:pPr>
        <w:ind w:left="2268" w:hanging="432"/>
      </w:pPr>
      <w:rPr>
        <w:rFonts w:hint="default"/>
      </w:rPr>
    </w:lvl>
    <w:lvl w:ilvl="3">
      <w:numFmt w:val="bullet"/>
      <w:lvlText w:val="•"/>
      <w:lvlJc w:val="left"/>
      <w:pPr>
        <w:ind w:left="3302" w:hanging="432"/>
      </w:pPr>
      <w:rPr>
        <w:rFonts w:hint="default"/>
      </w:rPr>
    </w:lvl>
    <w:lvl w:ilvl="4">
      <w:numFmt w:val="bullet"/>
      <w:lvlText w:val="•"/>
      <w:lvlJc w:val="left"/>
      <w:pPr>
        <w:ind w:left="4336" w:hanging="432"/>
      </w:pPr>
      <w:rPr>
        <w:rFonts w:hint="default"/>
      </w:rPr>
    </w:lvl>
    <w:lvl w:ilvl="5">
      <w:numFmt w:val="bullet"/>
      <w:lvlText w:val="•"/>
      <w:lvlJc w:val="left"/>
      <w:pPr>
        <w:ind w:left="5370" w:hanging="432"/>
      </w:pPr>
      <w:rPr>
        <w:rFonts w:hint="default"/>
      </w:rPr>
    </w:lvl>
    <w:lvl w:ilvl="6">
      <w:numFmt w:val="bullet"/>
      <w:lvlText w:val="•"/>
      <w:lvlJc w:val="left"/>
      <w:pPr>
        <w:ind w:left="6404" w:hanging="432"/>
      </w:pPr>
      <w:rPr>
        <w:rFonts w:hint="default"/>
      </w:rPr>
    </w:lvl>
    <w:lvl w:ilvl="7">
      <w:numFmt w:val="bullet"/>
      <w:lvlText w:val="•"/>
      <w:lvlJc w:val="left"/>
      <w:pPr>
        <w:ind w:left="7438" w:hanging="432"/>
      </w:pPr>
      <w:rPr>
        <w:rFonts w:hint="default"/>
      </w:rPr>
    </w:lvl>
    <w:lvl w:ilvl="8">
      <w:numFmt w:val="bullet"/>
      <w:lvlText w:val="•"/>
      <w:lvlJc w:val="left"/>
      <w:pPr>
        <w:ind w:left="8472" w:hanging="432"/>
      </w:pPr>
      <w:rPr>
        <w:rFonts w:hint="default"/>
      </w:rPr>
    </w:lvl>
  </w:abstractNum>
  <w:abstractNum w:abstractNumId="9" w15:restartNumberingAfterBreak="0">
    <w:nsid w:val="7898201F"/>
    <w:multiLevelType w:val="multilevel"/>
    <w:tmpl w:val="DDE083B6"/>
    <w:lvl w:ilvl="0">
      <w:start w:val="7"/>
      <w:numFmt w:val="decimal"/>
      <w:lvlText w:val="%1"/>
      <w:lvlJc w:val="left"/>
      <w:pPr>
        <w:ind w:left="152" w:hanging="409"/>
        <w:jc w:val="left"/>
      </w:pPr>
      <w:rPr>
        <w:rFonts w:hint="default"/>
      </w:rPr>
    </w:lvl>
    <w:lvl w:ilvl="1">
      <w:start w:val="1"/>
      <w:numFmt w:val="decimal"/>
      <w:lvlText w:val="%1.%2"/>
      <w:lvlJc w:val="left"/>
      <w:pPr>
        <w:ind w:left="152" w:hanging="409"/>
        <w:jc w:val="left"/>
      </w:pPr>
      <w:rPr>
        <w:rFonts w:hint="default"/>
        <w:w w:val="98"/>
      </w:rPr>
    </w:lvl>
    <w:lvl w:ilvl="2">
      <w:numFmt w:val="bullet"/>
      <w:lvlText w:val="•"/>
      <w:lvlJc w:val="left"/>
      <w:pPr>
        <w:ind w:left="2236" w:hanging="409"/>
      </w:pPr>
      <w:rPr>
        <w:rFonts w:hint="default"/>
      </w:rPr>
    </w:lvl>
    <w:lvl w:ilvl="3">
      <w:numFmt w:val="bullet"/>
      <w:lvlText w:val="•"/>
      <w:lvlJc w:val="left"/>
      <w:pPr>
        <w:ind w:left="3274" w:hanging="409"/>
      </w:pPr>
      <w:rPr>
        <w:rFonts w:hint="default"/>
      </w:rPr>
    </w:lvl>
    <w:lvl w:ilvl="4">
      <w:numFmt w:val="bullet"/>
      <w:lvlText w:val="•"/>
      <w:lvlJc w:val="left"/>
      <w:pPr>
        <w:ind w:left="4312" w:hanging="409"/>
      </w:pPr>
      <w:rPr>
        <w:rFonts w:hint="default"/>
      </w:rPr>
    </w:lvl>
    <w:lvl w:ilvl="5">
      <w:numFmt w:val="bullet"/>
      <w:lvlText w:val="•"/>
      <w:lvlJc w:val="left"/>
      <w:pPr>
        <w:ind w:left="5350" w:hanging="409"/>
      </w:pPr>
      <w:rPr>
        <w:rFonts w:hint="default"/>
      </w:rPr>
    </w:lvl>
    <w:lvl w:ilvl="6">
      <w:numFmt w:val="bullet"/>
      <w:lvlText w:val="•"/>
      <w:lvlJc w:val="left"/>
      <w:pPr>
        <w:ind w:left="6388" w:hanging="409"/>
      </w:pPr>
      <w:rPr>
        <w:rFonts w:hint="default"/>
      </w:rPr>
    </w:lvl>
    <w:lvl w:ilvl="7">
      <w:numFmt w:val="bullet"/>
      <w:lvlText w:val="•"/>
      <w:lvlJc w:val="left"/>
      <w:pPr>
        <w:ind w:left="7426" w:hanging="409"/>
      </w:pPr>
      <w:rPr>
        <w:rFonts w:hint="default"/>
      </w:rPr>
    </w:lvl>
    <w:lvl w:ilvl="8">
      <w:numFmt w:val="bullet"/>
      <w:lvlText w:val="•"/>
      <w:lvlJc w:val="left"/>
      <w:pPr>
        <w:ind w:left="8464" w:hanging="409"/>
      </w:pPr>
      <w:rPr>
        <w:rFonts w:hint="default"/>
      </w:rPr>
    </w:lvl>
  </w:abstractNum>
  <w:num w:numId="1">
    <w:abstractNumId w:val="0"/>
  </w:num>
  <w:num w:numId="2">
    <w:abstractNumId w:val="6"/>
  </w:num>
  <w:num w:numId="3">
    <w:abstractNumId w:val="1"/>
  </w:num>
  <w:num w:numId="4">
    <w:abstractNumId w:val="3"/>
  </w:num>
  <w:num w:numId="5">
    <w:abstractNumId w:val="9"/>
  </w:num>
  <w:num w:numId="6">
    <w:abstractNumId w:val="8"/>
  </w:num>
  <w:num w:numId="7">
    <w:abstractNumId w:val="5"/>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6E"/>
    <w:rsid w:val="0050108F"/>
    <w:rsid w:val="007A406E"/>
    <w:rsid w:val="00C463F2"/>
    <w:rsid w:val="00C947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9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50108F"/>
    <w:rPr>
      <w:rFonts w:ascii="Times New Roman" w:eastAsia="Times New Roman" w:hAnsi="Times New Roman" w:cs="Times New Roman"/>
    </w:rPr>
  </w:style>
  <w:style w:type="paragraph" w:styleId="Nadpis1">
    <w:name w:val="heading 1"/>
    <w:basedOn w:val="Normln"/>
    <w:uiPriority w:val="1"/>
    <w:qFormat/>
    <w:pPr>
      <w:ind w:left="175"/>
      <w:outlineLvl w:val="0"/>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3"/>
      <w:szCs w:val="23"/>
    </w:rPr>
  </w:style>
  <w:style w:type="paragraph" w:styleId="Odstavecseseznamem">
    <w:name w:val="List Paragraph"/>
    <w:basedOn w:val="Normln"/>
    <w:uiPriority w:val="1"/>
    <w:qFormat/>
    <w:pPr>
      <w:ind w:left="149" w:firstLine="7"/>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C463F2"/>
    <w:pPr>
      <w:tabs>
        <w:tab w:val="center" w:pos="4536"/>
        <w:tab w:val="right" w:pos="9072"/>
      </w:tabs>
    </w:pPr>
  </w:style>
  <w:style w:type="character" w:customStyle="1" w:styleId="ZhlavChar">
    <w:name w:val="Záhlaví Char"/>
    <w:basedOn w:val="Standardnpsmoodstavce"/>
    <w:link w:val="Zhlav"/>
    <w:uiPriority w:val="99"/>
    <w:rsid w:val="00C463F2"/>
    <w:rPr>
      <w:rFonts w:ascii="Times New Roman" w:eastAsia="Times New Roman" w:hAnsi="Times New Roman" w:cs="Times New Roman"/>
    </w:rPr>
  </w:style>
  <w:style w:type="paragraph" w:styleId="Zpat">
    <w:name w:val="footer"/>
    <w:basedOn w:val="Normln"/>
    <w:link w:val="ZpatChar"/>
    <w:uiPriority w:val="99"/>
    <w:unhideWhenUsed/>
    <w:rsid w:val="00C463F2"/>
    <w:pPr>
      <w:tabs>
        <w:tab w:val="center" w:pos="4536"/>
        <w:tab w:val="right" w:pos="9072"/>
      </w:tabs>
    </w:pPr>
  </w:style>
  <w:style w:type="character" w:customStyle="1" w:styleId="ZpatChar">
    <w:name w:val="Zápatí Char"/>
    <w:basedOn w:val="Standardnpsmoodstavce"/>
    <w:link w:val="Zpat"/>
    <w:uiPriority w:val="99"/>
    <w:rsid w:val="00C463F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9586</Characters>
  <Application>Microsoft Office Word</Application>
  <DocSecurity>0</DocSecurity>
  <Lines>79</Lines>
  <Paragraphs>22</Paragraphs>
  <ScaleCrop>false</ScaleCrop>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2023-03-03T16:07:00Z</dcterms:created>
  <dcterms:modified xsi:type="dcterms:W3CDTF">2023-03-03T16:07:00Z</dcterms:modified>
</cp:coreProperties>
</file>