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MultiBoard s.r.o.</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Ocelářská 1354/35, Libeň, 190 00 Praha 9</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04565240</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Jméno a příjmení: Mgr. Martina Pospíšilová</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jednatel</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Mnichovo Hradiště, Mírová 683, příspěvková organizace</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Mnichovo Hradiště, Mírová 683</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70989001</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LENKA DUTKOVÁ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672 vedená u Městského soudu v Praze</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25.13385826771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5.133858267718"/>
        <w:tblGridChange w:id="0">
          <w:tblGrid>
            <w:gridCol w:w="10225.133858267718"/>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right="-124.60629921259908" w:hanging="360"/>
              <w:jc w:val="both"/>
              <w:rPr>
                <w:sz w:val="20"/>
                <w:szCs w:val="20"/>
                <w:u w:val="none"/>
              </w:rPr>
            </w:pPr>
            <w:r w:rsidDel="00000000" w:rsidR="00000000" w:rsidRPr="00000000">
              <w:rPr>
                <w:sz w:val="20"/>
                <w:szCs w:val="20"/>
                <w:rtl w:val="0"/>
              </w:rPr>
              <w:t xml:space="preserve">Interaktivní displej 65” | Ultra HD (4K) | 20 současných dotyků, s příslušenstvím (dále jen “Předmět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             koupě 1”);</w:t>
            </w:r>
          </w:p>
          <w:p w:rsidR="00000000" w:rsidDel="00000000" w:rsidP="00000000" w:rsidRDefault="00000000" w:rsidRPr="00000000" w14:paraId="0000002E">
            <w:pPr>
              <w:numPr>
                <w:ilvl w:val="0"/>
                <w:numId w:val="1"/>
              </w:numPr>
              <w:spacing w:line="276" w:lineRule="auto"/>
              <w:ind w:left="720" w:right="-124.60629921259908" w:hanging="360"/>
              <w:jc w:val="both"/>
              <w:rPr>
                <w:sz w:val="20"/>
                <w:szCs w:val="20"/>
              </w:rPr>
            </w:pPr>
            <w:r w:rsidDel="00000000" w:rsidR="00000000" w:rsidRPr="00000000">
              <w:rPr>
                <w:sz w:val="20"/>
                <w:szCs w:val="20"/>
                <w:rtl w:val="0"/>
              </w:rPr>
              <w:t xml:space="preserve">Bezdrátová klávesnice s myší | Přepěťová ochrana (dále jen ¨Předmět koupě 2”);</w:t>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right="-124.60629921259908" w:hanging="360"/>
              <w:jc w:val="both"/>
              <w:rPr>
                <w:sz w:val="20"/>
                <w:szCs w:val="20"/>
                <w:u w:val="none"/>
              </w:rPr>
            </w:pPr>
            <w:r w:rsidDel="00000000" w:rsidR="00000000" w:rsidRPr="00000000">
              <w:rPr>
                <w:sz w:val="20"/>
                <w:szCs w:val="20"/>
                <w:rtl w:val="0"/>
              </w:rPr>
              <w:t xml:space="preserve">Počítač Windows | Intel® Core™ i5 | 8 GB | 240 GB SSD | Wi-Fi | OS Windows 10 Pro (dále jen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             “Předmět koupě 3”);</w:t>
            </w:r>
          </w:p>
          <w:p w:rsidR="00000000" w:rsidDel="00000000" w:rsidP="00000000" w:rsidRDefault="00000000" w:rsidRPr="00000000" w14:paraId="00000031">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right="-124.60629921259908" w:hanging="360"/>
              <w:jc w:val="both"/>
              <w:rPr>
                <w:sz w:val="20"/>
                <w:szCs w:val="20"/>
                <w:u w:val="none"/>
              </w:rPr>
            </w:pPr>
            <w:r w:rsidDel="00000000" w:rsidR="00000000" w:rsidRPr="00000000">
              <w:rPr>
                <w:sz w:val="20"/>
                <w:szCs w:val="20"/>
                <w:rtl w:val="0"/>
              </w:rPr>
              <w:t xml:space="preserve">Multifunkční elektrický stojan (dále jen “Předmět koupě 4”);</w:t>
            </w:r>
          </w:p>
          <w:p w:rsidR="00000000" w:rsidDel="00000000" w:rsidP="00000000" w:rsidRDefault="00000000" w:rsidRPr="00000000" w14:paraId="00000032">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right="-124.60629921259908" w:hanging="360"/>
              <w:jc w:val="both"/>
              <w:rPr>
                <w:sz w:val="20"/>
                <w:szCs w:val="20"/>
                <w:u w:val="none"/>
              </w:rPr>
            </w:pPr>
            <w:r w:rsidDel="00000000" w:rsidR="00000000" w:rsidRPr="00000000">
              <w:rPr>
                <w:sz w:val="20"/>
                <w:szCs w:val="20"/>
                <w:rtl w:val="0"/>
              </w:rPr>
              <w:t xml:space="preserve">Keramická, oboustranně popisovatelná tabule (2 ks) (dále jen “Předmět koupě 5)”;</w:t>
            </w:r>
          </w:p>
          <w:p w:rsidR="00000000" w:rsidDel="00000000" w:rsidP="00000000" w:rsidRDefault="00000000" w:rsidRPr="00000000" w14:paraId="00000033">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right="-124.60629921259908" w:hanging="360"/>
              <w:jc w:val="both"/>
              <w:rPr>
                <w:sz w:val="20"/>
                <w:szCs w:val="20"/>
                <w:u w:val="none"/>
              </w:rPr>
            </w:pPr>
            <w:r w:rsidDel="00000000" w:rsidR="00000000" w:rsidRPr="00000000">
              <w:rPr>
                <w:sz w:val="20"/>
                <w:szCs w:val="20"/>
                <w:rtl w:val="0"/>
              </w:rPr>
              <w:t xml:space="preserve">EasiNote - SW pro kreslení a vytváření vlastních úloh (dále jen “Předmět koupě 6”);</w:t>
            </w:r>
          </w:p>
          <w:p w:rsidR="00000000" w:rsidDel="00000000" w:rsidP="00000000" w:rsidRDefault="00000000" w:rsidRPr="00000000" w14:paraId="00000034">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right="-124.60629921259908" w:hanging="360"/>
              <w:jc w:val="both"/>
              <w:rPr>
                <w:sz w:val="20"/>
                <w:szCs w:val="20"/>
                <w:u w:val="none"/>
              </w:rPr>
            </w:pPr>
            <w:r w:rsidDel="00000000" w:rsidR="00000000" w:rsidRPr="00000000">
              <w:rPr>
                <w:sz w:val="20"/>
                <w:szCs w:val="20"/>
                <w:rtl w:val="0"/>
              </w:rPr>
              <w:t xml:space="preserve">Barevné kamínky - iŠkolička (dále jen “Předmět koupě 7”).</w:t>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(Předmět koupě 1, Předmět koupě 2, Předmět koupě 3, Předmět koupě 4, Předmět koupě 5, Předmět koupě 6, Předmět koupě 7 dále společně také jen „Předměty koupě“). Kupující má zájem Předměty koupě od Prodávajícího za jednotlivé kupní ceny níže uvedené koupit a Prodávající má zájem za uvedené kupní ceny Předměty koupě Kupujícímu prodat.</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ceny</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kupních cenách za jednotlivé Předměty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76" w:lineRule="auto"/>
              <w:ind w:right="-109.60629921259908"/>
              <w:jc w:val="both"/>
              <w:rPr>
                <w:sz w:val="20"/>
                <w:szCs w:val="20"/>
              </w:rPr>
            </w:pPr>
            <w:r w:rsidDel="00000000" w:rsidR="00000000" w:rsidRPr="00000000">
              <w:rPr>
                <w:sz w:val="20"/>
                <w:szCs w:val="20"/>
                <w:rtl w:val="0"/>
              </w:rPr>
              <w:t xml:space="preserve">32.893 Kč (třicet dva tisíc osm set devadesát tři korun českých) dohromady za Předmět koupě 1 a Předmět  koupě 2</w:t>
            </w:r>
          </w:p>
        </w:tc>
      </w:tr>
    </w:tbl>
    <w:p w:rsidR="00000000" w:rsidDel="00000000" w:rsidP="00000000" w:rsidRDefault="00000000" w:rsidRPr="00000000" w14:paraId="0000003B">
      <w:pPr>
        <w:spacing w:line="276" w:lineRule="auto"/>
        <w:jc w:val="both"/>
        <w:rPr>
          <w:sz w:val="20"/>
          <w:szCs w:val="20"/>
        </w:rPr>
      </w:pPr>
      <w:r w:rsidDel="00000000" w:rsidR="00000000" w:rsidRPr="00000000">
        <w:rPr>
          <w:sz w:val="20"/>
          <w:szCs w:val="20"/>
          <w:rtl w:val="0"/>
        </w:rPr>
        <w:t xml:space="preserve">bez DPH (dále jen „Kupní cena 1“), tj.</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tbl>
      <w:tblPr>
        <w:tblStyle w:val="Table8"/>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39.800 Kč (třicet devět tisíc osm set korun českých)</w:t>
            </w:r>
          </w:p>
        </w:tc>
      </w:tr>
    </w:tbl>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w:t>
      </w:r>
    </w:p>
    <w:p w:rsidR="00000000" w:rsidDel="00000000" w:rsidP="00000000" w:rsidRDefault="00000000" w:rsidRPr="00000000" w14:paraId="0000003F">
      <w:pPr>
        <w:spacing w:line="276" w:lineRule="auto"/>
        <w:jc w:val="both"/>
        <w:rPr>
          <w:sz w:val="20"/>
          <w:szCs w:val="20"/>
        </w:rPr>
      </w:pPr>
      <w:r w:rsidDel="00000000" w:rsidR="00000000" w:rsidRPr="00000000">
        <w:rPr>
          <w:rtl w:val="0"/>
        </w:rPr>
      </w:r>
    </w:p>
    <w:tbl>
      <w:tblPr>
        <w:tblStyle w:val="Table9"/>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76" w:lineRule="auto"/>
              <w:ind w:right="-109.60629921259908"/>
              <w:jc w:val="both"/>
              <w:rPr>
                <w:sz w:val="20"/>
                <w:szCs w:val="20"/>
              </w:rPr>
            </w:pPr>
            <w:r w:rsidDel="00000000" w:rsidR="00000000" w:rsidRPr="00000000">
              <w:rPr>
                <w:sz w:val="20"/>
                <w:szCs w:val="20"/>
                <w:rtl w:val="0"/>
              </w:rPr>
              <w:t xml:space="preserve">32.785 Kč (třicet dva tisíc sedm set osmdesát pět korun českých) za Předmět koupě 3</w:t>
            </w:r>
          </w:p>
        </w:tc>
      </w:tr>
    </w:tbl>
    <w:p w:rsidR="00000000" w:rsidDel="00000000" w:rsidP="00000000" w:rsidRDefault="00000000" w:rsidRPr="00000000" w14:paraId="00000041">
      <w:pPr>
        <w:spacing w:line="276" w:lineRule="auto"/>
        <w:jc w:val="both"/>
        <w:rPr>
          <w:sz w:val="20"/>
          <w:szCs w:val="20"/>
        </w:rPr>
      </w:pPr>
      <w:r w:rsidDel="00000000" w:rsidR="00000000" w:rsidRPr="00000000">
        <w:rPr>
          <w:sz w:val="20"/>
          <w:szCs w:val="20"/>
          <w:rtl w:val="0"/>
        </w:rPr>
        <w:t xml:space="preserve">bez DPH (dále jen „Kupní cena 2“), tj.</w:t>
      </w:r>
    </w:p>
    <w:p w:rsidR="00000000" w:rsidDel="00000000" w:rsidP="00000000" w:rsidRDefault="00000000" w:rsidRPr="00000000" w14:paraId="00000042">
      <w:pPr>
        <w:spacing w:line="276" w:lineRule="auto"/>
        <w:jc w:val="both"/>
        <w:rPr>
          <w:sz w:val="20"/>
          <w:szCs w:val="20"/>
        </w:rPr>
      </w:pPr>
      <w:r w:rsidDel="00000000" w:rsidR="00000000" w:rsidRPr="00000000">
        <w:rPr>
          <w:rtl w:val="0"/>
        </w:rPr>
      </w:r>
    </w:p>
    <w:tbl>
      <w:tblPr>
        <w:tblStyle w:val="Table10"/>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76" w:lineRule="auto"/>
              <w:ind w:right="-109.60629921259908"/>
              <w:jc w:val="both"/>
              <w:rPr>
                <w:sz w:val="20"/>
                <w:szCs w:val="20"/>
              </w:rPr>
            </w:pPr>
            <w:r w:rsidDel="00000000" w:rsidR="00000000" w:rsidRPr="00000000">
              <w:rPr>
                <w:sz w:val="20"/>
                <w:szCs w:val="20"/>
                <w:rtl w:val="0"/>
              </w:rPr>
              <w:t xml:space="preserve">39.670 Kč (třicet devět tisíc šest set sedmdesát korun českých)</w:t>
            </w:r>
          </w:p>
        </w:tc>
      </w:tr>
    </w:tbl>
    <w:p w:rsidR="00000000" w:rsidDel="00000000" w:rsidP="00000000" w:rsidRDefault="00000000" w:rsidRPr="00000000" w14:paraId="00000044">
      <w:pPr>
        <w:spacing w:line="276" w:lineRule="auto"/>
        <w:jc w:val="both"/>
        <w:rPr>
          <w:sz w:val="20"/>
          <w:szCs w:val="20"/>
        </w:rPr>
      </w:pPr>
      <w:r w:rsidDel="00000000" w:rsidR="00000000" w:rsidRPr="00000000">
        <w:rPr>
          <w:sz w:val="20"/>
          <w:szCs w:val="20"/>
          <w:rtl w:val="0"/>
        </w:rPr>
        <w:t xml:space="preserve">včetně DPH; dále</w:t>
      </w:r>
    </w:p>
    <w:p w:rsidR="00000000" w:rsidDel="00000000" w:rsidP="00000000" w:rsidRDefault="00000000" w:rsidRPr="00000000" w14:paraId="00000045">
      <w:pPr>
        <w:spacing w:line="276" w:lineRule="auto"/>
        <w:jc w:val="both"/>
        <w:rPr>
          <w:sz w:val="20"/>
          <w:szCs w:val="20"/>
        </w:rPr>
      </w:pPr>
      <w:r w:rsidDel="00000000" w:rsidR="00000000" w:rsidRPr="00000000">
        <w:rPr>
          <w:rtl w:val="0"/>
        </w:rPr>
      </w:r>
    </w:p>
    <w:tbl>
      <w:tblPr>
        <w:tblStyle w:val="Table11"/>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ind w:right="-109.60629921259908"/>
              <w:jc w:val="both"/>
              <w:rPr>
                <w:sz w:val="20"/>
                <w:szCs w:val="20"/>
              </w:rPr>
            </w:pPr>
            <w:r w:rsidDel="00000000" w:rsidR="00000000" w:rsidRPr="00000000">
              <w:rPr>
                <w:sz w:val="20"/>
                <w:szCs w:val="20"/>
                <w:rtl w:val="0"/>
              </w:rPr>
              <w:t xml:space="preserve">24.793 Kč (dvacet čtyři tisíc sedm set devadesát tři korun českých) za Předmět koupě 4</w:t>
            </w:r>
          </w:p>
        </w:tc>
      </w:tr>
    </w:tbl>
    <w:p w:rsidR="00000000" w:rsidDel="00000000" w:rsidP="00000000" w:rsidRDefault="00000000" w:rsidRPr="00000000" w14:paraId="00000047">
      <w:pPr>
        <w:spacing w:line="276" w:lineRule="auto"/>
        <w:jc w:val="both"/>
        <w:rPr>
          <w:sz w:val="20"/>
          <w:szCs w:val="20"/>
        </w:rPr>
      </w:pPr>
      <w:r w:rsidDel="00000000" w:rsidR="00000000" w:rsidRPr="00000000">
        <w:rPr>
          <w:sz w:val="20"/>
          <w:szCs w:val="20"/>
          <w:rtl w:val="0"/>
        </w:rPr>
        <w:t xml:space="preserve">bez DPH (dále jen „Kupní cena 3“), tj.</w:t>
      </w:r>
    </w:p>
    <w:p w:rsidR="00000000" w:rsidDel="00000000" w:rsidP="00000000" w:rsidRDefault="00000000" w:rsidRPr="00000000" w14:paraId="00000048">
      <w:pPr>
        <w:spacing w:line="276" w:lineRule="auto"/>
        <w:jc w:val="both"/>
        <w:rPr>
          <w:sz w:val="20"/>
          <w:szCs w:val="20"/>
        </w:rPr>
      </w:pPr>
      <w:r w:rsidDel="00000000" w:rsidR="00000000" w:rsidRPr="00000000">
        <w:rPr>
          <w:rtl w:val="0"/>
        </w:rPr>
      </w:r>
    </w:p>
    <w:tbl>
      <w:tblPr>
        <w:tblStyle w:val="Table12"/>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line="276" w:lineRule="auto"/>
              <w:ind w:right="-109.60629921259908"/>
              <w:jc w:val="both"/>
              <w:rPr>
                <w:sz w:val="20"/>
                <w:szCs w:val="20"/>
              </w:rPr>
            </w:pPr>
            <w:r w:rsidDel="00000000" w:rsidR="00000000" w:rsidRPr="00000000">
              <w:rPr>
                <w:sz w:val="20"/>
                <w:szCs w:val="20"/>
                <w:rtl w:val="0"/>
              </w:rPr>
              <w:t xml:space="preserve">30.000 Kč (třicet tisíc korun českých)</w:t>
            </w:r>
          </w:p>
        </w:tc>
      </w:tr>
    </w:tbl>
    <w:p w:rsidR="00000000" w:rsidDel="00000000" w:rsidP="00000000" w:rsidRDefault="00000000" w:rsidRPr="00000000" w14:paraId="0000004A">
      <w:pPr>
        <w:spacing w:line="276" w:lineRule="auto"/>
        <w:jc w:val="both"/>
        <w:rPr>
          <w:sz w:val="20"/>
          <w:szCs w:val="20"/>
        </w:rPr>
      </w:pPr>
      <w:r w:rsidDel="00000000" w:rsidR="00000000" w:rsidRPr="00000000">
        <w:rPr>
          <w:sz w:val="20"/>
          <w:szCs w:val="20"/>
          <w:rtl w:val="0"/>
        </w:rPr>
        <w:t xml:space="preserve">včetně DPH; dále</w:t>
      </w:r>
    </w:p>
    <w:p w:rsidR="00000000" w:rsidDel="00000000" w:rsidP="00000000" w:rsidRDefault="00000000" w:rsidRPr="00000000" w14:paraId="0000004B">
      <w:pPr>
        <w:spacing w:line="276" w:lineRule="auto"/>
        <w:jc w:val="both"/>
        <w:rPr>
          <w:sz w:val="20"/>
          <w:szCs w:val="20"/>
        </w:rPr>
      </w:pPr>
      <w:r w:rsidDel="00000000" w:rsidR="00000000" w:rsidRPr="00000000">
        <w:rPr>
          <w:rtl w:val="0"/>
        </w:rPr>
      </w:r>
    </w:p>
    <w:tbl>
      <w:tblPr>
        <w:tblStyle w:val="Table13"/>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line="276" w:lineRule="auto"/>
              <w:ind w:right="-109.60629921259908"/>
              <w:jc w:val="both"/>
              <w:rPr>
                <w:sz w:val="20"/>
                <w:szCs w:val="20"/>
              </w:rPr>
            </w:pPr>
            <w:r w:rsidDel="00000000" w:rsidR="00000000" w:rsidRPr="00000000">
              <w:rPr>
                <w:sz w:val="20"/>
                <w:szCs w:val="20"/>
                <w:rtl w:val="0"/>
              </w:rPr>
              <w:t xml:space="preserve">16.928 Kč (šestnáct tisíc devět set dvacet osm korun českých) za Předmět koupě 6 a Předmět koupě 7</w:t>
            </w:r>
          </w:p>
        </w:tc>
      </w:tr>
    </w:tbl>
    <w:p w:rsidR="00000000" w:rsidDel="00000000" w:rsidP="00000000" w:rsidRDefault="00000000" w:rsidRPr="00000000" w14:paraId="0000004D">
      <w:pPr>
        <w:spacing w:line="276" w:lineRule="auto"/>
        <w:jc w:val="both"/>
        <w:rPr>
          <w:sz w:val="20"/>
          <w:szCs w:val="20"/>
        </w:rPr>
      </w:pPr>
      <w:r w:rsidDel="00000000" w:rsidR="00000000" w:rsidRPr="00000000">
        <w:rPr>
          <w:sz w:val="20"/>
          <w:szCs w:val="20"/>
          <w:rtl w:val="0"/>
        </w:rPr>
        <w:t xml:space="preserve">bez DPH (dále jen „Kupní cena 4“), tj.</w:t>
      </w:r>
    </w:p>
    <w:p w:rsidR="00000000" w:rsidDel="00000000" w:rsidP="00000000" w:rsidRDefault="00000000" w:rsidRPr="00000000" w14:paraId="0000004E">
      <w:pPr>
        <w:spacing w:line="276" w:lineRule="auto"/>
        <w:jc w:val="both"/>
        <w:rPr>
          <w:sz w:val="20"/>
          <w:szCs w:val="20"/>
        </w:rPr>
      </w:pPr>
      <w:r w:rsidDel="00000000" w:rsidR="00000000" w:rsidRPr="00000000">
        <w:rPr>
          <w:rtl w:val="0"/>
        </w:rPr>
      </w:r>
    </w:p>
    <w:tbl>
      <w:tblPr>
        <w:tblStyle w:val="Table14"/>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76" w:lineRule="auto"/>
              <w:ind w:right="-109.60629921259908"/>
              <w:jc w:val="both"/>
              <w:rPr>
                <w:sz w:val="20"/>
                <w:szCs w:val="20"/>
              </w:rPr>
            </w:pPr>
            <w:r w:rsidDel="00000000" w:rsidR="00000000" w:rsidRPr="00000000">
              <w:rPr>
                <w:sz w:val="20"/>
                <w:szCs w:val="20"/>
                <w:rtl w:val="0"/>
              </w:rPr>
              <w:t xml:space="preserve">19.530 Kč (devatenáct tisíc pět set třicet korun českých)</w:t>
            </w:r>
          </w:p>
        </w:tc>
      </w:tr>
    </w:tbl>
    <w:p w:rsidR="00000000" w:rsidDel="00000000" w:rsidP="00000000" w:rsidRDefault="00000000" w:rsidRPr="00000000" w14:paraId="00000050">
      <w:pPr>
        <w:spacing w:line="276" w:lineRule="auto"/>
        <w:jc w:val="both"/>
        <w:rPr>
          <w:sz w:val="20"/>
          <w:szCs w:val="20"/>
        </w:rPr>
      </w:pPr>
      <w:r w:rsidDel="00000000" w:rsidR="00000000" w:rsidRPr="00000000">
        <w:rPr>
          <w:sz w:val="20"/>
          <w:szCs w:val="20"/>
          <w:rtl w:val="0"/>
        </w:rPr>
        <w:t xml:space="preserve">včetně DPH; dále</w:t>
      </w:r>
    </w:p>
    <w:p w:rsidR="00000000" w:rsidDel="00000000" w:rsidP="00000000" w:rsidRDefault="00000000" w:rsidRPr="00000000" w14:paraId="00000051">
      <w:pPr>
        <w:spacing w:line="276" w:lineRule="auto"/>
        <w:jc w:val="both"/>
        <w:rPr>
          <w:sz w:val="20"/>
          <w:szCs w:val="20"/>
        </w:rPr>
      </w:pPr>
      <w:r w:rsidDel="00000000" w:rsidR="00000000" w:rsidRPr="00000000">
        <w:rPr>
          <w:rtl w:val="0"/>
        </w:rPr>
      </w:r>
    </w:p>
    <w:tbl>
      <w:tblPr>
        <w:tblStyle w:val="Table15"/>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76" w:lineRule="auto"/>
              <w:ind w:right="-109.60629921259908"/>
              <w:jc w:val="both"/>
              <w:rPr>
                <w:sz w:val="20"/>
                <w:szCs w:val="20"/>
              </w:rPr>
            </w:pPr>
            <w:r w:rsidDel="00000000" w:rsidR="00000000" w:rsidRPr="00000000">
              <w:rPr>
                <w:sz w:val="20"/>
                <w:szCs w:val="20"/>
                <w:rtl w:val="0"/>
              </w:rPr>
              <w:t xml:space="preserve">12.397 Kč (dvanáct tisíc tři sta devadesát sedm korun českých) za Předmět koupě 5</w:t>
            </w:r>
          </w:p>
        </w:tc>
      </w:tr>
    </w:tbl>
    <w:p w:rsidR="00000000" w:rsidDel="00000000" w:rsidP="00000000" w:rsidRDefault="00000000" w:rsidRPr="00000000" w14:paraId="00000053">
      <w:pPr>
        <w:spacing w:line="276" w:lineRule="auto"/>
        <w:jc w:val="both"/>
        <w:rPr>
          <w:sz w:val="20"/>
          <w:szCs w:val="20"/>
        </w:rPr>
      </w:pPr>
      <w:r w:rsidDel="00000000" w:rsidR="00000000" w:rsidRPr="00000000">
        <w:rPr>
          <w:sz w:val="20"/>
          <w:szCs w:val="20"/>
          <w:rtl w:val="0"/>
        </w:rPr>
        <w:t xml:space="preserve">bez DPH (dále jen „Kupní cena 5“), tj.</w:t>
      </w:r>
    </w:p>
    <w:p w:rsidR="00000000" w:rsidDel="00000000" w:rsidP="00000000" w:rsidRDefault="00000000" w:rsidRPr="00000000" w14:paraId="00000054">
      <w:pPr>
        <w:spacing w:line="276" w:lineRule="auto"/>
        <w:jc w:val="both"/>
        <w:rPr>
          <w:sz w:val="20"/>
          <w:szCs w:val="20"/>
        </w:rPr>
      </w:pPr>
      <w:r w:rsidDel="00000000" w:rsidR="00000000" w:rsidRPr="00000000">
        <w:rPr>
          <w:rtl w:val="0"/>
        </w:rPr>
      </w:r>
    </w:p>
    <w:tbl>
      <w:tblPr>
        <w:tblStyle w:val="Table1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76" w:lineRule="auto"/>
              <w:ind w:right="-109.60629921259908"/>
              <w:jc w:val="both"/>
              <w:rPr>
                <w:sz w:val="20"/>
                <w:szCs w:val="20"/>
              </w:rPr>
            </w:pPr>
            <w:r w:rsidDel="00000000" w:rsidR="00000000" w:rsidRPr="00000000">
              <w:rPr>
                <w:sz w:val="20"/>
                <w:szCs w:val="20"/>
                <w:rtl w:val="0"/>
              </w:rPr>
              <w:t xml:space="preserve">15.000 Kč (patnáct tisíc korun českých)</w:t>
            </w:r>
          </w:p>
        </w:tc>
      </w:tr>
    </w:tbl>
    <w:p w:rsidR="00000000" w:rsidDel="00000000" w:rsidP="00000000" w:rsidRDefault="00000000" w:rsidRPr="00000000" w14:paraId="00000056">
      <w:pPr>
        <w:spacing w:line="276" w:lineRule="auto"/>
        <w:jc w:val="both"/>
        <w:rPr>
          <w:sz w:val="20"/>
          <w:szCs w:val="20"/>
        </w:rPr>
      </w:pPr>
      <w:r w:rsidDel="00000000" w:rsidR="00000000" w:rsidRPr="00000000">
        <w:rPr>
          <w:sz w:val="20"/>
          <w:szCs w:val="20"/>
          <w:rtl w:val="0"/>
        </w:rPr>
        <w:t xml:space="preserve">včetně DPH. </w:t>
      </w:r>
    </w:p>
    <w:p w:rsidR="00000000" w:rsidDel="00000000" w:rsidP="00000000" w:rsidRDefault="00000000" w:rsidRPr="00000000" w14:paraId="00000057">
      <w:pPr>
        <w:spacing w:line="276" w:lineRule="auto"/>
        <w:jc w:val="both"/>
        <w:rPr>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1, Kupní cena 2, Kupní cena 3, Kupní cena 4 a Kupní cena 5 dále společně také jen “Kupní ceny”)</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Jednotlivé Kupní ceny budou Kupujícím zaplaceny nejpozději do 30 dnů od předání zboží na číslo účtu Prodávajícího uvedené v záhlaví této Smlouvy.</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Předměty koupě a Kupující Předměty koupě za podmínek této Smlouvy od Prodávajícího kupuje.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Předměty koupě nejpozději do 30 dnů od podpisu této smlouvy, přičemž odevzdání Předmětů koupě se uskuteční na adrese Jaselská 1238, Mnichovo Hradiště 295 01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Předměty koupě od Prodávajícího na výše uvedené adrese a v Prodávajícím sděleném termínu převezme a zaplatí Prodávajícímu Kupní ceny. Kupující se dále zavazuje poskytnout Prodávajícímu veškerou součinnost při vyhotovení a podpisu Předávacího protokolu.</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Předmětů koupě teprve úplným zaplacením jednotlivých Kupních cen, tj. po zaplacení jedné z Kupních cen se stává vlastníkem jednotlivých Předmětů koupě.</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Předmětech koupě však na Kupujícího přechází již jejich převzetím.</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některé z Kupních cen či její části.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Předměty koupě a poskytnout mu v tomto směru veškerou součinnost. Kupující odpovídá Prodávajícímu za škody na vzniklé Předmětech koupě v době od jeho převzetí dle čl. IV. této Smlouvy do jeho vrácení Prodávajícímu.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Předměty koupě budou způsobilé k použití pro obvyklý účel po dobu 24 měsíců ode dne odevzdání Předmětů koupě Kupujícímu (dále jen „Záruční doba“). Případné vady Předmětů koupě je Kupující povinen Prodávajícímu vytknout bez zbytečného odkladu poté, kdy měl možnost vadu zjistit, nejpozději však do konce Záruční doby.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17. 2. 2023</w:t>
        <w:tab/>
        <w:tab/>
        <w:tab/>
        <w:tab/>
        <w:tab/>
        <w:t xml:space="preserve">Prodávající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Mnichově Hradišti dne 24. 2. 2023</w:t>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