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24" w:rsidRDefault="003405A5">
      <w:pPr>
        <w:pStyle w:val="Other0"/>
        <w:shd w:val="clear" w:color="auto" w:fill="auto"/>
        <w:spacing w:before="140" w:after="360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Smlouva o účasti na řešení projektu a poskytnutí příspěvku</w:t>
      </w:r>
      <w:r>
        <w:rPr>
          <w:rFonts w:ascii="Arial" w:eastAsia="Arial" w:hAnsi="Arial" w:cs="Arial"/>
          <w:b/>
          <w:bCs/>
          <w:sz w:val="32"/>
          <w:szCs w:val="32"/>
        </w:rPr>
        <w:br/>
        <w:t>na podporu dílčí části projektu č. QK23020085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I</w:t>
      </w:r>
    </w:p>
    <w:p w:rsidR="00356F24" w:rsidRDefault="003405A5">
      <w:pPr>
        <w:pStyle w:val="Zkladntext"/>
        <w:shd w:val="clear" w:color="auto" w:fill="auto"/>
        <w:spacing w:after="500"/>
        <w:jc w:val="center"/>
      </w:pPr>
      <w:r>
        <w:rPr>
          <w:b/>
          <w:bCs/>
        </w:rPr>
        <w:t>Smluvní strany</w:t>
      </w:r>
    </w:p>
    <w:p w:rsidR="00356F24" w:rsidRDefault="003405A5">
      <w:pPr>
        <w:pStyle w:val="Zkladntext"/>
        <w:shd w:val="clear" w:color="auto" w:fill="auto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356F24" w:rsidRDefault="003405A5">
      <w:pPr>
        <w:pStyle w:val="Zkladntext"/>
        <w:shd w:val="clear" w:color="auto" w:fill="auto"/>
      </w:pPr>
      <w:r>
        <w:t>Sídlo: Přátelství 815, 104 00 Praha Uhříněves</w:t>
      </w:r>
    </w:p>
    <w:p w:rsidR="00356F24" w:rsidRDefault="003405A5">
      <w:pPr>
        <w:pStyle w:val="Zkladntext"/>
        <w:shd w:val="clear" w:color="auto" w:fill="auto"/>
      </w:pPr>
      <w:r>
        <w:t>IČ: 00027014</w:t>
      </w:r>
    </w:p>
    <w:p w:rsidR="00356F24" w:rsidRDefault="003405A5">
      <w:pPr>
        <w:pStyle w:val="Zkladntext"/>
        <w:shd w:val="clear" w:color="auto" w:fill="auto"/>
      </w:pPr>
      <w:r>
        <w:t>DIČ: CZ00027014</w:t>
      </w:r>
    </w:p>
    <w:p w:rsidR="00356F24" w:rsidRDefault="003405A5">
      <w:pPr>
        <w:pStyle w:val="Zkladntext"/>
        <w:shd w:val="clear" w:color="auto" w:fill="auto"/>
      </w:pPr>
      <w:r>
        <w:t>Zastoupený:</w:t>
      </w:r>
      <w:r>
        <w:t xml:space="preserve"> Dr. Ing. Pavel Čermák, statutární zástupce</w:t>
      </w:r>
    </w:p>
    <w:p w:rsidR="00356F24" w:rsidRDefault="003405A5">
      <w:pPr>
        <w:pStyle w:val="Zkladntext"/>
        <w:shd w:val="clear" w:color="auto" w:fill="auto"/>
      </w:pPr>
      <w:r>
        <w:t>Bankovní spojení: Česká národní banka</w:t>
      </w:r>
    </w:p>
    <w:p w:rsidR="00356F24" w:rsidRDefault="003405A5">
      <w:pPr>
        <w:pStyle w:val="Zkladntext"/>
        <w:shd w:val="clear" w:color="auto" w:fill="auto"/>
        <w:spacing w:after="260"/>
        <w:ind w:left="2300"/>
      </w:pPr>
      <w:r>
        <w:t xml:space="preserve">číslo účtu: </w:t>
      </w:r>
    </w:p>
    <w:p w:rsidR="00356F24" w:rsidRDefault="003405A5">
      <w:pPr>
        <w:pStyle w:val="Zkladntext"/>
        <w:shd w:val="clear" w:color="auto" w:fill="auto"/>
        <w:spacing w:after="220"/>
      </w:pPr>
      <w:r>
        <w:t>dále jen „</w:t>
      </w:r>
      <w:r>
        <w:rPr>
          <w:b/>
          <w:bCs/>
        </w:rPr>
        <w:t xml:space="preserve">Hlavní příjemce“ </w:t>
      </w:r>
      <w:r>
        <w:t>na straně jedné</w:t>
      </w:r>
    </w:p>
    <w:p w:rsidR="00356F24" w:rsidRDefault="003405A5">
      <w:pPr>
        <w:pStyle w:val="Zkladntext"/>
        <w:shd w:val="clear" w:color="auto" w:fill="auto"/>
        <w:spacing w:after="220"/>
      </w:pPr>
      <w:r>
        <w:rPr>
          <w:b/>
          <w:bCs/>
        </w:rPr>
        <w:t>a</w:t>
      </w:r>
    </w:p>
    <w:p w:rsidR="00356F24" w:rsidRDefault="003405A5">
      <w:pPr>
        <w:pStyle w:val="Zkladntext"/>
        <w:shd w:val="clear" w:color="auto" w:fill="auto"/>
      </w:pPr>
      <w:r>
        <w:rPr>
          <w:b/>
          <w:bCs/>
        </w:rPr>
        <w:t>Mendelova univerzita v Brně</w:t>
      </w:r>
    </w:p>
    <w:p w:rsidR="00356F24" w:rsidRDefault="003405A5">
      <w:pPr>
        <w:pStyle w:val="Zkladntext"/>
        <w:shd w:val="clear" w:color="auto" w:fill="auto"/>
      </w:pPr>
      <w:r>
        <w:t>Sídlo: Zemědělská 1665/1, 613 00 Brno</w:t>
      </w:r>
    </w:p>
    <w:p w:rsidR="00356F24" w:rsidRDefault="003405A5">
      <w:pPr>
        <w:pStyle w:val="Zkladntext"/>
        <w:shd w:val="clear" w:color="auto" w:fill="auto"/>
      </w:pPr>
      <w:r>
        <w:t>IČ: 62156489</w:t>
      </w:r>
    </w:p>
    <w:p w:rsidR="00356F24" w:rsidRDefault="003405A5">
      <w:pPr>
        <w:pStyle w:val="Zkladntext"/>
        <w:shd w:val="clear" w:color="auto" w:fill="auto"/>
      </w:pPr>
      <w:r>
        <w:t>DIČ: CZ62156489</w:t>
      </w:r>
    </w:p>
    <w:p w:rsidR="00356F24" w:rsidRDefault="003405A5">
      <w:pPr>
        <w:pStyle w:val="Zkladntext"/>
        <w:shd w:val="clear" w:color="auto" w:fill="auto"/>
      </w:pPr>
      <w:r>
        <w:t>Zastou</w:t>
      </w:r>
      <w:r>
        <w:t>pený: prof. Dr. Ing. Jan Mareš, rektor</w:t>
      </w:r>
    </w:p>
    <w:p w:rsidR="00356F24" w:rsidRDefault="003405A5">
      <w:pPr>
        <w:pStyle w:val="Zkladntext"/>
        <w:shd w:val="clear" w:color="auto" w:fill="auto"/>
        <w:spacing w:after="260"/>
      </w:pPr>
      <w:r>
        <w:t xml:space="preserve">Bankovní spojení: číslo účtu: </w:t>
      </w:r>
    </w:p>
    <w:p w:rsidR="00356F24" w:rsidRDefault="003405A5">
      <w:pPr>
        <w:pStyle w:val="Zkladntext"/>
        <w:shd w:val="clear" w:color="auto" w:fill="auto"/>
        <w:spacing w:after="460"/>
      </w:pPr>
      <w:r>
        <w:t xml:space="preserve">dále jen </w:t>
      </w:r>
      <w:r>
        <w:rPr>
          <w:b/>
          <w:bCs/>
        </w:rPr>
        <w:t xml:space="preserve">„Další účastník“ </w:t>
      </w:r>
      <w:r>
        <w:t>na straně druhé</w:t>
      </w:r>
    </w:p>
    <w:p w:rsidR="00356F24" w:rsidRDefault="003405A5">
      <w:pPr>
        <w:pStyle w:val="Zkladntext"/>
        <w:shd w:val="clear" w:color="auto" w:fill="auto"/>
        <w:spacing w:after="600"/>
        <w:jc w:val="both"/>
      </w:pPr>
      <w:r>
        <w:t xml:space="preserve">uzavírají na základě výsledku veřejné soutěže ve výzkumu, vývoji a inovacích vyhlášené Ministerstvem zemědělství České </w:t>
      </w:r>
      <w:r>
        <w:t>republiky (dále jen „</w:t>
      </w:r>
      <w:r>
        <w:rPr>
          <w:b/>
          <w:bCs/>
        </w:rPr>
        <w:t>Poskytovatel“</w:t>
      </w:r>
      <w:r>
        <w:t xml:space="preserve">) v rámci Programu aplikovaného výzkumu Ministerstva zemědělství na období 2017-2025, ZEMĚ (dále jen </w:t>
      </w:r>
      <w:r>
        <w:rPr>
          <w:b/>
          <w:bCs/>
        </w:rPr>
        <w:t>„Program ZEMĚ“</w:t>
      </w:r>
      <w:r>
        <w:t>) v souladu se zákonem č. 130/2002 Sb., o podpoře výzkumu, experimentálního vývoje a inovací z veřejných pr</w:t>
      </w:r>
      <w:r>
        <w:t xml:space="preserve">ostředků a o změně některých souvisejících zákonů (zákon o podpoře výzkumu, experimentálního vývoje a inovací), v účinném znění, tuto Smlouvu o účasti na řešení projektu a poskytnutí příspěvku na podporu dílčí části projektu č. QK23020085 (dále jen </w:t>
      </w:r>
      <w:r>
        <w:rPr>
          <w:b/>
          <w:bCs/>
        </w:rPr>
        <w:t>„Smlouv</w:t>
      </w:r>
      <w:r>
        <w:rPr>
          <w:b/>
          <w:bCs/>
        </w:rPr>
        <w:t>a“).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II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Předmět Smlouvy</w:t>
      </w:r>
    </w:p>
    <w:p w:rsidR="00356F24" w:rsidRDefault="003405A5">
      <w:pPr>
        <w:pStyle w:val="Zkladntext"/>
        <w:numPr>
          <w:ilvl w:val="0"/>
          <w:numId w:val="1"/>
        </w:numPr>
        <w:shd w:val="clear" w:color="auto" w:fill="auto"/>
        <w:tabs>
          <w:tab w:val="left" w:pos="566"/>
        </w:tabs>
        <w:ind w:left="580" w:hanging="580"/>
      </w:pPr>
      <w:r>
        <w:t xml:space="preserve">Předmětem této Smlouvy je vymezení podmínek, vzájemných práv a povinností Smluvních stran, tedy Hlavního příjemce a Dalšího účastníka při jejich vzájemné spolupráci na řešení projektu výzkumu s názvem </w:t>
      </w:r>
      <w:r>
        <w:rPr>
          <w:b/>
          <w:bCs/>
        </w:rPr>
        <w:t>„Nové směry v produkci s</w:t>
      </w:r>
      <w:r>
        <w:rPr>
          <w:b/>
          <w:bCs/>
        </w:rPr>
        <w:t xml:space="preserve">elat s důrazem na </w:t>
      </w:r>
      <w:proofErr w:type="spellStart"/>
      <w:r>
        <w:rPr>
          <w:b/>
          <w:bCs/>
        </w:rPr>
        <w:t>welfare</w:t>
      </w:r>
      <w:proofErr w:type="spellEnd"/>
      <w:r>
        <w:rPr>
          <w:b/>
          <w:bCs/>
        </w:rPr>
        <w:t xml:space="preserve">, ochranu životního prostředí a ekonomiku produkce“ </w:t>
      </w:r>
      <w:r>
        <w:t xml:space="preserve">(dále jen </w:t>
      </w:r>
      <w:r>
        <w:rPr>
          <w:b/>
          <w:bCs/>
        </w:rPr>
        <w:t>„Projekt“</w:t>
      </w:r>
      <w:r>
        <w:t>), úprava práv k hmotnému majetku nutnému k řešení Projektu, k výsledkům Projektu a využití výsledků Projektu.</w:t>
      </w:r>
    </w:p>
    <w:p w:rsidR="00356F24" w:rsidRDefault="003405A5">
      <w:pPr>
        <w:pStyle w:val="Zkladntext"/>
        <w:numPr>
          <w:ilvl w:val="0"/>
          <w:numId w:val="1"/>
        </w:numPr>
        <w:shd w:val="clear" w:color="auto" w:fill="auto"/>
        <w:tabs>
          <w:tab w:val="left" w:pos="566"/>
        </w:tabs>
        <w:spacing w:after="520"/>
        <w:ind w:left="580" w:hanging="580"/>
      </w:pPr>
      <w:r>
        <w:t xml:space="preserve">K realizaci Projektu poskytuje Hlavní příjemce Dalšímu účastníkovi příslušnou část podpory na základě této Smlouvy, a to výhradně za účelem jejího využití k dosažení deklarovaných výsledků a cílů řešené části projektu v rozsahu, členění a za podmínek </w:t>
      </w:r>
      <w:r>
        <w:lastRenderedPageBreak/>
        <w:t>schvá</w:t>
      </w:r>
      <w:r>
        <w:t xml:space="preserve">lených Poskytovatelem ve Smlouvě o poskytnutí podpory na řešení projektu č. QK23020085 (dále jen </w:t>
      </w:r>
      <w:r>
        <w:rPr>
          <w:b/>
          <w:bCs/>
        </w:rPr>
        <w:t>„Smlouva o poskytnutí podpory na řešení projektu“</w:t>
      </w:r>
      <w:r>
        <w:t>).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III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Podmínky spolupráce stran</w:t>
      </w:r>
    </w:p>
    <w:p w:rsidR="00356F24" w:rsidRDefault="003405A5">
      <w:pPr>
        <w:pStyle w:val="Zkladntext"/>
        <w:numPr>
          <w:ilvl w:val="0"/>
          <w:numId w:val="2"/>
        </w:numPr>
        <w:shd w:val="clear" w:color="auto" w:fill="auto"/>
        <w:tabs>
          <w:tab w:val="left" w:pos="527"/>
        </w:tabs>
        <w:ind w:left="520" w:hanging="520"/>
        <w:jc w:val="both"/>
      </w:pPr>
      <w:r>
        <w:t>Spolupráce Smluvních stran bude realizována v souladu s navrženým Proj</w:t>
      </w:r>
      <w:r>
        <w:t>ektem a v souladu se Smlouvou o poskytnutí podpory na řešení projektu od Poskytovatele, která je přílohou této Smlouvy.</w:t>
      </w:r>
    </w:p>
    <w:p w:rsidR="00356F24" w:rsidRDefault="003405A5">
      <w:pPr>
        <w:pStyle w:val="Zkladntext"/>
        <w:numPr>
          <w:ilvl w:val="0"/>
          <w:numId w:val="2"/>
        </w:numPr>
        <w:shd w:val="clear" w:color="auto" w:fill="auto"/>
        <w:tabs>
          <w:tab w:val="left" w:pos="527"/>
        </w:tabs>
        <w:ind w:left="520" w:hanging="520"/>
        <w:jc w:val="both"/>
      </w:pPr>
      <w:r>
        <w:t xml:space="preserve">Smluvní strany prohlašují, že se s Projektem (včetně projektové žádosti) a Smlouvy o poskytnutí podpory na řešení projektu seznámily, a </w:t>
      </w:r>
      <w:r>
        <w:t>to před podpisem Smlouvy. Smluvní strany se zavazují řídit Smlouvou o poskytnutí podpory na řešení projektu, včetně zvláštních podmínek projektu a podmínek programu, a dodržovat závazky v ní stanovené a z podmínek vyplývající, ledaže se jedná o závazky, kt</w:t>
      </w:r>
      <w:r>
        <w:t>eré je ze své povahy povinen plnit pouze Hlavní příjemce.</w:t>
      </w:r>
    </w:p>
    <w:p w:rsidR="00356F24" w:rsidRDefault="003405A5">
      <w:pPr>
        <w:pStyle w:val="Zkladntext"/>
        <w:numPr>
          <w:ilvl w:val="0"/>
          <w:numId w:val="2"/>
        </w:numPr>
        <w:shd w:val="clear" w:color="auto" w:fill="auto"/>
        <w:tabs>
          <w:tab w:val="left" w:pos="527"/>
        </w:tabs>
        <w:ind w:left="520" w:hanging="520"/>
        <w:jc w:val="both"/>
      </w:pPr>
      <w:r>
        <w:t>Smluvní strany se zavazují, že vyvinou veškeré nezbytné úsilí, aby byl naplněn účel, cíl a plánované výsledky Projektu a zavazují se jednat způsobem, který neohrožuje realizaci Projektu a zájmy jedn</w:t>
      </w:r>
      <w:r>
        <w:t>otlivých Smluvních stran.</w:t>
      </w:r>
    </w:p>
    <w:p w:rsidR="00356F24" w:rsidRDefault="003405A5">
      <w:pPr>
        <w:pStyle w:val="Zkladntext"/>
        <w:numPr>
          <w:ilvl w:val="0"/>
          <w:numId w:val="2"/>
        </w:numPr>
        <w:shd w:val="clear" w:color="auto" w:fill="auto"/>
        <w:tabs>
          <w:tab w:val="left" w:pos="527"/>
        </w:tabs>
        <w:ind w:left="520" w:hanging="520"/>
        <w:jc w:val="both"/>
      </w:pPr>
      <w:r>
        <w:t>Hlavní příjemce je odpovědný Poskytovateli za realizaci celého Projektu, včetně částí realizovaných Dalším účastníkem, odpovídá za plnění podmínek této spolupráce a za komunikaci s Poskytovatelem. Další účastník se zavazuje poskyt</w:t>
      </w:r>
      <w:r>
        <w:t>ovat Hlavnímu příjemci veškerou součinnost a plnit své závazky vyplývající z této Smlouvy a ze Smlouvy o poskytnutí podpory na řešení projektu.</w:t>
      </w:r>
    </w:p>
    <w:p w:rsidR="00356F24" w:rsidRDefault="003405A5">
      <w:pPr>
        <w:pStyle w:val="Zkladntext"/>
        <w:numPr>
          <w:ilvl w:val="0"/>
          <w:numId w:val="2"/>
        </w:numPr>
        <w:shd w:val="clear" w:color="auto" w:fill="auto"/>
        <w:tabs>
          <w:tab w:val="left" w:pos="598"/>
        </w:tabs>
        <w:spacing w:after="520"/>
        <w:ind w:left="520" w:hanging="360"/>
        <w:jc w:val="both"/>
      </w:pPr>
      <w:r>
        <w:t>Další účastník se výslovně zavazuje dodržovat a plnit povinnosti stanovené pro „dalšího účastníka“ smlouvou o poskytnutí podpory na řešení projektu, všeobecnými podmínkami ke Smlouvě o poskytnutí podpory na řešení projektu, zvláštními podmínkami projektu a</w:t>
      </w:r>
      <w:r>
        <w:t xml:space="preserve"> podmínkami programu tak, jako by byl přímo smluvní stranou </w:t>
      </w:r>
      <w:r>
        <w:rPr>
          <w:color w:val="221F1F"/>
        </w:rPr>
        <w:t>smlouvy o poskytnutí podpory na řešení projektu, pokud se konkrétní povinnosti nevztahují přímo na Hlavního příjemce.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IV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Řešitel a další řešitel projektu</w:t>
      </w:r>
    </w:p>
    <w:p w:rsidR="00356F24" w:rsidRDefault="003405A5">
      <w:pPr>
        <w:pStyle w:val="Zkladntext"/>
        <w:numPr>
          <w:ilvl w:val="0"/>
          <w:numId w:val="3"/>
        </w:numPr>
        <w:shd w:val="clear" w:color="auto" w:fill="auto"/>
        <w:tabs>
          <w:tab w:val="left" w:pos="527"/>
        </w:tabs>
        <w:ind w:left="520" w:hanging="520"/>
        <w:jc w:val="both"/>
      </w:pPr>
      <w:r>
        <w:t>Osobou, která odpovídá za vědecké ř</w:t>
      </w:r>
      <w:r>
        <w:t>ešení Projektu na straně Hlavního příjemce je Hlavní řešitel: Ing. Eva Weisbauerová, Ph.D.</w:t>
      </w:r>
    </w:p>
    <w:p w:rsidR="00356F24" w:rsidRDefault="003405A5">
      <w:pPr>
        <w:pStyle w:val="Zkladntext"/>
        <w:numPr>
          <w:ilvl w:val="0"/>
          <w:numId w:val="3"/>
        </w:numPr>
        <w:shd w:val="clear" w:color="auto" w:fill="auto"/>
        <w:tabs>
          <w:tab w:val="left" w:pos="527"/>
        </w:tabs>
        <w:spacing w:after="300"/>
        <w:ind w:left="520" w:hanging="520"/>
        <w:jc w:val="both"/>
      </w:pPr>
      <w:r>
        <w:t>Osobou, která odpovídá za vědecké řešení Projektu na straně Dalšího účastníka je odpovědný Další řešitel: Ing. Pavel Nevrkla, Ph.D.</w:t>
      </w:r>
    </w:p>
    <w:p w:rsidR="00356F24" w:rsidRDefault="003405A5">
      <w:pPr>
        <w:pStyle w:val="Zkladntext"/>
        <w:shd w:val="clear" w:color="auto" w:fill="auto"/>
        <w:jc w:val="center"/>
      </w:pPr>
      <w:r>
        <w:rPr>
          <w:b/>
          <w:bCs/>
        </w:rPr>
        <w:t>Článek V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 xml:space="preserve">Řízení Projektu, způsob </w:t>
      </w:r>
      <w:r>
        <w:rPr>
          <w:b/>
          <w:bCs/>
        </w:rPr>
        <w:t>zapojení jednotlivých Smluvních stran do Projektu</w:t>
      </w:r>
    </w:p>
    <w:p w:rsidR="00356F24" w:rsidRDefault="003405A5">
      <w:pPr>
        <w:pStyle w:val="Zkladntext"/>
        <w:numPr>
          <w:ilvl w:val="0"/>
          <w:numId w:val="4"/>
        </w:numPr>
        <w:shd w:val="clear" w:color="auto" w:fill="auto"/>
        <w:tabs>
          <w:tab w:val="left" w:pos="527"/>
        </w:tabs>
        <w:ind w:left="520" w:hanging="520"/>
        <w:jc w:val="both"/>
      </w:pPr>
      <w:r>
        <w:t>Na řešení věcné náplně Projektu v průběhu celého řešení Projektu bude Hlavním příjemcem poskytnuta Dalšímu účastníkovi výše podpory na jednotlivé roky řešení projektu dle Smlouvy o poskytnutí podpory na řeš</w:t>
      </w:r>
      <w:r>
        <w:t xml:space="preserve">ení projektu, </w:t>
      </w:r>
      <w:r>
        <w:rPr>
          <w:b/>
          <w:bCs/>
        </w:rPr>
        <w:t>a to převodem na účet Dalšího účastníka uvedeného v čl. I této Smlouvy</w:t>
      </w:r>
      <w:r>
        <w:t>.</w:t>
      </w:r>
    </w:p>
    <w:p w:rsidR="00356F24" w:rsidRDefault="003405A5">
      <w:pPr>
        <w:pStyle w:val="Zkladntext"/>
        <w:numPr>
          <w:ilvl w:val="0"/>
          <w:numId w:val="5"/>
        </w:numPr>
        <w:shd w:val="clear" w:color="auto" w:fill="auto"/>
        <w:tabs>
          <w:tab w:val="left" w:pos="527"/>
        </w:tabs>
        <w:ind w:left="520" w:hanging="520"/>
        <w:jc w:val="both"/>
      </w:pPr>
      <w:r>
        <w:t>Hlavní příjemce na základě uzavřené Smlouvy o poskytnutí podpory na řešení projektu obdrží finanční prostředky a jejich adekvátní část převede na účet Dalšího účastníka v prvním roce nejpozději do 20 kalendářních dnů, v dalších letech do 30 kalendářních dn</w:t>
      </w:r>
      <w:r>
        <w:t>ů od obdržení dotace na účet. Hlavní příjemce je povinen informovat Dalšího účastníka o obdržení dotace bez zbytečného odkladu.</w:t>
      </w:r>
    </w:p>
    <w:p w:rsidR="00356F24" w:rsidRDefault="003405A5">
      <w:pPr>
        <w:pStyle w:val="Zkladntext"/>
        <w:numPr>
          <w:ilvl w:val="0"/>
          <w:numId w:val="5"/>
        </w:numPr>
        <w:shd w:val="clear" w:color="auto" w:fill="auto"/>
        <w:tabs>
          <w:tab w:val="left" w:pos="547"/>
        </w:tabs>
        <w:ind w:left="560" w:hanging="560"/>
        <w:jc w:val="both"/>
      </w:pPr>
      <w:r>
        <w:t xml:space="preserve">Hlavní příjemce plní funkci koordinátora Projektu a zajišťuje administrativní spolupráci s </w:t>
      </w:r>
      <w:r>
        <w:lastRenderedPageBreak/>
        <w:t>Poskytovatelem.</w:t>
      </w:r>
    </w:p>
    <w:p w:rsidR="00356F24" w:rsidRDefault="003405A5">
      <w:pPr>
        <w:pStyle w:val="Zkladntext"/>
        <w:numPr>
          <w:ilvl w:val="0"/>
          <w:numId w:val="5"/>
        </w:numPr>
        <w:shd w:val="clear" w:color="auto" w:fill="auto"/>
        <w:tabs>
          <w:tab w:val="left" w:pos="547"/>
        </w:tabs>
        <w:ind w:left="560" w:hanging="560"/>
        <w:jc w:val="both"/>
      </w:pPr>
      <w:r>
        <w:t>Smluvní strany se zav</w:t>
      </w:r>
      <w:r>
        <w:t>azují, že v rámci spolupráce na řešení Projektu budou provádět ve stanovených termínech a ve stanoveném rozsahu úkony konkrétně určené v návrhu Projektu, který je přílohou I Smlouvy o poskytnutí podpory na řešení projektu, směřující k realizaci Projektu, p</w:t>
      </w:r>
      <w:r>
        <w:t>opřípadě i další úkony nutné nebo potřebné pro realizaci Projektu dle pokynů Hlavního příjemce.</w:t>
      </w:r>
    </w:p>
    <w:p w:rsidR="00356F24" w:rsidRDefault="003405A5">
      <w:pPr>
        <w:pStyle w:val="Zkladntext"/>
        <w:numPr>
          <w:ilvl w:val="0"/>
          <w:numId w:val="5"/>
        </w:numPr>
        <w:shd w:val="clear" w:color="auto" w:fill="auto"/>
        <w:tabs>
          <w:tab w:val="left" w:pos="547"/>
        </w:tabs>
        <w:spacing w:after="240"/>
        <w:ind w:left="560" w:hanging="560"/>
        <w:jc w:val="both"/>
      </w:pPr>
      <w:r>
        <w:t>Každá ze Smluvních stran odpovídá za tu část Projektu, kterou fakticky provádí a vykonává.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VI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Hodnocení Projektu</w:t>
      </w:r>
    </w:p>
    <w:p w:rsidR="00356F24" w:rsidRDefault="003405A5">
      <w:pPr>
        <w:pStyle w:val="Zkladntext"/>
        <w:numPr>
          <w:ilvl w:val="0"/>
          <w:numId w:val="6"/>
        </w:numPr>
        <w:shd w:val="clear" w:color="auto" w:fill="auto"/>
        <w:tabs>
          <w:tab w:val="left" w:pos="547"/>
        </w:tabs>
        <w:ind w:left="560" w:hanging="560"/>
        <w:jc w:val="both"/>
      </w:pPr>
      <w:r>
        <w:t>Další účastník je povinen poskytnout Hla</w:t>
      </w:r>
      <w:r>
        <w:t>vnímu příjemci součinnost s vyplňováním průběžných a závěrečných zpráv nejpozději do 20 kalendářních dnů po skončení daného kalendářního roku řešení Projektu, následujícího po roce řešení Projektu a vyplnit svou část realizace Projektu, včetně podrobného v</w:t>
      </w:r>
      <w:r>
        <w:t>yúčtování hospodaření s grantovými prostředky.</w:t>
      </w:r>
    </w:p>
    <w:p w:rsidR="00356F24" w:rsidRDefault="003405A5">
      <w:pPr>
        <w:pStyle w:val="Zkladntext"/>
        <w:numPr>
          <w:ilvl w:val="0"/>
          <w:numId w:val="6"/>
        </w:numPr>
        <w:shd w:val="clear" w:color="auto" w:fill="auto"/>
        <w:tabs>
          <w:tab w:val="left" w:pos="547"/>
        </w:tabs>
        <w:spacing w:after="520"/>
        <w:ind w:left="560" w:hanging="560"/>
        <w:jc w:val="both"/>
      </w:pPr>
      <w:r>
        <w:t>Další účastník je povinen umožnit Poskytovateli a Hlavnímu příjemci či jimi pověřeným osobám provádět komplexní kontrolu jak výsledků řešení Projektu, tak i účetní evidence a použití grantových prostředků, kte</w:t>
      </w:r>
      <w:r>
        <w:t>ré byly na řešení části Projektu poskytnuty ze státního rozpočtu, a to kdykoli v průběhu řešení Projektu nebo do deseti let od ukončení poskytování finančních prostředků ze státního rozpočtu na část Projektu. Tímto ujednáním nejsou dotčena ani omezena práv</w:t>
      </w:r>
      <w:r>
        <w:t>a kontrolních a finančních orgánů státní správy České republiky.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VII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Práva a povinnosti Smluvních stran</w:t>
      </w:r>
    </w:p>
    <w:p w:rsidR="00356F24" w:rsidRDefault="003405A5">
      <w:pPr>
        <w:pStyle w:val="Zkladntext"/>
        <w:numPr>
          <w:ilvl w:val="0"/>
          <w:numId w:val="7"/>
        </w:numPr>
        <w:shd w:val="clear" w:color="auto" w:fill="auto"/>
        <w:tabs>
          <w:tab w:val="left" w:pos="547"/>
        </w:tabs>
        <w:ind w:left="560" w:hanging="560"/>
        <w:jc w:val="both"/>
      </w:pPr>
      <w:r>
        <w:t xml:space="preserve">Smluvní strany jsou povinny se navzájem informovat o veškerých změnách týkajících se Projektu, dále o případné neschopnosti plnit řádně a včas </w:t>
      </w:r>
      <w:r>
        <w:t>povinnosti vyplývající ze Smlouvy a o všech významných změnách svého majetkového postavení, jakými jsou zejména vznik, spojení či rozdělení společnosti, změna právní formy, snížení základního kapitálu, vstup do likvidace, prohlášení konkursu na majetek, zá</w:t>
      </w:r>
      <w:r>
        <w:t>nik příslušného oprávnění k činnosti apod., a to nejpozději do 4 kalendářních dnů ode dne, kdy se o změně dozvěděly. Smluvní strany jsou dále povinny kdykoliv prokázat, že jsou stále způsobilé pro řešení Projektu.</w:t>
      </w:r>
    </w:p>
    <w:p w:rsidR="00356F24" w:rsidRDefault="003405A5">
      <w:pPr>
        <w:pStyle w:val="Zkladntext"/>
        <w:numPr>
          <w:ilvl w:val="0"/>
          <w:numId w:val="7"/>
        </w:numPr>
        <w:shd w:val="clear" w:color="auto" w:fill="auto"/>
        <w:tabs>
          <w:tab w:val="left" w:pos="547"/>
        </w:tabs>
        <w:ind w:left="560" w:hanging="560"/>
        <w:jc w:val="both"/>
      </w:pPr>
      <w:r>
        <w:t>Každá ze Smluvních stran vede oddělenou úč</w:t>
      </w:r>
      <w:r>
        <w:t>etní evidenci všech účetních případů vztahujících se k Projektu.</w:t>
      </w:r>
    </w:p>
    <w:p w:rsidR="00356F24" w:rsidRDefault="003405A5">
      <w:pPr>
        <w:pStyle w:val="Zkladntext"/>
        <w:numPr>
          <w:ilvl w:val="0"/>
          <w:numId w:val="7"/>
        </w:numPr>
        <w:shd w:val="clear" w:color="auto" w:fill="auto"/>
        <w:tabs>
          <w:tab w:val="left" w:pos="547"/>
        </w:tabs>
        <w:ind w:left="560" w:hanging="560"/>
        <w:jc w:val="both"/>
      </w:pPr>
      <w:r>
        <w:t>Každá ze Smluvních stran se zavazuje podrobit se kontrolám Projektu ze strany Poskytovatele a dalších kontrolních subjektů a při těchto kontrolách poskytovat odpovídající součinnost.</w:t>
      </w:r>
    </w:p>
    <w:p w:rsidR="00356F24" w:rsidRDefault="003405A5">
      <w:pPr>
        <w:pStyle w:val="Zkladntext"/>
        <w:numPr>
          <w:ilvl w:val="0"/>
          <w:numId w:val="7"/>
        </w:numPr>
        <w:shd w:val="clear" w:color="auto" w:fill="auto"/>
        <w:tabs>
          <w:tab w:val="left" w:pos="547"/>
        </w:tabs>
        <w:ind w:left="560" w:hanging="560"/>
        <w:jc w:val="both"/>
      </w:pPr>
      <w:r>
        <w:t>Každá ze</w:t>
      </w:r>
      <w:r>
        <w:t xml:space="preserve"> Smluvních stran se zavazuje řádně dokončit a finančně uzavřít Projekt ve stanoveném termínu, včetně finančního vypořádání.</w:t>
      </w:r>
    </w:p>
    <w:p w:rsidR="00356F24" w:rsidRDefault="003405A5">
      <w:pPr>
        <w:pStyle w:val="Zkladntext"/>
        <w:numPr>
          <w:ilvl w:val="0"/>
          <w:numId w:val="7"/>
        </w:numPr>
        <w:shd w:val="clear" w:color="auto" w:fill="auto"/>
        <w:tabs>
          <w:tab w:val="left" w:pos="547"/>
        </w:tabs>
        <w:ind w:left="560" w:hanging="560"/>
        <w:jc w:val="both"/>
      </w:pPr>
      <w:r>
        <w:t>Další účastník je odpovědný Hlavnímu příjemci za řešení jím prováděné části Projektu a za hospodaření s přidělenou částí účelových finančních prostředků v plném rozsahu. V případě, že Hlavnímu příjemci vznikne v důsledku porušení povinností Dalšího účastní</w:t>
      </w:r>
      <w:r>
        <w:t>ka vyplývajících z této Smlouvy (resp. Smlouvy o poskytnutí podpory na řešení projektu) škoda (včetně škody ve formě sankcí uplatněných vůči Příjemci Poskytovatelem), Další účastník se zavazuje tuto škodu Hlavnímu příjemci nahradit.</w:t>
      </w:r>
    </w:p>
    <w:p w:rsidR="00356F24" w:rsidRDefault="003405A5">
      <w:pPr>
        <w:pStyle w:val="Zkladntext"/>
        <w:numPr>
          <w:ilvl w:val="0"/>
          <w:numId w:val="7"/>
        </w:numPr>
        <w:shd w:val="clear" w:color="auto" w:fill="auto"/>
        <w:tabs>
          <w:tab w:val="left" w:pos="542"/>
        </w:tabs>
        <w:spacing w:after="620"/>
        <w:ind w:left="540" w:hanging="540"/>
        <w:jc w:val="both"/>
      </w:pPr>
      <w:r>
        <w:t>Každá ze Smluvních stra</w:t>
      </w:r>
      <w:r>
        <w:t>n se zavazuje archivovat dokumenty související s Projektem po dobu nejméně 10 let od ukončení Projektu.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VIII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Práva a povinnosti Smluvních stran ve věcech finančních</w:t>
      </w:r>
    </w:p>
    <w:p w:rsidR="00356F24" w:rsidRDefault="003405A5">
      <w:pPr>
        <w:pStyle w:val="Zkladntext"/>
        <w:numPr>
          <w:ilvl w:val="0"/>
          <w:numId w:val="8"/>
        </w:numPr>
        <w:shd w:val="clear" w:color="auto" w:fill="auto"/>
        <w:tabs>
          <w:tab w:val="left" w:pos="542"/>
        </w:tabs>
        <w:ind w:left="540" w:hanging="540"/>
        <w:jc w:val="both"/>
      </w:pPr>
      <w:r>
        <w:lastRenderedPageBreak/>
        <w:t xml:space="preserve">Hlavní příjemce je povinen poskytnout Dalšímu účastníkovi veškeré prostředky, které </w:t>
      </w:r>
      <w:r>
        <w:t>tvoří část podpory pro něj určené a které má ve své dispozici. Finanční prostředky jsou Hlavním příjemcem poskytovány na úhradu prokazatelných, nezbytně nutných nákladů přímo souvisejících s plněním cílů a parametrů řešené části Projektu.</w:t>
      </w:r>
    </w:p>
    <w:p w:rsidR="00356F24" w:rsidRDefault="003405A5">
      <w:pPr>
        <w:pStyle w:val="Zkladntext"/>
        <w:numPr>
          <w:ilvl w:val="0"/>
          <w:numId w:val="8"/>
        </w:numPr>
        <w:shd w:val="clear" w:color="auto" w:fill="auto"/>
        <w:tabs>
          <w:tab w:val="left" w:pos="542"/>
        </w:tabs>
        <w:ind w:left="540" w:hanging="540"/>
        <w:jc w:val="both"/>
      </w:pPr>
      <w:r>
        <w:t xml:space="preserve">Uznanými náklady </w:t>
      </w:r>
      <w:r>
        <w:t xml:space="preserve">Projektu se rozumí způsobilé náklady uvedené v </w:t>
      </w:r>
      <w:proofErr w:type="spellStart"/>
      <w:r>
        <w:t>ust</w:t>
      </w:r>
      <w:proofErr w:type="spellEnd"/>
      <w:r>
        <w:t>. § 2 odst. 2 písm. m) zákona č. 130/2002 Sb., o podpoře výzkumu, experimentálního vývoje a inovací v účinném znění, které Poskytovatel schválil a které jsou zdůvodněné. Uznané náklady Projektu dle schválen</w:t>
      </w:r>
      <w:r>
        <w:t>ého rozpočtu jsou uvedeny ve čl. 4 Smlouvy o poskytnutí podpory na řešení projektu.</w:t>
      </w:r>
    </w:p>
    <w:p w:rsidR="00356F24" w:rsidRDefault="003405A5">
      <w:pPr>
        <w:pStyle w:val="Zkladntext"/>
        <w:numPr>
          <w:ilvl w:val="0"/>
          <w:numId w:val="8"/>
        </w:numPr>
        <w:shd w:val="clear" w:color="auto" w:fill="auto"/>
        <w:tabs>
          <w:tab w:val="left" w:pos="542"/>
        </w:tabs>
        <w:ind w:left="540" w:hanging="540"/>
        <w:jc w:val="both"/>
      </w:pPr>
      <w:r>
        <w:t xml:space="preserve">Celkové uznané náklady na řešení Projektu za celou dobu řešení (3 roky) činí </w:t>
      </w:r>
      <w:r>
        <w:rPr>
          <w:rFonts w:ascii="Cambria" w:eastAsia="Cambria" w:hAnsi="Cambria" w:cs="Cambria"/>
          <w:b/>
          <w:bCs/>
          <w:sz w:val="22"/>
          <w:szCs w:val="22"/>
        </w:rPr>
        <w:t xml:space="preserve">11 884 725 </w:t>
      </w:r>
      <w:r>
        <w:t xml:space="preserve">Kč. Poskytovatel poskytne Smluvním stranám podporu až do výše </w:t>
      </w:r>
      <w:r>
        <w:rPr>
          <w:rFonts w:ascii="Cambria" w:eastAsia="Cambria" w:hAnsi="Cambria" w:cs="Cambria"/>
          <w:b/>
          <w:bCs/>
          <w:sz w:val="22"/>
          <w:szCs w:val="22"/>
        </w:rPr>
        <w:t xml:space="preserve">11 884 725 </w:t>
      </w:r>
      <w:r>
        <w:t xml:space="preserve">Kč, což je </w:t>
      </w:r>
      <w:r>
        <w:t>100 % z předpokládaných uznaných nákladů. Z toho:</w:t>
      </w:r>
    </w:p>
    <w:p w:rsidR="00356F24" w:rsidRDefault="003405A5">
      <w:pPr>
        <w:pStyle w:val="Zkladntext"/>
        <w:shd w:val="clear" w:color="auto" w:fill="auto"/>
        <w:spacing w:line="262" w:lineRule="auto"/>
        <w:ind w:firstLine="5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podíl Dalšího účastníka je 1 743 225 Kč z celkové dotace na projekt.</w:t>
      </w:r>
    </w:p>
    <w:p w:rsidR="00356F24" w:rsidRDefault="003405A5">
      <w:pPr>
        <w:pStyle w:val="Zkladntext"/>
        <w:numPr>
          <w:ilvl w:val="0"/>
          <w:numId w:val="8"/>
        </w:numPr>
        <w:shd w:val="clear" w:color="auto" w:fill="auto"/>
        <w:tabs>
          <w:tab w:val="left" w:pos="542"/>
        </w:tabs>
        <w:ind w:left="540" w:hanging="540"/>
        <w:jc w:val="both"/>
      </w:pPr>
      <w:r>
        <w:t>Smluvní strany poměrně upraví svůj podíl na dotaci ze strany Poskytovatele, celkových nákladech na řešení Projektu i technické náplni ř</w:t>
      </w:r>
      <w:r>
        <w:t>ešení Projektu, pokud bude rozhodnutím Poskytovatele změněna výše čerpané dotace požadované v žádosti o podporu Projektu.</w:t>
      </w:r>
    </w:p>
    <w:p w:rsidR="00356F24" w:rsidRDefault="003405A5">
      <w:pPr>
        <w:pStyle w:val="Zkladntext"/>
        <w:numPr>
          <w:ilvl w:val="0"/>
          <w:numId w:val="8"/>
        </w:numPr>
        <w:shd w:val="clear" w:color="auto" w:fill="auto"/>
        <w:tabs>
          <w:tab w:val="left" w:pos="542"/>
        </w:tabs>
        <w:ind w:left="540" w:hanging="540"/>
        <w:jc w:val="both"/>
      </w:pPr>
      <w:r>
        <w:t>Smluvní strany se zavazují, že při realizaci Projektu budou při nákupu veškerého zboží nebo služeb od třetích osob postupovat v soulad</w:t>
      </w:r>
      <w:r>
        <w:t>u se zákonem č. 134/2016 Sb., o zadávání veřejných zakázek, ve znění pozdějších předpisů.</w:t>
      </w:r>
    </w:p>
    <w:p w:rsidR="00356F24" w:rsidRDefault="003405A5">
      <w:pPr>
        <w:pStyle w:val="Zkladntext"/>
        <w:numPr>
          <w:ilvl w:val="0"/>
          <w:numId w:val="8"/>
        </w:numPr>
        <w:shd w:val="clear" w:color="auto" w:fill="auto"/>
        <w:tabs>
          <w:tab w:val="left" w:pos="542"/>
        </w:tabs>
        <w:ind w:left="540" w:hanging="540"/>
        <w:jc w:val="both"/>
      </w:pPr>
      <w:r>
        <w:t>Smluvní strany se zavazují použít účelovou podporu v souladu se zákonem č. 218/2000 Sb. (rozpočtová pravidla) a vyhláškou č. 367/2015 Sb., o zásadách a lhůtách finanč</w:t>
      </w:r>
      <w:r>
        <w:t>ního vypořádání vztahů se státním rozpočtem, státními finančními aktivy a Národním fondem (vyhláška o finančním vypořádání) ve znění pozdějších předpisů a zákonem č. 130/2002 Sb., o podpoře výzkumu, experimentálního vývoje a inovací v účinném znění, vždy d</w:t>
      </w:r>
      <w:r>
        <w:t>o konce příslušného kalendářního roku výhradně k úhradě prokazatelných, nezbytně nutných nákladů přímo souvisejících s plněním cílů a parametrů předmětného Projektu.</w:t>
      </w:r>
    </w:p>
    <w:p w:rsidR="00356F24" w:rsidRDefault="003405A5">
      <w:pPr>
        <w:pStyle w:val="Zkladntext"/>
        <w:numPr>
          <w:ilvl w:val="0"/>
          <w:numId w:val="8"/>
        </w:numPr>
        <w:shd w:val="clear" w:color="auto" w:fill="auto"/>
        <w:tabs>
          <w:tab w:val="left" w:pos="542"/>
        </w:tabs>
        <w:ind w:left="540" w:hanging="540"/>
        <w:jc w:val="both"/>
      </w:pPr>
      <w:r>
        <w:t xml:space="preserve">Smluvní strany se zavazují vést o uznaných nákladech samostatnou účetní evidenci podle </w:t>
      </w:r>
      <w:r>
        <w:t>zákona č. 563/1991 Sb., o účetnictví, ve znění pozdějších předpisů, a v rámci této evidence sledovat výdaje nebo náklady hrazené z poskytnuté účelové podpory. Smluvní strany se dále zavazují v rámci této evidence vést i evidenci o užití pořízeného dlouhodo</w:t>
      </w:r>
      <w:r>
        <w:t>bého nehmotného majetku a na základě ročního využití tyto prostředky vyúčtovat. Tuto evidenci se Smluvní strany zavazují uchovávat po dobu 10 let od ukončení řešení Projektu.</w:t>
      </w:r>
    </w:p>
    <w:p w:rsidR="00356F24" w:rsidRDefault="003405A5">
      <w:pPr>
        <w:pStyle w:val="Zkladntext"/>
        <w:numPr>
          <w:ilvl w:val="0"/>
          <w:numId w:val="8"/>
        </w:numPr>
        <w:shd w:val="clear" w:color="auto" w:fill="auto"/>
        <w:tabs>
          <w:tab w:val="left" w:pos="542"/>
        </w:tabs>
        <w:ind w:left="540" w:hanging="540"/>
        <w:jc w:val="both"/>
      </w:pPr>
      <w:r>
        <w:t>Nedojde-li k poskytnutí příslušné části dotace Poskytovatelem nebo dojde-li k opo</w:t>
      </w:r>
      <w:r>
        <w:t>žděnému poskytnutí příslušné části dotace Poskytovatelem v důsledku rozpočtového provizoria podle zvláštního právního předpisu nebo v důsledku aplikace jiného právního předpisu, Hlavní příjemce neodpovídá Dalšímu účastníkovi za škodu, která mu vznikla jako</w:t>
      </w:r>
      <w:r>
        <w:t xml:space="preserve"> důsledek této situace. Pokud nedojde k poskytnutí dotace, k opožděnému poskytnutí nebo ke snížení dotace Poskytovatelem, odpovídá Hlavní příjemce Dalšímu účastníkovi za škodu. která mu vznikla, pokud k uvedeným skutečnostem dojde z důvodu na straně Hlavní</w:t>
      </w:r>
      <w:r>
        <w:t>ho příjemce.</w:t>
      </w:r>
    </w:p>
    <w:p w:rsidR="00356F24" w:rsidRDefault="003405A5">
      <w:pPr>
        <w:pStyle w:val="Zkladntext"/>
        <w:numPr>
          <w:ilvl w:val="0"/>
          <w:numId w:val="8"/>
        </w:numPr>
        <w:shd w:val="clear" w:color="auto" w:fill="auto"/>
        <w:tabs>
          <w:tab w:val="left" w:pos="721"/>
        </w:tabs>
        <w:spacing w:after="220"/>
        <w:ind w:left="740" w:hanging="560"/>
        <w:jc w:val="both"/>
      </w:pPr>
      <w:r>
        <w:t>Pokud vznikne při provádění Projektu finanční ztráta, tuto ztrátu nese každá ze Smluvních stran sama za tu část Projektu, za níž nese odpovědnost.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IX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Práva k hmotnému majetku</w:t>
      </w:r>
    </w:p>
    <w:p w:rsidR="00356F24" w:rsidRDefault="003405A5">
      <w:pPr>
        <w:pStyle w:val="Zkladntext"/>
        <w:numPr>
          <w:ilvl w:val="1"/>
          <w:numId w:val="8"/>
        </w:numPr>
        <w:shd w:val="clear" w:color="auto" w:fill="auto"/>
        <w:tabs>
          <w:tab w:val="left" w:pos="721"/>
        </w:tabs>
        <w:ind w:left="740" w:hanging="560"/>
        <w:jc w:val="both"/>
      </w:pPr>
      <w:r>
        <w:t>Vlastníkem hmotného majetku (infrastruktury), nutného k řešen</w:t>
      </w:r>
      <w:r>
        <w:t>í části Projektu a pořízeného z poskytnuté dotace je ta Smluvní strana, která se na řešení dané části Projektu podílí. Pokud došlo k pořízení hmotného majetku společně více Smluvními stranami, je předmětný hmotný majetek v podílovém spoluvlastnictví těchto</w:t>
      </w:r>
      <w:r>
        <w:t xml:space="preserve"> Smluvních stran, přičemž jejich podíl na vlastnictví hmotného majetku se stanoví podle poměru finančních prostředků vynaložených na pořízení předmětného hmotného majetku.</w:t>
      </w:r>
    </w:p>
    <w:p w:rsidR="00356F24" w:rsidRDefault="003405A5">
      <w:pPr>
        <w:pStyle w:val="Zkladntext"/>
        <w:numPr>
          <w:ilvl w:val="1"/>
          <w:numId w:val="8"/>
        </w:numPr>
        <w:shd w:val="clear" w:color="auto" w:fill="auto"/>
        <w:tabs>
          <w:tab w:val="left" w:pos="721"/>
        </w:tabs>
        <w:ind w:left="740" w:hanging="560"/>
        <w:jc w:val="both"/>
      </w:pPr>
      <w:r>
        <w:t>Po dobu realizace Projektu nejsou Smluvní strany oprávněny bez souhlasu Poskytovatel</w:t>
      </w:r>
      <w:r>
        <w:t xml:space="preserve">e </w:t>
      </w:r>
      <w:r>
        <w:lastRenderedPageBreak/>
        <w:t>s hmotným majetkem podle odst. 9.1 tohoto článku disponovat ve prospěch třetí osoby, zejména pak nejsou oprávněny tento hmotný majetek zcizit, převést, zatížit, pronajmout, půjčit či zapůjčit.</w:t>
      </w:r>
    </w:p>
    <w:p w:rsidR="00356F24" w:rsidRDefault="003405A5">
      <w:pPr>
        <w:pStyle w:val="Zkladntext"/>
        <w:numPr>
          <w:ilvl w:val="1"/>
          <w:numId w:val="8"/>
        </w:numPr>
        <w:shd w:val="clear" w:color="auto" w:fill="auto"/>
        <w:tabs>
          <w:tab w:val="left" w:pos="721"/>
        </w:tabs>
        <w:spacing w:after="220"/>
        <w:ind w:left="740" w:hanging="560"/>
        <w:jc w:val="both"/>
      </w:pPr>
      <w:r>
        <w:t xml:space="preserve">Hmotný majetek podle odst. 9.1 jsou Smluvní strany oprávněny </w:t>
      </w:r>
      <w:r>
        <w:t>využívat pro řešení Projektu bezplatně.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X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Duševní vlastnictví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1"/>
        </w:tabs>
        <w:ind w:left="740" w:hanging="740"/>
        <w:jc w:val="both"/>
      </w:pPr>
      <w:r>
        <w:t>Právní vztahy vzniklé v souvislosti s ochranou průmyslového vlastnictví vytvořeného při plnění účelu Smlouvy se řídí obecně závaznými právními předpisy České republiky, zejména zákonem č.</w:t>
      </w:r>
      <w:r>
        <w:t xml:space="preserve"> 527/1990 Sb., o vynálezech a zlepšovacích návrzích, ve znění pozdějších předpisů, zákonem č. 207/2000 Sb., o ochraně průmyslových vzorů, ve znění pozdějších předpisů, zákonem č. 478/1992 Sb., o užitných vzorech, ve znění pozdějších předpisů, zákonem č. 22</w:t>
      </w:r>
      <w:r>
        <w:t>1/2006 Sb., o vymáhání práv z průmyslového vlastnictví a o změně zákonů na ochranu průmyslového vlastnictví, zákonem č. 206/2000 Sb., o ochraně biotechnologických vynálezů, zákonem č. 441/2003 Sb., o ochranných známkách, ve znění pozdějších předpisů, zákon</w:t>
      </w:r>
      <w:r>
        <w:t>em č. 130/2002 Sb., o podpoře výzkumu, experimentálního vývoje a inovací, ve znění pozdějších předpisů.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1"/>
        </w:tabs>
        <w:ind w:left="740" w:hanging="740"/>
        <w:jc w:val="both"/>
      </w:pPr>
      <w:r>
        <w:t>Smlouva upravuje práva Smluvních stran k předmětům průmyslového vlastnictví existující před uzavřením Smlouvy a stanoví pravidla užití těchto předmětů p</w:t>
      </w:r>
      <w:r>
        <w:t>ro účely realizace Projektu, dále Smlouva upravuje práva na vytvořené předměty průmyslového vlastnictví, které vzniknou v průběhu trvání Smlouvy a stanou se vlastnictvím Smluvních stran, které je vytvoří.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1"/>
        </w:tabs>
        <w:ind w:left="740" w:hanging="740"/>
        <w:jc w:val="both"/>
      </w:pPr>
      <w:r>
        <w:t>Předmětem průmyslového vlastnictví se pro účely Sml</w:t>
      </w:r>
      <w:r>
        <w:t>ouvy rozumí jakýkoli výsledek duševní činnosti, na jehož základě vznikne nehmotný statek, který je objektivně zachytitelný, který má faktickou či potencionální výrobní, průmyslovou či vědeckou hodnotu. Jedná se zejména o vynálezy, technická řešení chráněná</w:t>
      </w:r>
      <w:r>
        <w:t xml:space="preserve"> užitným vzorem, průmyslové vzory, zlepšovací návrhy, biotechnologické vynálezy, ochranné známky, know-how a další výsledky duševní činnosti.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1"/>
        </w:tabs>
        <w:ind w:left="740" w:hanging="740"/>
        <w:jc w:val="both"/>
      </w:pPr>
      <w:r>
        <w:t>Předměty průmyslového vlastnictví, které jsou ve vlastnictví jednotlivých Smluvních stran před uzavřením Smlouvy a</w:t>
      </w:r>
      <w:r>
        <w:t xml:space="preserve"> které jsou potřebné pro realizaci Projektu nebo pro užívání jeho výsledků, zůstávají ve vlastnictví příslušných Smluvních stran.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1"/>
        </w:tabs>
        <w:ind w:left="740" w:hanging="740"/>
        <w:jc w:val="both"/>
      </w:pPr>
      <w:r>
        <w:t>Smluvní strany se dohodly na tom, že duševní vlastnictví vzniklé při plnění úkolů v rámci Projektu je majetkem té Smluvní stra</w:t>
      </w:r>
      <w:r>
        <w:t>ny, jejíž pracovníci duševní vlastnictví vytvořili. Smluvní strany si navzájem oznámí vytvoření duševního vlastnictví a Smluvní strana, která je majitelem takového duševního vlastnictví, nese náklady spojené s podáním přihlášek a vedením příslušných řízení</w:t>
      </w:r>
      <w:r>
        <w:t>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0"/>
        </w:tabs>
        <w:ind w:left="740" w:hanging="740"/>
        <w:jc w:val="both"/>
      </w:pPr>
      <w:r>
        <w:t>Vznikne-li duševní vlastnictví při plnění úkolů v rámci Projektu prokazatelně spoluprací pracovníků více Smluvních stran, je toto duševní vlastnictví společným majetkem těchto Smluvních stran, a to v tom poměru majetkových podílů, v jakém se na vytvoření</w:t>
      </w:r>
      <w:r>
        <w:t xml:space="preserve"> duševního vlastnictví podíleli pracovníci každé ze Smluvních stran. Smluvní strany jsou si vzájemně nápomocny při přípravě podání přihlášek, a to i zahraničních. Smluvní strany se v poměru jejich spoluvlastnických podílů podílejí na nákladech spojených s </w:t>
      </w:r>
      <w:r>
        <w:t>podáním přihlášek a vedením příslušných řízení.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0"/>
        </w:tabs>
        <w:ind w:left="740" w:hanging="740"/>
        <w:jc w:val="both"/>
      </w:pPr>
      <w:r>
        <w:t>Nebude-li jedna ze Smluvních stran mít zájem na podání přihlášky, může druhá Smluvní strana požádat o převedení práva na podání takové přihlášky na sebe. Smluvní strany před převodem projednají podmínky převe</w:t>
      </w:r>
      <w:r>
        <w:t>dení práva podat přihlášku. Smluvní strany jsou si vzájemně nápomocny při přípravě podání přihlášek, a to i zahraničních. Smluvní strana, na kterou je převedeno právo k podání přihlášky nese náklady spojené s podáním přihlášky a vedením příslušných řízení.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0"/>
        </w:tabs>
        <w:ind w:left="740" w:hanging="740"/>
        <w:jc w:val="both"/>
      </w:pPr>
      <w:r>
        <w:t xml:space="preserve">Prohlášení o vytvoření předmětu duševního vlastnictví, např. o vytvoření vynálezu, </w:t>
      </w:r>
      <w:r>
        <w:lastRenderedPageBreak/>
        <w:t>vzniklého v rámci Projektu, je nutné provést písemně, provede jej ta Smluvní strana, která se na vytvoření předmětu duševního vlastnictví podílela, v případě rovnosti podíl</w:t>
      </w:r>
      <w:r>
        <w:t>ů provede přihlášení Příjemce.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0"/>
        </w:tabs>
        <w:ind w:left="740" w:hanging="740"/>
        <w:jc w:val="both"/>
      </w:pPr>
      <w:r>
        <w:t>Práva původců budou Smluvními stranami řešena dle §9 zák. č. 527/1990 Sb., o vynálezech a zlepšovacích návrzích, ve znění pozdějších předpisů nebo dle obdobných předpisů.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0"/>
        </w:tabs>
        <w:ind w:left="740" w:hanging="740"/>
        <w:jc w:val="both"/>
      </w:pPr>
      <w:r>
        <w:t>Smluvní strany jsou oprávněny využívat know-how získan</w:t>
      </w:r>
      <w:r>
        <w:t>é při provádění Projektu pro vlastní výzkum a přenést výsledky tohoto know-how do praxe v souladu s touto Smlouvou.</w:t>
      </w:r>
    </w:p>
    <w:p w:rsidR="00356F24" w:rsidRDefault="003405A5">
      <w:pPr>
        <w:pStyle w:val="Zkladntext"/>
        <w:numPr>
          <w:ilvl w:val="0"/>
          <w:numId w:val="9"/>
        </w:numPr>
        <w:shd w:val="clear" w:color="auto" w:fill="auto"/>
        <w:tabs>
          <w:tab w:val="left" w:pos="720"/>
        </w:tabs>
        <w:spacing w:after="520"/>
        <w:ind w:left="740" w:hanging="740"/>
        <w:jc w:val="both"/>
      </w:pPr>
      <w:r>
        <w:t>Pokud práva k předmětu průmyslového vlastnictví, které bude vytvořeno při realizaci Projektu, náleží v souladu s ustanoveními Smlouvy několi</w:t>
      </w:r>
      <w:r>
        <w:t>ka Smluvním stranám, o využití těchto práv rozhodnou všichni spolumajitelé jednomyslně, žádný ze spolumajitelů není oprávněn využívat tato práva bez souhlasu ostatních spolumajitelů. Smluvní strany se zavazují vynaložit maximální úsilí o dohodu na společné</w:t>
      </w:r>
      <w:r>
        <w:t>m využití práv z předmětu průmyslového vlastnictví. K platnému uzavření licenční smlouvy je třeba souhlasu všech spolumajitelů. K převodu práv z předmětu průmyslového vlastnictví na třetí osobu je zapotřebí jednomyslného souhlasu všech spolumajitelů. K pře</w:t>
      </w:r>
      <w:r>
        <w:t>vodu podílu některého ze spolumajitelů na jiného spolumajitele se souhlas ostatních nevyžaduje. Na třetí osobu může některý ze spolumajitelů převést svůj podíl jen v případě, že žádný ze spolumajitelů nepřijme ve lhůtě jednoho měsíce písemnou nabídku převo</w:t>
      </w:r>
      <w:r>
        <w:t>du. V ostatních otázkách se vzájemné vztahy mezi spolumajiteli řídí obecnými předpisy o podílovém spoluvlastnictví.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XI</w:t>
      </w:r>
    </w:p>
    <w:p w:rsidR="00356F24" w:rsidRDefault="003405A5">
      <w:pPr>
        <w:pStyle w:val="Zkladntext"/>
        <w:shd w:val="clear" w:color="auto" w:fill="auto"/>
        <w:spacing w:after="100"/>
        <w:ind w:firstLine="260"/>
      </w:pPr>
      <w:r>
        <w:rPr>
          <w:b/>
          <w:bCs/>
        </w:rPr>
        <w:t>Zajištění ochrany výsledků výzkumu a vývoje uskutečněných v souvislosti s Projektem</w:t>
      </w:r>
    </w:p>
    <w:p w:rsidR="00356F24" w:rsidRDefault="003405A5">
      <w:pPr>
        <w:pStyle w:val="Zkladntext"/>
        <w:numPr>
          <w:ilvl w:val="1"/>
          <w:numId w:val="9"/>
        </w:numPr>
        <w:shd w:val="clear" w:color="auto" w:fill="auto"/>
        <w:tabs>
          <w:tab w:val="left" w:pos="720"/>
        </w:tabs>
        <w:ind w:left="740" w:hanging="740"/>
        <w:jc w:val="both"/>
      </w:pPr>
      <w:r>
        <w:t xml:space="preserve">Smluvní strany se dohodly na tom, že </w:t>
      </w:r>
      <w:r>
        <w:t>informace, dokumentace a výsledky práce, předané a vzniklé v souvislosti s plněním Smlouvy, jakož i jednotlivých následných smluv, budou pokládány za důvěrné a nebudou poskytnuty třetí straně, ani využity jinak než pro účel Smlouvy. Toto ustanovení neplatí</w:t>
      </w:r>
      <w:r>
        <w:t xml:space="preserve"> ve vztahu k Poskytovateli.</w:t>
      </w:r>
    </w:p>
    <w:p w:rsidR="00356F24" w:rsidRDefault="003405A5">
      <w:pPr>
        <w:pStyle w:val="Zkladntext"/>
        <w:numPr>
          <w:ilvl w:val="1"/>
          <w:numId w:val="9"/>
        </w:numPr>
        <w:shd w:val="clear" w:color="auto" w:fill="auto"/>
        <w:tabs>
          <w:tab w:val="left" w:pos="720"/>
        </w:tabs>
        <w:ind w:left="740" w:hanging="740"/>
        <w:jc w:val="both"/>
      </w:pPr>
      <w:r>
        <w:t>Smluvní strany se zavazují si vzájemně poskytovat veškeré informace nutné pro vykonávání činností podle Smlouvy, informace o činnostech v Projektu a o jejich výsledcích.</w:t>
      </w:r>
      <w:r>
        <w:br w:type="page"/>
      </w:r>
    </w:p>
    <w:p w:rsidR="00356F24" w:rsidRDefault="003405A5">
      <w:pPr>
        <w:pStyle w:val="Zkladntext"/>
        <w:shd w:val="clear" w:color="auto" w:fill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139700" distB="8207375" distL="139700" distR="139700" simplePos="0" relativeHeight="125829378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margin">
                  <wp:posOffset>0</wp:posOffset>
                </wp:positionV>
                <wp:extent cx="31369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F24" w:rsidRDefault="003405A5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>11.3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1.75pt;margin-top:0;width:24.699999999999999pt;height:15.85pt;z-index:-125829375;mso-wrap-distance-left:11.pt;mso-wrap-distance-top:11.pt;mso-wrap-distance-right:11.pt;mso-wrap-distance-bottom:646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11.3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5925" distB="5028565" distL="139700" distR="139700" simplePos="0" relativeHeight="125829380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margin">
                  <wp:posOffset>2816225</wp:posOffset>
                </wp:positionV>
                <wp:extent cx="313690" cy="5638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F24" w:rsidRDefault="003405A5">
                            <w:pPr>
                              <w:pStyle w:val="Zkladntext"/>
                              <w:shd w:val="clear" w:color="auto" w:fill="auto"/>
                              <w:spacing w:after="280"/>
                            </w:pPr>
                            <w:r>
                              <w:t>11.4</w:t>
                            </w:r>
                          </w:p>
                          <w:p w:rsidR="00356F24" w:rsidRDefault="003405A5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>11.5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1.75pt;margin-top:221.75pt;width:24.699999999999999pt;height:44.399999999999999pt;z-index:-125829373;mso-wrap-distance-left:11.pt;mso-wrap-distance-top:232.75pt;mso-wrap-distance-right:11.pt;mso-wrap-distance-bottom:395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11.4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11.5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33290" distB="3613785" distL="139700" distR="139700" simplePos="0" relativeHeight="125829382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margin">
                  <wp:posOffset>4593590</wp:posOffset>
                </wp:positionV>
                <wp:extent cx="31369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F24" w:rsidRDefault="003405A5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>11.6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1.75pt;margin-top:361.69999999999999pt;width:24.699999999999999pt;height:15.85pt;z-index:-125829371;mso-wrap-distance-left:11.pt;mso-wrap-distance-top:372.69999999999999pt;mso-wrap-distance-right:11.pt;mso-wrap-distance-bottom:284.5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11.6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844790" distB="139700" distL="139700" distR="139700" simplePos="0" relativeHeight="125829384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margin">
                  <wp:posOffset>7705090</wp:posOffset>
                </wp:positionV>
                <wp:extent cx="313690" cy="56388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F24" w:rsidRDefault="003405A5">
                            <w:pPr>
                              <w:pStyle w:val="Zkladntext"/>
                              <w:shd w:val="clear" w:color="auto" w:fill="auto"/>
                              <w:spacing w:after="280"/>
                            </w:pPr>
                            <w:r>
                              <w:t>12.1</w:t>
                            </w:r>
                          </w:p>
                          <w:p w:rsidR="00356F24" w:rsidRDefault="003405A5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>12.2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1.75pt;margin-top:606.70000000000005pt;width:24.699999999999999pt;height:44.399999999999999pt;z-index:-125829369;mso-wrap-distance-left:11.pt;mso-wrap-distance-top:617.70000000000005pt;mso-wrap-distance-right:11.pt;mso-wrap-distance-bottom:1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12.1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12.2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Nedohodnou-li s</w:t>
      </w:r>
      <w:r>
        <w:t>e Smluvní strany v konkrétním případě jinak, jsou veškeré informace, které získá jedna Smluvní strana od druhé Smluvní strany dle odstavce 11.2, a které nejsou obecně známé, nebo které nebyly Smluvní straně známy ještě před předáním od druhé Smluvní strany</w:t>
      </w:r>
      <w:r>
        <w:t>, považovány za důvěrné (dále jen „důvěrné informace“) a strana, která je získala je povinna důvěrné informace uchovat v tajnosti a zajistit dostatečnou ochranu před přístupem nepovolaných osob k nim, nesmí důvěrné informace sdělit žádné další osobě, s výj</w:t>
      </w:r>
      <w:r>
        <w:t xml:space="preserve">imkou svých zaměstnanců, poradců a jiných osob, které jsou pověřeny činnostmi v rámci Smlouvy a se kterými dotyčná Smluvní strana uzavřela dohodu o zachování mlčenlivosti v obdobném rozsahu, jako stanoví Smlouva Smluvním stranám, a nesmí důvěrné informace </w:t>
      </w:r>
      <w:r>
        <w:t xml:space="preserve">použít za jiným účelem než k výkonu činností podle Smlouvy. V případě porušení povinnosti uvedené v tomto ustanovení Smlouvy se za každé jednotlivé porušení povinnosti Smlouvy Smluvní stranou sjednává smluvní pokuta ve výši 50 000 Kč (slovy: padesát tisíc </w:t>
      </w:r>
      <w:r>
        <w:t>korun českých). Sjednáním smluvní pokuty není omezeno právo Smluvních stran na náhradu škody. Porušením povinnosti mlčenlivosti není poskytnutí důvěrných informací na základě povinnosti vyplývající z obecně závazného právního předpisu nebo rozhodnutí orgán</w:t>
      </w:r>
      <w:r>
        <w:t>u veřejné moci.</w:t>
      </w:r>
    </w:p>
    <w:p w:rsidR="00356F24" w:rsidRDefault="003405A5">
      <w:pPr>
        <w:pStyle w:val="Zkladntext"/>
        <w:shd w:val="clear" w:color="auto" w:fill="auto"/>
        <w:jc w:val="both"/>
      </w:pPr>
      <w:r>
        <w:t>Povinnosti podle odstavce 11.3 platí beze změny po dobu dalších 5 let po skončení účinnosti ostatních ustanovení Smlouvy, ať k němu dojde z jakéhokoliv důvodu.</w:t>
      </w:r>
    </w:p>
    <w:p w:rsidR="00356F24" w:rsidRDefault="003405A5">
      <w:pPr>
        <w:pStyle w:val="Zkladntext"/>
        <w:shd w:val="clear" w:color="auto" w:fill="auto"/>
        <w:jc w:val="both"/>
      </w:pPr>
      <w:r>
        <w:t>Zveřejňuje-li kterákoliv ze Smluvních stran informace o Projektu nebo o výsledcí</w:t>
      </w:r>
      <w:r>
        <w:t>ch Projektu, je povinna důsledně uvádět identifikační kód Projektu podle Centrální evidence projektů a dále tu skutečnost, že výsledek Projektu byl získán za finančního přispění Poskytovatele v rámci účelové podpory výzkumu, vývoje a inovací. Současně je p</w:t>
      </w:r>
      <w:r>
        <w:t xml:space="preserve">ak povinna uvést, že se jedná o Projekt řešený ve spolupráci s druhou Smluvní stranou a uvést její identifikační znaky. Zveřejněním nesmí být dotčena nebo ohrožena ochrana výsledků Projektu, jinak Smluvní strana odpovídá druhé Smluvní straně za způsobenou </w:t>
      </w:r>
      <w:r>
        <w:t>škodu.</w:t>
      </w:r>
    </w:p>
    <w:p w:rsidR="00356F24" w:rsidRDefault="003405A5">
      <w:pPr>
        <w:pStyle w:val="Zkladntext"/>
        <w:shd w:val="clear" w:color="auto" w:fill="auto"/>
        <w:jc w:val="both"/>
      </w:pPr>
      <w:r>
        <w:t>Smluvní strany se dohodly na níže uvedeném způsobu předávání výsledků do Rejstříku informací o výsledcích (dále jen „RIV“) podle zákona č. 130/2002 Sb., o podpoře výzkumu, experimentálního vývoje a inovací, ve znění pozdějších předpisů:</w:t>
      </w:r>
    </w:p>
    <w:p w:rsidR="00356F24" w:rsidRDefault="003405A5">
      <w:pPr>
        <w:pStyle w:val="Zkladntext"/>
        <w:numPr>
          <w:ilvl w:val="0"/>
          <w:numId w:val="10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Hlavní </w:t>
      </w:r>
      <w:r>
        <w:t>příjemce a Další účastník se zavazují samostatně předávat údaje o výsledcích vytvořených při realizaci Projektu do RIV v termínech a ve formě požadované zákonem o podpoře výzkumu a vývoje, pokud se Smluvní strany nedohodnou jinak.</w:t>
      </w:r>
    </w:p>
    <w:p w:rsidR="00356F24" w:rsidRDefault="003405A5">
      <w:pPr>
        <w:pStyle w:val="Zkladntext"/>
        <w:numPr>
          <w:ilvl w:val="0"/>
          <w:numId w:val="10"/>
        </w:numPr>
        <w:shd w:val="clear" w:color="auto" w:fill="auto"/>
        <w:tabs>
          <w:tab w:val="left" w:pos="360"/>
        </w:tabs>
        <w:spacing w:after="740"/>
        <w:ind w:left="380" w:hanging="380"/>
        <w:jc w:val="both"/>
      </w:pPr>
      <w:r>
        <w:t>Způsob započítávání výsle</w:t>
      </w:r>
      <w:r>
        <w:t>dků a podíl dedikací v rámci Projektu bude stanoven na základě podílu, jímž Smluvní strany Projektu přispěly k dosažení započitatelných výsledků při realizaci Projektu. Pokud se Smluvní strany na výše uvedeném nedohodnou, zavazují se respektovat rozhodnutí</w:t>
      </w:r>
      <w:r>
        <w:t>, které v této věci vydá Poskytovatel nebo jiný věcně příslušný rozhodčí orgán, případně odborný posudek vypracovaný společně zvoleným odborníkem.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XII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Odpovědnost za škodu</w:t>
      </w:r>
    </w:p>
    <w:p w:rsidR="00356F24" w:rsidRDefault="003405A5">
      <w:pPr>
        <w:pStyle w:val="Zkladntext"/>
        <w:shd w:val="clear" w:color="auto" w:fill="auto"/>
        <w:jc w:val="both"/>
      </w:pPr>
      <w:r>
        <w:t>Každá Smluvní strana odpovídá samostatně Poskytovateli za zákonné použití pos</w:t>
      </w:r>
      <w:r>
        <w:t>kytnuté dotace.</w:t>
      </w:r>
    </w:p>
    <w:p w:rsidR="00356F24" w:rsidRDefault="003405A5">
      <w:pPr>
        <w:pStyle w:val="Zkladntext"/>
        <w:shd w:val="clear" w:color="auto" w:fill="auto"/>
        <w:jc w:val="both"/>
      </w:pPr>
      <w:r>
        <w:t>Další účastník odpovídá Hlavnímu příjemci za škodu způsobenou porušením povinností ze Smlouvy vyplývajících, a to zejména za:</w:t>
      </w:r>
    </w:p>
    <w:p w:rsidR="00356F24" w:rsidRDefault="003405A5">
      <w:pPr>
        <w:pStyle w:val="Zkladntext"/>
        <w:numPr>
          <w:ilvl w:val="0"/>
          <w:numId w:val="11"/>
        </w:numPr>
        <w:shd w:val="clear" w:color="auto" w:fill="auto"/>
        <w:tabs>
          <w:tab w:val="left" w:pos="1081"/>
        </w:tabs>
        <w:spacing w:line="262" w:lineRule="auto"/>
        <w:ind w:firstLine="740"/>
        <w:jc w:val="both"/>
      </w:pPr>
      <w:r>
        <w:t>nedokončení té části Projektu, za níž nese dle Smlouvy odpovědnost,</w:t>
      </w:r>
    </w:p>
    <w:p w:rsidR="00356F24" w:rsidRDefault="003405A5">
      <w:pPr>
        <w:pStyle w:val="Zkladntext"/>
        <w:numPr>
          <w:ilvl w:val="0"/>
          <w:numId w:val="11"/>
        </w:numPr>
        <w:shd w:val="clear" w:color="auto" w:fill="auto"/>
        <w:tabs>
          <w:tab w:val="left" w:pos="1081"/>
        </w:tabs>
        <w:spacing w:line="262" w:lineRule="auto"/>
        <w:ind w:firstLine="740"/>
        <w:jc w:val="both"/>
      </w:pPr>
      <w:r>
        <w:t xml:space="preserve">poskytnutí nesprávných, neúplných nebo jinak </w:t>
      </w:r>
      <w:r>
        <w:t>vadných výsledků vědecké práce,</w:t>
      </w:r>
    </w:p>
    <w:p w:rsidR="00356F24" w:rsidRDefault="003405A5">
      <w:pPr>
        <w:pStyle w:val="Zkladntext"/>
        <w:numPr>
          <w:ilvl w:val="0"/>
          <w:numId w:val="11"/>
        </w:numPr>
        <w:shd w:val="clear" w:color="auto" w:fill="auto"/>
        <w:tabs>
          <w:tab w:val="left" w:pos="1092"/>
        </w:tabs>
        <w:ind w:left="1080" w:hanging="340"/>
        <w:jc w:val="both"/>
      </w:pPr>
      <w:r>
        <w:t>nerespektování informačních povinností vůči Hlavnímu příjemci a Poskytovateli, jakož i povinnosti vyplývajících z právních předpisů a směrnic EU,</w:t>
      </w:r>
    </w:p>
    <w:p w:rsidR="00356F24" w:rsidRDefault="003405A5">
      <w:pPr>
        <w:pStyle w:val="Zkladntext"/>
        <w:numPr>
          <w:ilvl w:val="0"/>
          <w:numId w:val="11"/>
        </w:numPr>
        <w:shd w:val="clear" w:color="auto" w:fill="auto"/>
        <w:tabs>
          <w:tab w:val="left" w:pos="1092"/>
        </w:tabs>
        <w:ind w:left="1080" w:hanging="340"/>
        <w:jc w:val="both"/>
      </w:pPr>
      <w:r>
        <w:t>nesrovnalosti při vedení účetnictví a porušování povinností k archivaci doklad</w:t>
      </w:r>
      <w:r>
        <w:t xml:space="preserve">ů </w:t>
      </w:r>
      <w:r>
        <w:lastRenderedPageBreak/>
        <w:t>Projektu,</w:t>
      </w:r>
    </w:p>
    <w:p w:rsidR="00356F24" w:rsidRDefault="003405A5">
      <w:pPr>
        <w:pStyle w:val="Zkladntext"/>
        <w:numPr>
          <w:ilvl w:val="0"/>
          <w:numId w:val="11"/>
        </w:numPr>
        <w:shd w:val="clear" w:color="auto" w:fill="auto"/>
        <w:tabs>
          <w:tab w:val="left" w:pos="1092"/>
        </w:tabs>
        <w:ind w:left="1080" w:hanging="340"/>
        <w:jc w:val="both"/>
      </w:pPr>
      <w:r>
        <w:t>neposkytnutí součinnosti v případě, kdy je podle Smlouvy povinen součinnost poskytnout</w:t>
      </w:r>
    </w:p>
    <w:p w:rsidR="00356F24" w:rsidRDefault="003405A5">
      <w:pPr>
        <w:pStyle w:val="Zkladntext"/>
        <w:numPr>
          <w:ilvl w:val="0"/>
          <w:numId w:val="11"/>
        </w:numPr>
        <w:shd w:val="clear" w:color="auto" w:fill="auto"/>
        <w:tabs>
          <w:tab w:val="left" w:pos="1092"/>
        </w:tabs>
        <w:spacing w:after="740"/>
        <w:ind w:left="1080" w:hanging="340"/>
        <w:jc w:val="both"/>
      </w:pPr>
      <w:r>
        <w:t>použití účelové podpory v rozporu s účelem anebo na jiný účel, než na který mu byla dle Smlouvy o poskytnutí podpory na řešení projektu poskytnuta.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 xml:space="preserve">Článek </w:t>
      </w:r>
      <w:r>
        <w:rPr>
          <w:b/>
          <w:bCs/>
        </w:rPr>
        <w:t>XIII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Sankce za nesplnění povinností uložených Dalšímu účastníkovi</w:t>
      </w:r>
    </w:p>
    <w:p w:rsidR="00356F24" w:rsidRDefault="003405A5">
      <w:pPr>
        <w:pStyle w:val="Zkladntext"/>
        <w:numPr>
          <w:ilvl w:val="0"/>
          <w:numId w:val="12"/>
        </w:numPr>
        <w:shd w:val="clear" w:color="auto" w:fill="auto"/>
        <w:tabs>
          <w:tab w:val="left" w:pos="720"/>
        </w:tabs>
        <w:ind w:left="740" w:hanging="740"/>
        <w:jc w:val="both"/>
      </w:pPr>
      <w:r>
        <w:t>Pokud Další účastník použije poskytnutou účelovou podporu v rozporu s účelem anebo na jiný účel, než na který mu byla ve smyslu Smlouvy poskytnuta, či jinak ji bude neoprávněně používat a za</w:t>
      </w:r>
      <w:r>
        <w:t>držovat, Další účastník bere na vědomí, že takové jednání může být posuzováno jako porušení rozpočtové kázně a Poskytovatel bude postupovat v souladu s ustanovením § 44 zákona č. 218/2000 Sb., o rozpočtových pravidlech. Další účastník je povinen neoprávněn</w:t>
      </w:r>
      <w:r>
        <w:t>ě použití prostředky vrátit Hlavnímu příjemci do 15 kalendářních dnů ode dne, kdy mu takové porušení sjednaného užití podpory bylo oznámeno Hlavním příjemcem.</w:t>
      </w:r>
    </w:p>
    <w:p w:rsidR="00356F24" w:rsidRDefault="003405A5">
      <w:pPr>
        <w:pStyle w:val="Zkladntext"/>
        <w:numPr>
          <w:ilvl w:val="0"/>
          <w:numId w:val="12"/>
        </w:numPr>
        <w:shd w:val="clear" w:color="auto" w:fill="auto"/>
        <w:tabs>
          <w:tab w:val="left" w:pos="720"/>
        </w:tabs>
        <w:ind w:left="740" w:hanging="740"/>
        <w:jc w:val="both"/>
      </w:pPr>
      <w:r>
        <w:t>Pokud Další účastník poruší jakoukoliv povinnost vyplývající z této Smlouvy, Smlouvy o poskytnutí</w:t>
      </w:r>
      <w:r>
        <w:t xml:space="preserve"> podpory na řešení projektu, Zadání pro veřejnou soutěž či obecně závazných právních předpisů, v důsledku čehož bude Hlavní příjemce nucen platit Poskytovateli sankce či vrátit finanční podporu, zavazuje se Další účastník k úhradě této částky Hlavnímu příj</w:t>
      </w:r>
      <w:r>
        <w:t>emci, a to do 10 kalendářních dnů od obdržení jejího vyúčtování.</w:t>
      </w:r>
    </w:p>
    <w:p w:rsidR="00356F24" w:rsidRDefault="003405A5">
      <w:pPr>
        <w:pStyle w:val="Zkladntext"/>
        <w:numPr>
          <w:ilvl w:val="0"/>
          <w:numId w:val="12"/>
        </w:numPr>
        <w:shd w:val="clear" w:color="auto" w:fill="auto"/>
        <w:tabs>
          <w:tab w:val="left" w:pos="720"/>
        </w:tabs>
        <w:ind w:left="740" w:hanging="740"/>
        <w:jc w:val="both"/>
      </w:pPr>
      <w:r>
        <w:t>V případě, kdy Další účastník poruší své povinnosti vyplývající z této Smlouvy nebo Smlouvy o poskytnutí podpory na řešení projektu, je Hlavní příjemce oprávněn na základě písemného upozorněn</w:t>
      </w:r>
      <w:r>
        <w:t>í pozastavit Dalšímu účastníkovi uvolňování finančních prostředků, a to až do doby, než dojde ze strany Dalšího účastníka k odstranění nedostatků a k přijetí opatření k zabránění jejich opakování.</w:t>
      </w:r>
    </w:p>
    <w:p w:rsidR="00356F24" w:rsidRDefault="003405A5">
      <w:pPr>
        <w:pStyle w:val="Zkladntext"/>
        <w:numPr>
          <w:ilvl w:val="0"/>
          <w:numId w:val="12"/>
        </w:numPr>
        <w:shd w:val="clear" w:color="auto" w:fill="auto"/>
        <w:tabs>
          <w:tab w:val="left" w:pos="720"/>
        </w:tabs>
        <w:ind w:left="740" w:hanging="740"/>
        <w:jc w:val="both"/>
      </w:pPr>
      <w:r>
        <w:t>Neodstraní-li Další účastník ve lhůtě stanovené Hlavním pří</w:t>
      </w:r>
      <w:r>
        <w:t>jemcem zjištěné nedostatky v plnění povinností vyplývajících z této Smlouvy nebo Smlouvy o poskytnutí podpory na řešení projektu, je Hlavní příjemce oprávněn od této Smlouvy odstoupit. Rozhodnutí o odstoupení sdělí Hlavní příjemce Dalšímu účastníkovi písem</w:t>
      </w:r>
      <w:r>
        <w:t>ně s udáním důvodů. V případě odstoupení od Smlouvy z důvodu uvedeného v tomto odstavci je další účastník povinen vrátit nevyčerpanou část podpory na účet Hlavního příjemce, a to nejpozději do 15 kalendářních dnů ode dne, kdy mu bylo doručeno oznámení Hlav</w:t>
      </w:r>
      <w:r>
        <w:t>ního příjemce o odstoupení od Smlouvy. Není dotčeno právo Hlavního příjemce na náhradu vzniklé škody.</w:t>
      </w:r>
    </w:p>
    <w:p w:rsidR="00356F24" w:rsidRDefault="003405A5">
      <w:pPr>
        <w:pStyle w:val="Zkladntext"/>
        <w:numPr>
          <w:ilvl w:val="0"/>
          <w:numId w:val="12"/>
        </w:numPr>
        <w:shd w:val="clear" w:color="auto" w:fill="auto"/>
        <w:tabs>
          <w:tab w:val="left" w:pos="720"/>
        </w:tabs>
        <w:spacing w:after="740"/>
        <w:ind w:left="740" w:hanging="740"/>
        <w:jc w:val="both"/>
      </w:pPr>
      <w:r>
        <w:t xml:space="preserve">Další účastník je oprávněn odstoupit od této smlouvy v případě, že je Hlavní příjemce v prodlení s převodem částky ve lhůtě dle odstavce 5.3 této smlouvy </w:t>
      </w:r>
      <w:r>
        <w:t>přesahujícím 14 dnů od obdržení dotace na účet Hlavního příjemce, a dále v případě závažných porušení ujednání smlouvy nebo neplnění povinností podle smlouvy ze strany Hlavního příjemce.</w:t>
      </w:r>
    </w:p>
    <w:p w:rsidR="00356F24" w:rsidRDefault="003405A5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Článek XIV</w:t>
      </w:r>
    </w:p>
    <w:p w:rsidR="00356F24" w:rsidRDefault="003405A5">
      <w:pPr>
        <w:pStyle w:val="Zkladntext"/>
        <w:shd w:val="clear" w:color="auto" w:fill="auto"/>
        <w:jc w:val="center"/>
      </w:pPr>
      <w:r>
        <w:rPr>
          <w:b/>
          <w:bCs/>
        </w:rPr>
        <w:t>Závěrečná ustanovení</w:t>
      </w:r>
      <w:r>
        <w:br w:type="page"/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1"/>
        </w:tabs>
        <w:ind w:left="740" w:hanging="740"/>
        <w:jc w:val="both"/>
      </w:pPr>
      <w:r>
        <w:lastRenderedPageBreak/>
        <w:t>Údaje o Projektu podléhají kódu důvě</w:t>
      </w:r>
      <w:r>
        <w:t>rnosti údajů S, nepodléhají tedy ochraně podle zvláštních právních předpisů.</w:t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1"/>
        </w:tabs>
        <w:ind w:left="740" w:hanging="740"/>
        <w:jc w:val="both"/>
      </w:pPr>
      <w:r>
        <w:t>Smluvní strany se dohodly, že případné spory vzniklé při realizaci Smlouvy budou řešit vzájemnou dohodou. Případné, tímto způsobem nevyřešené právní spory, bude řešit věcně a míst</w:t>
      </w:r>
      <w:r>
        <w:t>ně příslušný soud České republiky.</w:t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1"/>
        </w:tabs>
        <w:ind w:left="740" w:hanging="740"/>
        <w:jc w:val="both"/>
      </w:pPr>
      <w:r>
        <w:t xml:space="preserve">Smlouva může zaniknout úplným splněním všech závazků obou Smluvních stran, které z ní vyplývají, odstoupením od Smlouvy podle ustanovení čl. XIII. Smlouvy anebo písemnou dohodou Smluvních stran, ve které budou mezi </w:t>
      </w:r>
      <w:r>
        <w:t>Hlavním příjemcem a Dalším účastníkem sjednány podmínky ukončení účinnosti Smlouvy. Nedílnou součástí dohody o ukončení účinnosti Smlouvy bude řádné vyúčtování všech finančních prostředků, které byly na řešení Projektu Smluvními stranami vynaloženy.</w:t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1"/>
        </w:tabs>
        <w:ind w:left="740" w:hanging="740"/>
        <w:jc w:val="both"/>
      </w:pPr>
      <w:r>
        <w:t>Vztahy</w:t>
      </w:r>
      <w:r>
        <w:t xml:space="preserve"> Smlouvou neupravené se řídí právními předpisy platnými v České republice, zejména zák. č. 130/2002 Sb., o podpoře výzkumu, experimentálního vývoje a inovací, v účinném znění.</w:t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1"/>
        </w:tabs>
        <w:ind w:left="740" w:hanging="740"/>
        <w:jc w:val="both"/>
      </w:pPr>
      <w:r>
        <w:t xml:space="preserve">Změny a doplňky Smlouvy mohou být prováděny pouze dohodou Smluvních stran, a to </w:t>
      </w:r>
      <w:r>
        <w:t>formou písemných číslovaných dodatků ke Smlouvě.</w:t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1"/>
        </w:tabs>
        <w:ind w:left="740" w:hanging="740"/>
        <w:jc w:val="both"/>
      </w:pPr>
      <w:r>
        <w:t>Smlouva je vyhotovena ve třech kopiích s platností originálu, z nichž každá Smluvní strana obdrží jedno vyhotovení a jedno vyhotovení obdrží Poskytovatel.</w:t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1"/>
        </w:tabs>
        <w:ind w:left="740" w:hanging="740"/>
        <w:jc w:val="both"/>
      </w:pPr>
      <w:r>
        <w:t xml:space="preserve">Smluvní strany tímto prohlašují, že si Smlouvu před </w:t>
      </w:r>
      <w:r>
        <w:t>podpisem přečetly a že Smlouva odpovídá jejich svobodné, vážné a určité vůli, prosté omylu.</w:t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1"/>
        </w:tabs>
        <w:ind w:left="740" w:hanging="740"/>
        <w:jc w:val="both"/>
      </w:pPr>
      <w:r>
        <w:t>Smluvní strany berou na vědomí, že tato Smlouva podléhá právní úpravě zák. č. 340/2015 Sb., o zvláštních podmínkách účinnosti některých smluv, uveřejňování těchto s</w:t>
      </w:r>
      <w:r>
        <w:t>mluv a o registru smluv (zákon o registru smluv), ve znění pozdějších předpisů, a proto bude uveřejněna v registru smluv dle § 4 tohoto zákona. Uveřejnění zajistí Hlavní příjemce.</w:t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1"/>
        </w:tabs>
        <w:ind w:left="740" w:hanging="740"/>
        <w:jc w:val="both"/>
      </w:pPr>
      <w:r>
        <w:t>Smlouva je platná ode dne jejího podpisu oběma smluvními stranami a účinnost</w:t>
      </w:r>
      <w:r>
        <w:t>i nabývá dnem jejího uveřejnění v registru smluv.</w:t>
      </w:r>
    </w:p>
    <w:p w:rsidR="00356F24" w:rsidRDefault="003405A5">
      <w:pPr>
        <w:pStyle w:val="Zkladntext"/>
        <w:numPr>
          <w:ilvl w:val="0"/>
          <w:numId w:val="13"/>
        </w:numPr>
        <w:shd w:val="clear" w:color="auto" w:fill="auto"/>
        <w:tabs>
          <w:tab w:val="left" w:pos="682"/>
        </w:tabs>
        <w:jc w:val="both"/>
      </w:pPr>
      <w:r>
        <w:t>Nedílnou součástí této smlouvy jsou tyto přílohy</w:t>
      </w:r>
    </w:p>
    <w:p w:rsidR="00356F24" w:rsidRDefault="003405A5">
      <w:pPr>
        <w:pStyle w:val="Zkladntext"/>
        <w:shd w:val="clear" w:color="auto" w:fill="auto"/>
        <w:spacing w:after="1180"/>
        <w:ind w:left="2140" w:hanging="140"/>
        <w:jc w:val="both"/>
      </w:pPr>
      <w:r>
        <w:rPr>
          <w:color w:val="221F1F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color w:val="221F1F"/>
        </w:rPr>
        <w:t xml:space="preserve">mlouva o poskytnutí podpory na řešení projektu QK23020085 včetně závazných parametrů řešení projektu, které: jsou schváleným návrhem projektu ve smyslu § </w:t>
      </w:r>
      <w:r>
        <w:rPr>
          <w:color w:val="221F1F"/>
        </w:rPr>
        <w:t>9 odst. 2 zákona o podpoře výzkumu, experimentálního vývoje a inovací</w:t>
      </w:r>
    </w:p>
    <w:p w:rsidR="00356F24" w:rsidRDefault="003405A5">
      <w:pPr>
        <w:pStyle w:val="Zkladntext"/>
        <w:shd w:val="clear" w:color="auto" w:fill="auto"/>
        <w:ind w:firstLine="180"/>
        <w:jc w:val="both"/>
        <w:sectPr w:rsidR="00356F24">
          <w:pgSz w:w="11900" w:h="16840"/>
          <w:pgMar w:top="1126" w:right="1333" w:bottom="1397" w:left="123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3856990</wp:posOffset>
                </wp:positionH>
                <wp:positionV relativeFrom="paragraph">
                  <wp:posOffset>12700</wp:posOffset>
                </wp:positionV>
                <wp:extent cx="737870" cy="2012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F24" w:rsidRDefault="003405A5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3.69999999999999pt;margin-top:1.pt;width:58.100000000000001pt;height:15.8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Brně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</w:p>
    <w:p w:rsidR="00356F24" w:rsidRDefault="00356F24">
      <w:pPr>
        <w:spacing w:line="240" w:lineRule="exact"/>
        <w:rPr>
          <w:sz w:val="19"/>
          <w:szCs w:val="19"/>
        </w:rPr>
      </w:pPr>
    </w:p>
    <w:p w:rsidR="00356F24" w:rsidRDefault="00356F24">
      <w:pPr>
        <w:spacing w:line="240" w:lineRule="exact"/>
        <w:rPr>
          <w:sz w:val="19"/>
          <w:szCs w:val="19"/>
        </w:rPr>
      </w:pPr>
    </w:p>
    <w:p w:rsidR="00356F24" w:rsidRDefault="00356F24">
      <w:pPr>
        <w:spacing w:before="12" w:after="12" w:line="240" w:lineRule="exact"/>
        <w:rPr>
          <w:sz w:val="19"/>
          <w:szCs w:val="19"/>
        </w:rPr>
      </w:pPr>
    </w:p>
    <w:p w:rsidR="00356F24" w:rsidRDefault="00356F24">
      <w:pPr>
        <w:spacing w:line="1" w:lineRule="exact"/>
        <w:sectPr w:rsidR="00356F24">
          <w:type w:val="continuous"/>
          <w:pgSz w:w="11900" w:h="16840"/>
          <w:pgMar w:top="1110" w:right="0" w:bottom="1206" w:left="0" w:header="0" w:footer="3" w:gutter="0"/>
          <w:cols w:space="720"/>
          <w:noEndnote/>
          <w:docGrid w:linePitch="360"/>
        </w:sectPr>
      </w:pPr>
    </w:p>
    <w:p w:rsidR="00356F24" w:rsidRDefault="003405A5">
      <w:pPr>
        <w:spacing w:line="1" w:lineRule="exact"/>
      </w:pPr>
      <w:r>
        <w:rPr>
          <w:noProof/>
        </w:rPr>
        <mc:AlternateContent>
          <mc:Choice Requires="wps">
            <w:drawing>
              <wp:anchor distT="368300" distB="0" distL="76200" distR="76200" simplePos="0" relativeHeight="125829388" behindDoc="0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396240</wp:posOffset>
                </wp:positionV>
                <wp:extent cx="1386840" cy="58801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F24" w:rsidRDefault="00356F24">
                            <w:pPr>
                              <w:pStyle w:val="Other0"/>
                              <w:shd w:val="clear" w:color="auto" w:fill="auto"/>
                              <w:spacing w:line="28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1" type="#_x0000_t202" style="position:absolute;margin-left:418.15pt;margin-top:31.2pt;width:109.2pt;height:46.3pt;z-index:125829388;visibility:visible;mso-wrap-style:square;mso-wrap-distance-left:6pt;mso-wrap-distance-top:29pt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" filled="f" stroked="f">
                <v:textbox inset="0,0,0,0">
                  <w:txbxContent>
                    <w:p w:rsidR="00356F24" w:rsidRDefault="00356F24">
                      <w:pPr>
                        <w:pStyle w:val="Other0"/>
                        <w:shd w:val="clear" w:color="auto" w:fill="auto"/>
                        <w:spacing w:line="28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56F24" w:rsidRDefault="003405A5">
      <w:pPr>
        <w:pStyle w:val="Zkladntext"/>
        <w:shd w:val="clear" w:color="auto" w:fill="auto"/>
        <w:spacing w:after="120"/>
      </w:pPr>
      <w:r>
        <w:t>Za Hlavního příjemce:</w:t>
      </w:r>
    </w:p>
    <w:p w:rsidR="00356F24" w:rsidRDefault="003405A5">
      <w:pPr>
        <w:pStyle w:val="Zkladntext"/>
        <w:shd w:val="clear" w:color="auto" w:fill="auto"/>
        <w:spacing w:after="120"/>
        <w:ind w:firstLine="200"/>
      </w:pPr>
      <w:r>
        <w:t>Dr. Ing. Pavel Čermák, statutární zástupce</w:t>
      </w:r>
    </w:p>
    <w:p w:rsidR="00356F24" w:rsidRDefault="003405A5">
      <w:pPr>
        <w:pStyle w:val="Zkladntext"/>
        <w:shd w:val="clear" w:color="auto" w:fill="auto"/>
        <w:spacing w:after="120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356F24" w:rsidRDefault="003405A5">
      <w:pPr>
        <w:pStyle w:val="Zkladntext"/>
        <w:shd w:val="clear" w:color="auto" w:fill="auto"/>
        <w:spacing w:after="340"/>
      </w:pPr>
      <w:r>
        <w:t>Za Dalšího účastníka:</w:t>
      </w:r>
    </w:p>
    <w:p w:rsidR="00356F24" w:rsidRDefault="003405A5">
      <w:pPr>
        <w:pStyle w:val="Zkladntext"/>
        <w:pBdr>
          <w:top w:val="single" w:sz="4" w:space="0" w:color="auto"/>
        </w:pBdr>
        <w:shd w:val="clear" w:color="auto" w:fill="auto"/>
        <w:spacing w:after="100"/>
        <w:jc w:val="center"/>
      </w:pPr>
      <w:r>
        <w:t xml:space="preserve">Mareš, </w:t>
      </w:r>
      <w:proofErr w:type="spellStart"/>
      <w:r>
        <w:rPr>
          <w:lang w:val="en-US" w:eastAsia="en-US" w:bidi="en-US"/>
        </w:rPr>
        <w:t>rektor</w:t>
      </w:r>
      <w:proofErr w:type="spellEnd"/>
    </w:p>
    <w:p w:rsidR="00356F24" w:rsidRDefault="003405A5">
      <w:pPr>
        <w:pStyle w:val="Zkladntext"/>
        <w:shd w:val="clear" w:color="auto" w:fill="auto"/>
        <w:spacing w:after="160"/>
        <w:ind w:firstLine="700"/>
        <w:sectPr w:rsidR="00356F24">
          <w:type w:val="continuous"/>
          <w:pgSz w:w="11900" w:h="16840"/>
          <w:pgMar w:top="1110" w:right="1401" w:bottom="1206" w:left="1374" w:header="0" w:footer="3" w:gutter="0"/>
          <w:cols w:num="2" w:space="100"/>
          <w:noEndnote/>
          <w:docGrid w:linePitch="360"/>
        </w:sectPr>
      </w:pPr>
      <w:proofErr w:type="spellStart"/>
      <w:r>
        <w:rPr>
          <w:b/>
          <w:bCs/>
          <w:lang w:val="en-US" w:eastAsia="en-US" w:bidi="en-US"/>
        </w:rPr>
        <w:t>Mendelova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univerzita</w:t>
      </w:r>
      <w:proofErr w:type="spellEnd"/>
      <w:r>
        <w:rPr>
          <w:b/>
          <w:bCs/>
          <w:lang w:val="en-US" w:eastAsia="en-US" w:bidi="en-US"/>
        </w:rPr>
        <w:t xml:space="preserve"> v </w:t>
      </w:r>
      <w:r>
        <w:rPr>
          <w:b/>
          <w:bCs/>
        </w:rPr>
        <w:t>Brně</w:t>
      </w:r>
    </w:p>
    <w:p w:rsidR="00356F24" w:rsidRDefault="00356F24">
      <w:pPr>
        <w:rPr>
          <w:sz w:val="2"/>
          <w:szCs w:val="2"/>
        </w:rPr>
        <w:sectPr w:rsidR="00356F24">
          <w:type w:val="continuous"/>
          <w:pgSz w:w="11900" w:h="16840"/>
          <w:pgMar w:top="1110" w:right="1401" w:bottom="1206" w:left="1374" w:header="0" w:footer="3" w:gutter="0"/>
          <w:cols w:num="2" w:space="100"/>
          <w:noEndnote/>
          <w:docGrid w:linePitch="360"/>
        </w:sectPr>
      </w:pPr>
    </w:p>
    <w:p w:rsidR="00356F24" w:rsidRDefault="003405A5">
      <w:pPr>
        <w:pStyle w:val="Zkladntext"/>
        <w:framePr w:w="317" w:h="317" w:wrap="none" w:hAnchor="page" w:x="5790" w:y="1"/>
        <w:shd w:val="clear" w:color="auto" w:fill="auto"/>
      </w:pPr>
      <w:r>
        <w:lastRenderedPageBreak/>
        <w:t>10</w:t>
      </w:r>
    </w:p>
    <w:p w:rsidR="00356F24" w:rsidRDefault="00356F24">
      <w:pPr>
        <w:spacing w:after="316" w:line="1" w:lineRule="exact"/>
      </w:pPr>
    </w:p>
    <w:p w:rsidR="00356F24" w:rsidRDefault="00356F24">
      <w:pPr>
        <w:spacing w:line="1" w:lineRule="exact"/>
        <w:sectPr w:rsidR="00356F24">
          <w:pgSz w:w="11900" w:h="16840"/>
          <w:pgMar w:top="15553" w:right="5794" w:bottom="771" w:left="5789" w:header="0" w:footer="3" w:gutter="0"/>
          <w:cols w:space="720"/>
          <w:noEndnote/>
          <w:docGrid w:linePitch="360"/>
        </w:sectPr>
      </w:pPr>
    </w:p>
    <w:p w:rsidR="00356F24" w:rsidRDefault="003405A5">
      <w:pPr>
        <w:pStyle w:val="Bodytext20"/>
        <w:shd w:val="clear" w:color="auto" w:fill="auto"/>
        <w:spacing w:before="80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Smlouva číslo: 1883-2022-13132</w:t>
      </w:r>
    </w:p>
    <w:p w:rsidR="00356F24" w:rsidRDefault="003405A5">
      <w:pPr>
        <w:pStyle w:val="Bodytext20"/>
        <w:shd w:val="clear" w:color="auto" w:fill="auto"/>
        <w:spacing w:after="1760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Č.j.: MZE-66135/2022-13132</w:t>
      </w:r>
    </w:p>
    <w:p w:rsidR="00356F24" w:rsidRDefault="003405A5">
      <w:pPr>
        <w:pStyle w:val="Other0"/>
        <w:shd w:val="clear" w:color="auto" w:fill="auto"/>
        <w:jc w:val="center"/>
        <w:rPr>
          <w:sz w:val="36"/>
          <w:szCs w:val="36"/>
        </w:rPr>
      </w:pPr>
      <w:r>
        <w:rPr>
          <w:rFonts w:ascii="Cambria" w:eastAsia="Cambria" w:hAnsi="Cambria" w:cs="Cambria"/>
          <w:b/>
          <w:bCs/>
          <w:sz w:val="36"/>
          <w:szCs w:val="36"/>
        </w:rPr>
        <w:t>Ministerstvo zemědělství</w:t>
      </w:r>
    </w:p>
    <w:p w:rsidR="00356F24" w:rsidRDefault="003405A5">
      <w:pPr>
        <w:pStyle w:val="Other0"/>
        <w:shd w:val="clear" w:color="auto" w:fill="auto"/>
        <w:spacing w:after="1520"/>
        <w:jc w:val="center"/>
        <w:rPr>
          <w:sz w:val="36"/>
          <w:szCs w:val="36"/>
        </w:rPr>
      </w:pPr>
      <w:r>
        <w:rPr>
          <w:rFonts w:ascii="Cambria" w:eastAsia="Cambria" w:hAnsi="Cambria" w:cs="Cambria"/>
          <w:b/>
          <w:bCs/>
          <w:sz w:val="36"/>
          <w:szCs w:val="36"/>
        </w:rPr>
        <w:t>Národní agentura pro zemědělský výzkum</w:t>
      </w:r>
    </w:p>
    <w:p w:rsidR="00356F24" w:rsidRDefault="003405A5">
      <w:pPr>
        <w:pStyle w:val="Other0"/>
        <w:shd w:val="clear" w:color="auto" w:fill="auto"/>
        <w:spacing w:after="420"/>
        <w:jc w:val="center"/>
        <w:rPr>
          <w:sz w:val="50"/>
          <w:szCs w:val="50"/>
        </w:rPr>
      </w:pPr>
      <w:r>
        <w:rPr>
          <w:rFonts w:ascii="Cambria" w:eastAsia="Cambria" w:hAnsi="Cambria" w:cs="Cambria"/>
          <w:b/>
          <w:bCs/>
          <w:sz w:val="50"/>
          <w:szCs w:val="50"/>
        </w:rPr>
        <w:t>Smlouva</w:t>
      </w:r>
    </w:p>
    <w:p w:rsidR="00356F24" w:rsidRDefault="003405A5">
      <w:pPr>
        <w:pStyle w:val="Other0"/>
        <w:shd w:val="clear" w:color="auto" w:fill="auto"/>
        <w:jc w:val="center"/>
        <w:rPr>
          <w:sz w:val="36"/>
          <w:szCs w:val="36"/>
        </w:rPr>
      </w:pPr>
      <w:r>
        <w:rPr>
          <w:rFonts w:ascii="Cambria" w:eastAsia="Cambria" w:hAnsi="Cambria" w:cs="Cambria"/>
          <w:b/>
          <w:bCs/>
          <w:sz w:val="36"/>
          <w:szCs w:val="36"/>
        </w:rPr>
        <w:t xml:space="preserve">o </w:t>
      </w:r>
      <w:r>
        <w:rPr>
          <w:rFonts w:ascii="Cambria" w:eastAsia="Cambria" w:hAnsi="Cambria" w:cs="Cambria"/>
          <w:b/>
          <w:bCs/>
          <w:sz w:val="36"/>
          <w:szCs w:val="36"/>
        </w:rPr>
        <w:t>poskytnutí podpory na řešení projektu výzkumu</w:t>
      </w:r>
      <w:r>
        <w:rPr>
          <w:rFonts w:ascii="Cambria" w:eastAsia="Cambria" w:hAnsi="Cambria" w:cs="Cambria"/>
          <w:b/>
          <w:bCs/>
          <w:sz w:val="36"/>
          <w:szCs w:val="36"/>
        </w:rPr>
        <w:br/>
        <w:t xml:space="preserve">a vývoje Programu aplikovaného výzkumu </w:t>
      </w:r>
      <w:proofErr w:type="gramStart"/>
      <w:r>
        <w:rPr>
          <w:rFonts w:ascii="Cambria" w:eastAsia="Cambria" w:hAnsi="Cambria" w:cs="Cambria"/>
          <w:b/>
          <w:bCs/>
          <w:sz w:val="36"/>
          <w:szCs w:val="36"/>
        </w:rPr>
        <w:t>Ministerstva</w:t>
      </w:r>
      <w:proofErr w:type="gramEnd"/>
      <w:r>
        <w:rPr>
          <w:rFonts w:ascii="Cambria" w:eastAsia="Cambria" w:hAnsi="Cambria" w:cs="Cambria"/>
          <w:b/>
          <w:bCs/>
          <w:sz w:val="36"/>
          <w:szCs w:val="36"/>
        </w:rPr>
        <w:br/>
        <w:t>zemědělství na období 2017-2025, ZEMĚ</w:t>
      </w:r>
    </w:p>
    <w:p w:rsidR="00356F24" w:rsidRDefault="003405A5">
      <w:pPr>
        <w:pStyle w:val="Other0"/>
        <w:shd w:val="clear" w:color="auto" w:fill="auto"/>
        <w:spacing w:after="360"/>
        <w:jc w:val="center"/>
        <w:rPr>
          <w:sz w:val="30"/>
          <w:szCs w:val="30"/>
        </w:rPr>
      </w:pPr>
      <w:r>
        <w:rPr>
          <w:rFonts w:ascii="Cambria" w:eastAsia="Cambria" w:hAnsi="Cambria" w:cs="Cambria"/>
          <w:sz w:val="30"/>
          <w:szCs w:val="30"/>
        </w:rPr>
        <w:t>SMLOUVA O POSKYTNUTÍ PODPORY NA ŘEŠENÍ</w:t>
      </w:r>
      <w:r>
        <w:rPr>
          <w:rFonts w:ascii="Cambria" w:eastAsia="Cambria" w:hAnsi="Cambria" w:cs="Cambria"/>
          <w:sz w:val="30"/>
          <w:szCs w:val="30"/>
        </w:rPr>
        <w:br/>
        <w:t>PROJEKTU QK23020085</w:t>
      </w:r>
    </w:p>
    <w:p w:rsidR="00356F24" w:rsidRDefault="003405A5">
      <w:pPr>
        <w:pStyle w:val="Bodytext20"/>
        <w:shd w:val="clear" w:color="auto" w:fill="auto"/>
        <w:spacing w:after="240" w:line="254" w:lineRule="auto"/>
        <w:ind w:left="0" w:firstLine="0"/>
      </w:pPr>
      <w:r>
        <w:t>Smluvní strany:</w:t>
      </w:r>
    </w:p>
    <w:p w:rsidR="00356F24" w:rsidRDefault="003405A5">
      <w:pPr>
        <w:pStyle w:val="Bodytext20"/>
        <w:shd w:val="clear" w:color="auto" w:fill="auto"/>
        <w:ind w:left="0" w:firstLine="0"/>
      </w:pP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zemědělství</w:t>
      </w:r>
    </w:p>
    <w:p w:rsidR="00356F24" w:rsidRDefault="003405A5">
      <w:pPr>
        <w:pStyle w:val="Bodytext20"/>
        <w:shd w:val="clear" w:color="auto" w:fill="auto"/>
        <w:ind w:left="0" w:firstLine="0"/>
      </w:pPr>
      <w:r>
        <w:t>se</w:t>
      </w:r>
      <w:r>
        <w:t xml:space="preserve">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356F24" w:rsidRDefault="003405A5">
      <w:pPr>
        <w:pStyle w:val="Bodytext20"/>
        <w:shd w:val="clear" w:color="auto" w:fill="auto"/>
        <w:ind w:left="0" w:firstLine="0"/>
      </w:pPr>
      <w:r>
        <w:t>IČO: 00020478</w:t>
      </w:r>
    </w:p>
    <w:p w:rsidR="00356F24" w:rsidRDefault="003405A5">
      <w:pPr>
        <w:pStyle w:val="Bodytext20"/>
        <w:shd w:val="clear" w:color="auto" w:fill="auto"/>
        <w:spacing w:after="60"/>
        <w:ind w:left="0" w:firstLine="0"/>
      </w:pPr>
      <w:r>
        <w:t>bankovní spojení: ČNB, centrální pobočka Praha 1 zastoupená: Ing. Petr Jílek, náměstek pro řízení Sekce ekologického zemědělství, komodit, výzkumu a vzdělávání</w:t>
      </w:r>
    </w:p>
    <w:p w:rsidR="00356F24" w:rsidRDefault="003405A5">
      <w:pPr>
        <w:pStyle w:val="Bodytext20"/>
        <w:shd w:val="clear" w:color="auto" w:fill="auto"/>
        <w:spacing w:after="240" w:line="254" w:lineRule="auto"/>
        <w:ind w:left="0" w:firstLine="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356F24" w:rsidRDefault="003405A5">
      <w:pPr>
        <w:pStyle w:val="Bodytext20"/>
        <w:shd w:val="clear" w:color="auto" w:fill="auto"/>
        <w:spacing w:after="240" w:line="254" w:lineRule="auto"/>
        <w:ind w:left="0" w:firstLine="0"/>
      </w:pPr>
      <w:r>
        <w:t>a</w:t>
      </w:r>
    </w:p>
    <w:p w:rsidR="00356F24" w:rsidRDefault="003405A5">
      <w:pPr>
        <w:pStyle w:val="Bodytext20"/>
        <w:shd w:val="clear" w:color="auto" w:fill="auto"/>
        <w:ind w:left="0" w:firstLine="0"/>
      </w:pPr>
      <w:r>
        <w:rPr>
          <w:b/>
          <w:bCs/>
        </w:rPr>
        <w:t>Výz</w:t>
      </w:r>
      <w:r>
        <w:rPr>
          <w:b/>
          <w:bCs/>
        </w:rPr>
        <w:t>kumný ústav živočišné výroby, v. v. i.</w:t>
      </w:r>
    </w:p>
    <w:p w:rsidR="00356F24" w:rsidRDefault="003405A5">
      <w:pPr>
        <w:pStyle w:val="Bodytext20"/>
        <w:shd w:val="clear" w:color="auto" w:fill="auto"/>
        <w:ind w:left="0" w:firstLine="0"/>
      </w:pPr>
      <w:proofErr w:type="gramStart"/>
      <w:r>
        <w:t>VVI - Veřejná</w:t>
      </w:r>
      <w:proofErr w:type="gramEnd"/>
      <w:r>
        <w:t xml:space="preserve"> výzkumná instituce (zákon č. 341/2005 Sb., o veřejných výzkumných institucích) - Veřejná výzkumná instituce</w:t>
      </w:r>
    </w:p>
    <w:p w:rsidR="00356F24" w:rsidRDefault="003405A5">
      <w:pPr>
        <w:pStyle w:val="Bodytext20"/>
        <w:shd w:val="clear" w:color="auto" w:fill="auto"/>
        <w:ind w:left="0" w:firstLine="0"/>
      </w:pPr>
      <w:r>
        <w:t>se sídlem: Přátelství 815/109, 104 00 Praha 22 - Uhříněves</w:t>
      </w:r>
    </w:p>
    <w:p w:rsidR="00356F24" w:rsidRDefault="003405A5">
      <w:pPr>
        <w:pStyle w:val="Bodytext20"/>
        <w:shd w:val="clear" w:color="auto" w:fill="auto"/>
        <w:ind w:left="0" w:firstLine="0"/>
      </w:pPr>
      <w:r>
        <w:t>IČO: 00027014</w:t>
      </w:r>
    </w:p>
    <w:p w:rsidR="00356F24" w:rsidRDefault="003405A5">
      <w:pPr>
        <w:pStyle w:val="Bodytext20"/>
        <w:shd w:val="clear" w:color="auto" w:fill="auto"/>
        <w:ind w:left="0" w:firstLine="0"/>
      </w:pPr>
      <w:r>
        <w:lastRenderedPageBreak/>
        <w:t xml:space="preserve">bankovní spojení: </w:t>
      </w:r>
      <w:r>
        <w:t>Česká národní banka</w:t>
      </w:r>
    </w:p>
    <w:p w:rsidR="00356F24" w:rsidRDefault="003405A5">
      <w:pPr>
        <w:pStyle w:val="Bodytext20"/>
        <w:shd w:val="clear" w:color="auto" w:fill="auto"/>
        <w:ind w:left="0" w:firstLine="0"/>
      </w:pPr>
      <w:r>
        <w:t xml:space="preserve">číslo účtu: </w:t>
      </w:r>
    </w:p>
    <w:p w:rsidR="00356F24" w:rsidRDefault="003405A5">
      <w:pPr>
        <w:pStyle w:val="Bodytext20"/>
        <w:shd w:val="clear" w:color="auto" w:fill="auto"/>
        <w:spacing w:after="60"/>
        <w:ind w:left="0" w:firstLine="0"/>
      </w:pPr>
      <w:r>
        <w:t>zastoupená: doc. Ing. Petr Homolka, CSc., Ph.D., ředitel</w:t>
      </w:r>
    </w:p>
    <w:p w:rsidR="00356F24" w:rsidRDefault="003405A5">
      <w:pPr>
        <w:pStyle w:val="Bodytext20"/>
        <w:shd w:val="clear" w:color="auto" w:fill="auto"/>
        <w:spacing w:after="360" w:line="254" w:lineRule="auto"/>
        <w:ind w:left="0" w:firstLine="0"/>
      </w:pPr>
      <w:r>
        <w:t xml:space="preserve">(dále jen </w:t>
      </w:r>
      <w:r>
        <w:rPr>
          <w:b/>
          <w:bCs/>
        </w:rPr>
        <w:t>„hlavní příjemce“</w:t>
      </w:r>
      <w:r>
        <w:t>)</w:t>
      </w:r>
    </w:p>
    <w:p w:rsidR="00356F24" w:rsidRDefault="003405A5">
      <w:pPr>
        <w:pStyle w:val="Bodytext20"/>
        <w:shd w:val="clear" w:color="auto" w:fill="auto"/>
        <w:spacing w:after="240" w:line="264" w:lineRule="auto"/>
        <w:ind w:left="0" w:firstLine="0"/>
        <w:jc w:val="both"/>
      </w:pPr>
      <w:r>
        <w:t xml:space="preserve">na zaklade výsledku veřejné soutěže vyhlášené poskytovatelem v rámci Programu ZEMĚ, uzavřeli podle ustanovení § 9 odst. 1 </w:t>
      </w:r>
      <w:r>
        <w:t xml:space="preserve">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</w:t>
      </w:r>
      <w:r>
        <w:t>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</w:t>
      </w:r>
      <w:r>
        <w:rPr>
          <w:lang w:val="en-US" w:eastAsia="en-US" w:bidi="en-US"/>
        </w:rPr>
        <w:t xml:space="preserve">(dale </w:t>
      </w:r>
      <w:r>
        <w:t>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r>
        <w:t xml:space="preserve">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predpisu</w:t>
      </w:r>
      <w:proofErr w:type="spellEnd"/>
      <w:r>
        <w:rPr>
          <w:lang w:val="en-US" w:eastAsia="en-US" w:bidi="en-US"/>
        </w:rPr>
        <w:t xml:space="preserve"> (dale </w:t>
      </w:r>
      <w:r>
        <w:t>jen „</w:t>
      </w:r>
      <w:proofErr w:type="spellStart"/>
      <w:r>
        <w:t>zakon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r>
        <w:rPr>
          <w:lang w:val="en-US" w:eastAsia="en-US" w:bidi="en-US"/>
        </w:rPr>
        <w:t xml:space="preserve">dale </w:t>
      </w:r>
      <w:r>
        <w:t xml:space="preserve">v souladu s cl. 25 </w:t>
      </w:r>
      <w:proofErr w:type="spellStart"/>
      <w:r>
        <w:rPr>
          <w:lang w:val="en-US" w:eastAsia="en-US" w:bidi="en-US"/>
        </w:rPr>
        <w:t>Nanzeni</w:t>
      </w:r>
      <w:proofErr w:type="spellEnd"/>
      <w:r>
        <w:rPr>
          <w:lang w:val="en-US" w:eastAsia="en-US" w:bidi="en-US"/>
        </w:rPr>
        <w:t xml:space="preserve"> </w:t>
      </w:r>
      <w:r>
        <w:t xml:space="preserve">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</w:t>
      </w:r>
      <w:r>
        <w:t>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dne 26. 6. 2014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Nanzení</w:t>
      </w:r>
      <w:proofErr w:type="spellEnd"/>
      <w:r>
        <w:t xml:space="preserve"> Komise (EU) 2017/1084 ze dne 14. </w:t>
      </w:r>
      <w:proofErr w:type="spellStart"/>
      <w:r>
        <w:t>cervna</w:t>
      </w:r>
      <w:proofErr w:type="spellEnd"/>
      <w:r>
        <w:t xml:space="preserve"> 2017,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vestník</w:t>
      </w:r>
      <w:proofErr w:type="spellEnd"/>
      <w:r>
        <w:t xml:space="preserve"> EU L 156 ze dne 20. 6. 2017 </w:t>
      </w:r>
      <w:r>
        <w:rPr>
          <w:lang w:val="en-US" w:eastAsia="en-US" w:bidi="en-US"/>
        </w:rPr>
        <w:t xml:space="preserve">(dale </w:t>
      </w:r>
      <w:r>
        <w:t>jen „GBER“), v souladu s</w:t>
      </w:r>
      <w:r>
        <w:t xml:space="preserve">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statní podporu výzkumu, vývoje a inovací,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vestník</w:t>
      </w:r>
      <w:proofErr w:type="spellEnd"/>
      <w:r>
        <w:t xml:space="preserve"> EU ze dne 27. 6. 2014, 2014/C 198/01 (dále jen „Rámec“)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4694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814" w:type="dxa"/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tuto</w:t>
            </w:r>
            <w:proofErr w:type="spellEnd"/>
          </w:p>
        </w:tc>
        <w:tc>
          <w:tcPr>
            <w:tcW w:w="4694" w:type="dxa"/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Smlouvu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 xml:space="preserve"> o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poskytnutí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podpory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na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řešení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projektu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 xml:space="preserve"> QK23020085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(dále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 w:eastAsia="en-US" w:bidi="en-US"/>
              </w:rPr>
              <w:t>jen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„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Smlouva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“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  <w:lang w:val="en-US" w:eastAsia="en-US" w:bidi="en-US"/>
              </w:rPr>
              <w:t>).</w:t>
            </w:r>
          </w:p>
        </w:tc>
      </w:tr>
    </w:tbl>
    <w:p w:rsidR="00356F24" w:rsidRDefault="00356F24">
      <w:pPr>
        <w:spacing w:after="1079" w:line="1" w:lineRule="exact"/>
      </w:pP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1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 xml:space="preserve">Předmět a účel Smlouvy a </w:t>
      </w:r>
      <w:r>
        <w:rPr>
          <w:b/>
          <w:bCs/>
        </w:rPr>
        <w:t>předmět řešení projektu</w:t>
      </w:r>
    </w:p>
    <w:p w:rsidR="00356F24" w:rsidRDefault="003405A5">
      <w:pPr>
        <w:pStyle w:val="Bodytext20"/>
        <w:numPr>
          <w:ilvl w:val="0"/>
          <w:numId w:val="14"/>
        </w:numPr>
        <w:shd w:val="clear" w:color="auto" w:fill="auto"/>
        <w:tabs>
          <w:tab w:val="left" w:pos="641"/>
        </w:tabs>
        <w:ind w:left="0" w:firstLine="160"/>
        <w:jc w:val="both"/>
      </w:pPr>
      <w:r>
        <w:t>Předmětem této Smlouvy je</w:t>
      </w:r>
    </w:p>
    <w:p w:rsidR="00356F24" w:rsidRDefault="003405A5">
      <w:pPr>
        <w:pStyle w:val="Bodytext20"/>
        <w:numPr>
          <w:ilvl w:val="0"/>
          <w:numId w:val="15"/>
        </w:numPr>
        <w:shd w:val="clear" w:color="auto" w:fill="auto"/>
        <w:tabs>
          <w:tab w:val="left" w:pos="1248"/>
        </w:tabs>
        <w:ind w:left="1220" w:hanging="280"/>
        <w:jc w:val="both"/>
      </w:pPr>
      <w:r>
        <w:t xml:space="preserve">podpora projektu výzkumu a vývoje </w:t>
      </w:r>
      <w:r>
        <w:rPr>
          <w:b/>
          <w:bCs/>
        </w:rPr>
        <w:t xml:space="preserve">QK23020085 „Nové směry v produkci selat s důrazem na </w:t>
      </w:r>
      <w:r>
        <w:rPr>
          <w:b/>
          <w:bCs/>
          <w:lang w:val="en-US" w:eastAsia="en-US" w:bidi="en-US"/>
        </w:rPr>
        <w:t xml:space="preserve">welfare, </w:t>
      </w:r>
      <w:r>
        <w:rPr>
          <w:b/>
          <w:bCs/>
        </w:rPr>
        <w:t xml:space="preserve">ochranu životního prostředí a ekonomiku produkce“ </w:t>
      </w:r>
      <w:r>
        <w:rPr>
          <w:lang w:val="en-US" w:eastAsia="en-US" w:bidi="en-US"/>
        </w:rPr>
        <w:t xml:space="preserve">(dale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„</w:t>
      </w:r>
      <w:proofErr w:type="spellStart"/>
      <w:r>
        <w:rPr>
          <w:lang w:val="en-US" w:eastAsia="en-US" w:bidi="en-US"/>
        </w:rPr>
        <w:t>projekt</w:t>
      </w:r>
      <w:proofErr w:type="spellEnd"/>
      <w:r>
        <w:rPr>
          <w:lang w:val="en-US" w:eastAsia="en-US" w:bidi="en-US"/>
        </w:rPr>
        <w:t xml:space="preserve">“), </w:t>
      </w:r>
      <w:r>
        <w:rPr>
          <w:b/>
          <w:bCs/>
        </w:rPr>
        <w:t xml:space="preserve">jehož předmětem </w:t>
      </w:r>
      <w:r>
        <w:rPr>
          <w:b/>
          <w:bCs/>
          <w:lang w:val="en-US" w:eastAsia="en-US" w:bidi="en-US"/>
        </w:rPr>
        <w:t>je</w:t>
      </w:r>
    </w:p>
    <w:p w:rsidR="00356F24" w:rsidRDefault="003405A5">
      <w:pPr>
        <w:pStyle w:val="Bodytext20"/>
        <w:shd w:val="clear" w:color="auto" w:fill="auto"/>
        <w:ind w:left="1220" w:firstLine="0"/>
        <w:jc w:val="both"/>
      </w:pPr>
      <w:r>
        <w:rPr>
          <w:b/>
          <w:bCs/>
        </w:rPr>
        <w:t xml:space="preserve">Cílem </w:t>
      </w:r>
      <w:proofErr w:type="spellStart"/>
      <w:r>
        <w:rPr>
          <w:b/>
          <w:bCs/>
          <w:lang w:val="en-US" w:eastAsia="en-US" w:bidi="en-US"/>
        </w:rPr>
        <w:t>projektu</w:t>
      </w:r>
      <w:proofErr w:type="spellEnd"/>
      <w:r>
        <w:rPr>
          <w:b/>
          <w:bCs/>
          <w:lang w:val="en-US" w:eastAsia="en-US" w:bidi="en-US"/>
        </w:rPr>
        <w:t xml:space="preserve"> je </w:t>
      </w:r>
      <w:proofErr w:type="spellStart"/>
      <w:r>
        <w:rPr>
          <w:b/>
          <w:bCs/>
          <w:lang w:val="en-US" w:eastAsia="en-US" w:bidi="en-US"/>
        </w:rPr>
        <w:t>zmapovat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systémy ustájení rodících </w:t>
      </w:r>
      <w:r>
        <w:rPr>
          <w:b/>
          <w:bCs/>
          <w:lang w:val="en-US" w:eastAsia="en-US" w:bidi="en-US"/>
        </w:rPr>
        <w:t xml:space="preserve">a </w:t>
      </w:r>
      <w:r>
        <w:rPr>
          <w:b/>
          <w:bCs/>
        </w:rPr>
        <w:t xml:space="preserve">kojících </w:t>
      </w:r>
      <w:proofErr w:type="spellStart"/>
      <w:r>
        <w:rPr>
          <w:b/>
          <w:bCs/>
          <w:lang w:val="en-US" w:eastAsia="en-US" w:bidi="en-US"/>
        </w:rPr>
        <w:t>prasnic</w:t>
      </w:r>
      <w:proofErr w:type="spellEnd"/>
      <w:r>
        <w:rPr>
          <w:b/>
          <w:bCs/>
          <w:lang w:val="en-US" w:eastAsia="en-US" w:bidi="en-US"/>
        </w:rPr>
        <w:t xml:space="preserve"> v </w:t>
      </w:r>
      <w:r>
        <w:rPr>
          <w:b/>
          <w:bCs/>
        </w:rPr>
        <w:t xml:space="preserve">rámci České </w:t>
      </w:r>
      <w:proofErr w:type="spellStart"/>
      <w:r>
        <w:rPr>
          <w:b/>
          <w:bCs/>
          <w:lang w:val="en-US" w:eastAsia="en-US" w:bidi="en-US"/>
        </w:rPr>
        <w:t>republiky</w:t>
      </w:r>
      <w:proofErr w:type="spellEnd"/>
      <w:r>
        <w:rPr>
          <w:b/>
          <w:bCs/>
          <w:lang w:val="en-US" w:eastAsia="en-US" w:bidi="en-US"/>
        </w:rPr>
        <w:t xml:space="preserve">, </w:t>
      </w:r>
      <w:proofErr w:type="spellStart"/>
      <w:r>
        <w:rPr>
          <w:b/>
          <w:bCs/>
          <w:lang w:val="en-US" w:eastAsia="en-US" w:bidi="en-US"/>
        </w:rPr>
        <w:t>posoudit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jednotlivé </w:t>
      </w:r>
      <w:proofErr w:type="spellStart"/>
      <w:r>
        <w:rPr>
          <w:b/>
          <w:bCs/>
          <w:lang w:val="en-US" w:eastAsia="en-US" w:bidi="en-US"/>
        </w:rPr>
        <w:t>technologie</w:t>
      </w:r>
      <w:proofErr w:type="spellEnd"/>
      <w:r>
        <w:rPr>
          <w:b/>
          <w:bCs/>
          <w:lang w:val="en-US" w:eastAsia="en-US" w:bidi="en-US"/>
        </w:rPr>
        <w:t xml:space="preserve"> z </w:t>
      </w:r>
      <w:proofErr w:type="spellStart"/>
      <w:r>
        <w:rPr>
          <w:b/>
          <w:bCs/>
          <w:lang w:val="en-US" w:eastAsia="en-US" w:bidi="en-US"/>
        </w:rPr>
        <w:t>hlediska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užitkovosti </w:t>
      </w:r>
      <w:r>
        <w:rPr>
          <w:b/>
          <w:bCs/>
          <w:lang w:val="en-US" w:eastAsia="en-US" w:bidi="en-US"/>
        </w:rPr>
        <w:t xml:space="preserve">a welfare </w:t>
      </w:r>
      <w:proofErr w:type="spellStart"/>
      <w:r>
        <w:rPr>
          <w:b/>
          <w:bCs/>
          <w:lang w:val="en-US" w:eastAsia="en-US" w:bidi="en-US"/>
        </w:rPr>
        <w:t>prasnic</w:t>
      </w:r>
      <w:proofErr w:type="spellEnd"/>
      <w:r>
        <w:rPr>
          <w:b/>
          <w:bCs/>
          <w:lang w:val="en-US" w:eastAsia="en-US" w:bidi="en-US"/>
        </w:rPr>
        <w:t xml:space="preserve"> a </w:t>
      </w:r>
      <w:proofErr w:type="spellStart"/>
      <w:r>
        <w:rPr>
          <w:b/>
          <w:bCs/>
          <w:lang w:val="en-US" w:eastAsia="en-US" w:bidi="en-US"/>
        </w:rPr>
        <w:t>selat</w:t>
      </w:r>
      <w:proofErr w:type="spellEnd"/>
      <w:r>
        <w:rPr>
          <w:b/>
          <w:bCs/>
          <w:lang w:val="en-US" w:eastAsia="en-US" w:bidi="en-US"/>
        </w:rPr>
        <w:t xml:space="preserve">, </w:t>
      </w:r>
      <w:proofErr w:type="spellStart"/>
      <w:r>
        <w:rPr>
          <w:b/>
          <w:bCs/>
          <w:lang w:val="en-US" w:eastAsia="en-US" w:bidi="en-US"/>
        </w:rPr>
        <w:t>zajistit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příjem </w:t>
      </w:r>
      <w:proofErr w:type="spellStart"/>
      <w:r>
        <w:rPr>
          <w:b/>
          <w:bCs/>
          <w:lang w:val="en-US" w:eastAsia="en-US" w:bidi="en-US"/>
        </w:rPr>
        <w:t>dostatku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krmiva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selaty</w:t>
      </w:r>
      <w:proofErr w:type="spellEnd"/>
      <w:r>
        <w:rPr>
          <w:b/>
          <w:bCs/>
          <w:lang w:val="en-US" w:eastAsia="en-US" w:bidi="en-US"/>
        </w:rPr>
        <w:t xml:space="preserve"> v </w:t>
      </w:r>
      <w:r>
        <w:rPr>
          <w:b/>
          <w:bCs/>
        </w:rPr>
        <w:t xml:space="preserve">případě početných vrhů, </w:t>
      </w:r>
      <w:proofErr w:type="spellStart"/>
      <w:r>
        <w:rPr>
          <w:b/>
          <w:bCs/>
          <w:lang w:val="en-US" w:eastAsia="en-US" w:bidi="en-US"/>
        </w:rPr>
        <w:t>vyhodnotit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ekonomi</w:t>
      </w:r>
      <w:r>
        <w:rPr>
          <w:b/>
          <w:bCs/>
        </w:rPr>
        <w:t xml:space="preserve">cké </w:t>
      </w:r>
      <w:proofErr w:type="spellStart"/>
      <w:r>
        <w:rPr>
          <w:b/>
          <w:bCs/>
          <w:lang w:val="en-US" w:eastAsia="en-US" w:bidi="en-US"/>
        </w:rPr>
        <w:t>parametry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jednotlivých technologií, </w:t>
      </w:r>
      <w:proofErr w:type="spellStart"/>
      <w:r>
        <w:rPr>
          <w:b/>
          <w:bCs/>
          <w:lang w:val="en-US" w:eastAsia="en-US" w:bidi="en-US"/>
        </w:rPr>
        <w:t>zjistit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dopady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na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emise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amoniaku</w:t>
      </w:r>
      <w:proofErr w:type="spellEnd"/>
      <w:r>
        <w:rPr>
          <w:b/>
          <w:bCs/>
          <w:lang w:val="en-US" w:eastAsia="en-US" w:bidi="en-US"/>
        </w:rPr>
        <w:t xml:space="preserve"> a </w:t>
      </w:r>
      <w:proofErr w:type="spellStart"/>
      <w:r>
        <w:rPr>
          <w:b/>
          <w:bCs/>
          <w:lang w:val="en-US" w:eastAsia="en-US" w:bidi="en-US"/>
        </w:rPr>
        <w:t>oxidu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uhličitého </w:t>
      </w:r>
      <w:r>
        <w:rPr>
          <w:b/>
          <w:bCs/>
          <w:lang w:val="en-US" w:eastAsia="en-US" w:bidi="en-US"/>
        </w:rPr>
        <w:t xml:space="preserve">a </w:t>
      </w:r>
      <w:proofErr w:type="spellStart"/>
      <w:r>
        <w:rPr>
          <w:b/>
          <w:bCs/>
          <w:lang w:val="en-US" w:eastAsia="en-US" w:bidi="en-US"/>
        </w:rPr>
        <w:t>navrhnout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řešení hospodaření </w:t>
      </w:r>
      <w:r>
        <w:rPr>
          <w:b/>
          <w:bCs/>
          <w:lang w:val="en-US" w:eastAsia="en-US" w:bidi="en-US"/>
        </w:rPr>
        <w:t xml:space="preserve">s </w:t>
      </w:r>
      <w:proofErr w:type="spellStart"/>
      <w:r>
        <w:rPr>
          <w:b/>
          <w:bCs/>
          <w:lang w:val="en-US" w:eastAsia="en-US" w:bidi="en-US"/>
        </w:rPr>
        <w:t>kejdou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produkovanou</w:t>
      </w:r>
      <w:proofErr w:type="spellEnd"/>
      <w:r>
        <w:rPr>
          <w:b/>
          <w:bCs/>
          <w:lang w:val="en-US" w:eastAsia="en-US" w:bidi="en-US"/>
        </w:rPr>
        <w:t xml:space="preserve"> v </w:t>
      </w:r>
      <w:r>
        <w:rPr>
          <w:b/>
          <w:bCs/>
        </w:rPr>
        <w:t xml:space="preserve">jednotlivých systémech. </w:t>
      </w:r>
      <w:proofErr w:type="spellStart"/>
      <w:r>
        <w:rPr>
          <w:b/>
          <w:bCs/>
          <w:lang w:val="en-US" w:eastAsia="en-US" w:bidi="en-US"/>
        </w:rPr>
        <w:t>Projekt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bude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řešen komplexně, </w:t>
      </w:r>
      <w:r>
        <w:rPr>
          <w:b/>
          <w:bCs/>
          <w:lang w:val="en-US" w:eastAsia="en-US" w:bidi="en-US"/>
        </w:rPr>
        <w:t xml:space="preserve">do </w:t>
      </w:r>
      <w:r>
        <w:rPr>
          <w:b/>
          <w:bCs/>
        </w:rPr>
        <w:t xml:space="preserve">řešení </w:t>
      </w:r>
      <w:proofErr w:type="spellStart"/>
      <w:r>
        <w:rPr>
          <w:b/>
          <w:bCs/>
          <w:lang w:val="en-US" w:eastAsia="en-US" w:bidi="en-US"/>
        </w:rPr>
        <w:t>budou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zapojeny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celkem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čtyři </w:t>
      </w:r>
      <w:proofErr w:type="spellStart"/>
      <w:r>
        <w:rPr>
          <w:b/>
          <w:bCs/>
          <w:lang w:val="en-US" w:eastAsia="en-US" w:bidi="en-US"/>
        </w:rPr>
        <w:t>organizace</w:t>
      </w:r>
      <w:proofErr w:type="spellEnd"/>
      <w:r>
        <w:rPr>
          <w:b/>
          <w:bCs/>
          <w:lang w:val="en-US" w:eastAsia="en-US" w:bidi="en-US"/>
        </w:rPr>
        <w:t xml:space="preserve">. </w:t>
      </w:r>
      <w:r>
        <w:rPr>
          <w:b/>
          <w:bCs/>
        </w:rPr>
        <w:t>Získa</w:t>
      </w:r>
      <w:r>
        <w:rPr>
          <w:b/>
          <w:bCs/>
        </w:rPr>
        <w:t xml:space="preserve">né výsledky </w:t>
      </w:r>
      <w:proofErr w:type="spellStart"/>
      <w:r>
        <w:rPr>
          <w:b/>
          <w:bCs/>
          <w:lang w:val="en-US" w:eastAsia="en-US" w:bidi="en-US"/>
        </w:rPr>
        <w:t>poskytnou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komplexní </w:t>
      </w:r>
      <w:proofErr w:type="spellStart"/>
      <w:r>
        <w:rPr>
          <w:b/>
          <w:bCs/>
          <w:lang w:val="en-US" w:eastAsia="en-US" w:bidi="en-US"/>
        </w:rPr>
        <w:t>informace</w:t>
      </w:r>
      <w:proofErr w:type="spellEnd"/>
      <w:r>
        <w:rPr>
          <w:b/>
          <w:bCs/>
          <w:lang w:val="en-US" w:eastAsia="en-US" w:bidi="en-US"/>
        </w:rPr>
        <w:t xml:space="preserve"> o </w:t>
      </w:r>
      <w:r>
        <w:rPr>
          <w:b/>
          <w:bCs/>
        </w:rPr>
        <w:t xml:space="preserve">současné </w:t>
      </w:r>
      <w:proofErr w:type="spellStart"/>
      <w:r>
        <w:rPr>
          <w:b/>
          <w:bCs/>
          <w:lang w:val="en-US" w:eastAsia="en-US" w:bidi="en-US"/>
        </w:rPr>
        <w:t>situaci</w:t>
      </w:r>
      <w:proofErr w:type="spellEnd"/>
      <w:r>
        <w:rPr>
          <w:b/>
          <w:bCs/>
          <w:lang w:val="en-US" w:eastAsia="en-US" w:bidi="en-US"/>
        </w:rPr>
        <w:t xml:space="preserve"> v </w:t>
      </w:r>
      <w:r>
        <w:rPr>
          <w:b/>
          <w:bCs/>
        </w:rPr>
        <w:t xml:space="preserve">ČR </w:t>
      </w:r>
      <w:r>
        <w:rPr>
          <w:b/>
          <w:bCs/>
          <w:lang w:val="en-US" w:eastAsia="en-US" w:bidi="en-US"/>
        </w:rPr>
        <w:t xml:space="preserve">a </w:t>
      </w:r>
      <w:r>
        <w:rPr>
          <w:b/>
          <w:bCs/>
        </w:rPr>
        <w:t xml:space="preserve">zároveň umožní přizpůsobit </w:t>
      </w:r>
      <w:proofErr w:type="spellStart"/>
      <w:r>
        <w:rPr>
          <w:b/>
          <w:bCs/>
          <w:lang w:val="en-US" w:eastAsia="en-US" w:bidi="en-US"/>
        </w:rPr>
        <w:t>tuto</w:t>
      </w:r>
      <w:proofErr w:type="spellEnd"/>
      <w:r>
        <w:rPr>
          <w:b/>
          <w:bCs/>
          <w:lang w:val="en-US" w:eastAsia="en-US" w:bidi="en-US"/>
        </w:rPr>
        <w:t xml:space="preserve"> oblast, </w:t>
      </w:r>
      <w:r>
        <w:rPr>
          <w:b/>
          <w:bCs/>
        </w:rPr>
        <w:t xml:space="preserve">klíčovou </w:t>
      </w:r>
      <w:r>
        <w:rPr>
          <w:b/>
          <w:bCs/>
          <w:lang w:val="en-US" w:eastAsia="en-US" w:bidi="en-US"/>
        </w:rPr>
        <w:t xml:space="preserve">pro </w:t>
      </w:r>
      <w:proofErr w:type="spellStart"/>
      <w:r>
        <w:rPr>
          <w:b/>
          <w:bCs/>
          <w:lang w:val="en-US" w:eastAsia="en-US" w:bidi="en-US"/>
        </w:rPr>
        <w:t>chov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prasat</w:t>
      </w:r>
      <w:proofErr w:type="spellEnd"/>
      <w:r>
        <w:rPr>
          <w:b/>
          <w:bCs/>
          <w:lang w:val="en-US" w:eastAsia="en-US" w:bidi="en-US"/>
        </w:rPr>
        <w:t xml:space="preserve">, </w:t>
      </w:r>
      <w:r>
        <w:rPr>
          <w:b/>
          <w:bCs/>
        </w:rPr>
        <w:t xml:space="preserve">legislativním změnám, které </w:t>
      </w:r>
      <w:r>
        <w:rPr>
          <w:b/>
          <w:bCs/>
          <w:lang w:val="en-US" w:eastAsia="en-US" w:bidi="en-US"/>
        </w:rPr>
        <w:t xml:space="preserve">v </w:t>
      </w:r>
      <w:r>
        <w:rPr>
          <w:b/>
          <w:bCs/>
        </w:rPr>
        <w:t xml:space="preserve">podmínkách </w:t>
      </w:r>
      <w:r>
        <w:rPr>
          <w:b/>
          <w:bCs/>
          <w:lang w:val="en-US" w:eastAsia="en-US" w:bidi="en-US"/>
        </w:rPr>
        <w:t xml:space="preserve">EU </w:t>
      </w:r>
      <w:r>
        <w:rPr>
          <w:b/>
          <w:bCs/>
        </w:rPr>
        <w:t xml:space="preserve">regulují ustájení, výživu </w:t>
      </w:r>
      <w:proofErr w:type="spellStart"/>
      <w:r>
        <w:rPr>
          <w:b/>
          <w:bCs/>
          <w:lang w:val="en-US" w:eastAsia="en-US" w:bidi="en-US"/>
        </w:rPr>
        <w:t>prasat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této </w:t>
      </w:r>
      <w:proofErr w:type="spellStart"/>
      <w:r>
        <w:rPr>
          <w:b/>
          <w:bCs/>
          <w:lang w:val="en-US" w:eastAsia="en-US" w:bidi="en-US"/>
        </w:rPr>
        <w:lastRenderedPageBreak/>
        <w:t>kategorie</w:t>
      </w:r>
      <w:proofErr w:type="spellEnd"/>
      <w:r>
        <w:rPr>
          <w:b/>
          <w:bCs/>
          <w:lang w:val="en-US" w:eastAsia="en-US" w:bidi="en-US"/>
        </w:rPr>
        <w:t xml:space="preserve"> a </w:t>
      </w:r>
      <w:r>
        <w:rPr>
          <w:b/>
          <w:bCs/>
        </w:rPr>
        <w:t xml:space="preserve">zároveň omezují </w:t>
      </w:r>
      <w:proofErr w:type="spellStart"/>
      <w:r>
        <w:rPr>
          <w:b/>
          <w:bCs/>
          <w:lang w:val="en-US" w:eastAsia="en-US" w:bidi="en-US"/>
        </w:rPr>
        <w:t>dopady</w:t>
      </w:r>
      <w:proofErr w:type="spellEnd"/>
      <w:r>
        <w:rPr>
          <w:b/>
          <w:bCs/>
          <w:lang w:val="en-US" w:eastAsia="en-US" w:bidi="en-US"/>
        </w:rPr>
        <w:t xml:space="preserve"> </w:t>
      </w:r>
      <w:proofErr w:type="spellStart"/>
      <w:r>
        <w:rPr>
          <w:b/>
          <w:bCs/>
          <w:lang w:val="en-US" w:eastAsia="en-US" w:bidi="en-US"/>
        </w:rPr>
        <w:t>na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životní prostředí</w:t>
      </w:r>
      <w:proofErr w:type="gramStart"/>
      <w:r>
        <w:rPr>
          <w:b/>
          <w:bCs/>
        </w:rPr>
        <w:t xml:space="preserve">. </w:t>
      </w:r>
      <w:r>
        <w:rPr>
          <w:lang w:val="en-US" w:eastAsia="en-US" w:bidi="en-US"/>
        </w:rPr>
        <w:t>,</w:t>
      </w:r>
      <w:proofErr w:type="gramEnd"/>
    </w:p>
    <w:p w:rsidR="00356F24" w:rsidRDefault="003405A5">
      <w:pPr>
        <w:pStyle w:val="Bodytext20"/>
        <w:numPr>
          <w:ilvl w:val="0"/>
          <w:numId w:val="15"/>
        </w:numPr>
        <w:shd w:val="clear" w:color="auto" w:fill="auto"/>
        <w:tabs>
          <w:tab w:val="left" w:pos="1267"/>
        </w:tabs>
        <w:ind w:left="1220" w:hanging="280"/>
        <w:jc w:val="both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356F24" w:rsidRDefault="003405A5">
      <w:pPr>
        <w:pStyle w:val="Bodytext20"/>
        <w:numPr>
          <w:ilvl w:val="0"/>
          <w:numId w:val="15"/>
        </w:numPr>
        <w:shd w:val="clear" w:color="auto" w:fill="auto"/>
        <w:tabs>
          <w:tab w:val="left" w:pos="1267"/>
        </w:tabs>
        <w:ind w:left="1220" w:hanging="280"/>
        <w:jc w:val="both"/>
      </w:pPr>
      <w:proofErr w:type="spellStart"/>
      <w:r>
        <w:t>zavazek</w:t>
      </w:r>
      <w:proofErr w:type="spellEnd"/>
      <w:r>
        <w:t xml:space="preserve"> hlavního </w:t>
      </w:r>
      <w:proofErr w:type="spellStart"/>
      <w:r>
        <w:t>pnjemce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resit</w:t>
      </w:r>
      <w:proofErr w:type="spellEnd"/>
      <w:r>
        <w:rPr>
          <w:lang w:val="en-US" w:eastAsia="en-US" w:bidi="en-US"/>
        </w:rPr>
        <w:t xml:space="preserve"> </w:t>
      </w:r>
      <w:r>
        <w:t>projekt a použít tuto podporu pouze</w:t>
      </w:r>
      <w:r>
        <w:t xml:space="preserve">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aplikovaného výzkumu Ministerstva zemědělství na období 2017-2025, ZEMĚ </w:t>
      </w:r>
      <w:r>
        <w:rPr>
          <w:lang w:val="en-US" w:eastAsia="en-US" w:bidi="en-US"/>
        </w:rPr>
        <w:t xml:space="preserve">(dale </w:t>
      </w:r>
      <w:r>
        <w:t xml:space="preserve">jen „Program ZEMĚ“) a se </w:t>
      </w:r>
      <w:proofErr w:type="spellStart"/>
      <w:r>
        <w:t>Zavaznymi</w:t>
      </w:r>
      <w:proofErr w:type="spellEnd"/>
      <w:r>
        <w:t xml:space="preserve"> parametry proj</w:t>
      </w:r>
      <w:r>
        <w:t>ektu a Zadávací dokumentací pro veřejnou soutěž vyhlášenou v roce 2022.</w:t>
      </w:r>
    </w:p>
    <w:p w:rsidR="00356F24" w:rsidRDefault="003405A5">
      <w:pPr>
        <w:pStyle w:val="Bodytext20"/>
        <w:numPr>
          <w:ilvl w:val="0"/>
          <w:numId w:val="14"/>
        </w:numPr>
        <w:shd w:val="clear" w:color="auto" w:fill="auto"/>
        <w:tabs>
          <w:tab w:val="left" w:pos="607"/>
        </w:tabs>
        <w:spacing w:after="510"/>
        <w:ind w:hanging="440"/>
        <w:jc w:val="both"/>
      </w:pPr>
      <w:proofErr w:type="spellStart"/>
      <w:r>
        <w:t>Predmet</w:t>
      </w:r>
      <w:proofErr w:type="spellEnd"/>
      <w:r>
        <w:t xml:space="preserve">, cíle </w:t>
      </w:r>
      <w:r>
        <w:rPr>
          <w:lang w:val="en-US" w:eastAsia="en-US" w:bidi="en-US"/>
        </w:rPr>
        <w:t xml:space="preserve">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vy'sledky</w:t>
      </w:r>
      <w:proofErr w:type="spellEnd"/>
      <w:r>
        <w:rPr>
          <w:lang w:val="en-US" w:eastAsia="en-US" w:bidi="en-US"/>
        </w:rPr>
        <w:t xml:space="preserve"> </w:t>
      </w:r>
      <w:r>
        <w:t xml:space="preserve">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podpore </w:t>
      </w:r>
      <w:proofErr w:type="spellStart"/>
      <w:r>
        <w:t>v</w:t>
      </w:r>
      <w:r>
        <w:t>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</w:t>
      </w:r>
      <w:r>
        <w:rPr>
          <w:lang w:val="en-US" w:eastAsia="en-US" w:bidi="en-US"/>
        </w:rPr>
        <w:t xml:space="preserve">(dale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</w:t>
      </w:r>
      <w:r>
        <w:t xml:space="preserve">„Závazné </w:t>
      </w:r>
      <w:proofErr w:type="spellStart"/>
      <w:r>
        <w:rPr>
          <w:lang w:val="en-US" w:eastAsia="en-US" w:bidi="en-US"/>
        </w:rPr>
        <w:t>parametry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projektu</w:t>
      </w:r>
      <w:proofErr w:type="spellEnd"/>
      <w:r>
        <w:rPr>
          <w:lang w:val="en-US" w:eastAsia="en-US" w:bidi="en-US"/>
        </w:rPr>
        <w:t xml:space="preserve">“)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t>její nedílnou součást.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 xml:space="preserve">ČLÁNEK </w:t>
      </w:r>
      <w:r>
        <w:rPr>
          <w:b/>
          <w:bCs/>
          <w:color w:val="FFFFFF"/>
          <w:lang w:val="en-US" w:eastAsia="en-US" w:bidi="en-US"/>
        </w:rPr>
        <w:t>2</w:t>
      </w:r>
    </w:p>
    <w:p w:rsidR="00356F24" w:rsidRDefault="003405A5">
      <w:pPr>
        <w:pStyle w:val="Bodytext20"/>
        <w:shd w:val="clear" w:color="auto" w:fill="auto"/>
        <w:spacing w:after="240"/>
        <w:ind w:left="0" w:firstLine="0"/>
        <w:jc w:val="center"/>
      </w:pPr>
      <w:proofErr w:type="spellStart"/>
      <w:r>
        <w:rPr>
          <w:b/>
          <w:bCs/>
          <w:lang w:val="en-US" w:eastAsia="en-US" w:bidi="en-US"/>
        </w:rPr>
        <w:t>Osoba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odpovědná </w:t>
      </w:r>
      <w:r>
        <w:rPr>
          <w:b/>
          <w:bCs/>
          <w:lang w:val="en-US" w:eastAsia="en-US" w:bidi="en-US"/>
        </w:rPr>
        <w:t xml:space="preserve">za </w:t>
      </w:r>
      <w:r>
        <w:rPr>
          <w:b/>
          <w:bCs/>
        </w:rPr>
        <w:t xml:space="preserve">řešení </w:t>
      </w:r>
      <w:proofErr w:type="spellStart"/>
      <w:r>
        <w:rPr>
          <w:b/>
          <w:bCs/>
          <w:lang w:val="en-US" w:eastAsia="en-US" w:bidi="en-US"/>
        </w:rPr>
        <w:t>projektu</w:t>
      </w:r>
      <w:proofErr w:type="spellEnd"/>
      <w:r>
        <w:rPr>
          <w:b/>
          <w:bCs/>
          <w:lang w:val="en-US" w:eastAsia="en-US" w:bidi="en-US"/>
        </w:rPr>
        <w:t xml:space="preserve"> a </w:t>
      </w:r>
      <w:r>
        <w:rPr>
          <w:b/>
          <w:bCs/>
        </w:rPr>
        <w:t>další účastníci</w:t>
      </w:r>
    </w:p>
    <w:p w:rsidR="00356F24" w:rsidRDefault="003405A5">
      <w:pPr>
        <w:pStyle w:val="Bodytext20"/>
        <w:numPr>
          <w:ilvl w:val="1"/>
          <w:numId w:val="14"/>
        </w:numPr>
        <w:shd w:val="clear" w:color="auto" w:fill="auto"/>
        <w:tabs>
          <w:tab w:val="left" w:pos="712"/>
        </w:tabs>
        <w:spacing w:after="510"/>
        <w:ind w:left="620"/>
        <w:jc w:val="both"/>
      </w:pPr>
      <w:r>
        <w:t>Řešitel</w:t>
      </w:r>
      <w:hyperlink w:anchor="bookmark0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t>- clen nebo členka řešitelského týmu hlavního příjemce, osoba odpovědná hlavnímu příjemci za odbornou úroveň projektu a další účastníci</w:t>
      </w:r>
      <w:hyperlink w:anchor="bookmark1" w:tooltip="Current Document">
        <w:r>
          <w:rPr>
            <w:vertAlign w:val="superscript"/>
          </w:rPr>
          <w:t>2</w:t>
        </w:r>
      </w:hyperlink>
      <w:r>
        <w:t xml:space="preserve"> jsou uveden</w:t>
      </w:r>
      <w:r>
        <w:t xml:space="preserve">i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přojektu</w:t>
      </w:r>
      <w:proofErr w:type="spellEnd"/>
      <w:r>
        <w:t xml:space="preserve">. Řešitel musí 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 xml:space="preserve">0,2 </w:t>
      </w:r>
      <w:r>
        <w:t xml:space="preserve">za </w:t>
      </w:r>
      <w:proofErr w:type="spellStart"/>
      <w:r>
        <w:t>řok</w:t>
      </w:r>
      <w:proofErr w:type="spellEnd"/>
      <w:r>
        <w:t>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3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Termíny zahájení a ukončení řešení projektu</w:t>
      </w:r>
    </w:p>
    <w:p w:rsidR="00356F24" w:rsidRDefault="003405A5">
      <w:pPr>
        <w:pStyle w:val="Bodytext20"/>
        <w:numPr>
          <w:ilvl w:val="0"/>
          <w:numId w:val="16"/>
        </w:numPr>
        <w:shd w:val="clear" w:color="auto" w:fill="auto"/>
        <w:tabs>
          <w:tab w:val="left" w:pos="712"/>
        </w:tabs>
        <w:ind w:left="620"/>
        <w:jc w:val="both"/>
      </w:pPr>
      <w:proofErr w:type="spellStart"/>
      <w:r>
        <w:t>Resením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hlavního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úcastníků</w:t>
      </w:r>
      <w:proofErr w:type="spellEnd"/>
      <w:r>
        <w:t xml:space="preserve"> vedoucí k dosažení cílů a </w:t>
      </w:r>
      <w:r>
        <w:t>výsledků projektu.</w:t>
      </w:r>
    </w:p>
    <w:p w:rsidR="00356F24" w:rsidRDefault="003405A5">
      <w:pPr>
        <w:pStyle w:val="Bodytext20"/>
        <w:numPr>
          <w:ilvl w:val="0"/>
          <w:numId w:val="16"/>
        </w:numPr>
        <w:shd w:val="clear" w:color="auto" w:fill="auto"/>
        <w:tabs>
          <w:tab w:val="left" w:pos="712"/>
        </w:tabs>
        <w:ind w:left="620"/>
        <w:jc w:val="both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356F24" w:rsidRDefault="003405A5">
      <w:pPr>
        <w:pStyle w:val="Bodytext20"/>
        <w:numPr>
          <w:ilvl w:val="0"/>
          <w:numId w:val="16"/>
        </w:numPr>
        <w:shd w:val="clear" w:color="auto" w:fill="auto"/>
        <w:tabs>
          <w:tab w:val="left" w:pos="712"/>
        </w:tabs>
        <w:ind w:left="0" w:firstLine="200"/>
        <w:jc w:val="both"/>
      </w:pPr>
      <w:r>
        <w:t>Řešení projektu nesmí být zahájeno před termínem zahájení projektu.</w:t>
      </w:r>
    </w:p>
    <w:p w:rsidR="00356F24" w:rsidRDefault="003405A5">
      <w:pPr>
        <w:pStyle w:val="Bodytext20"/>
        <w:numPr>
          <w:ilvl w:val="0"/>
          <w:numId w:val="16"/>
        </w:numPr>
        <w:shd w:val="clear" w:color="auto" w:fill="auto"/>
        <w:tabs>
          <w:tab w:val="left" w:pos="712"/>
        </w:tabs>
        <w:spacing w:after="510"/>
        <w:ind w:left="620"/>
        <w:jc w:val="both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</w:t>
      </w:r>
      <w:r>
        <w:t xml:space="preserve"> tomto termínu musí být zároveň dosaženo cílů a výsledků projektu.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4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Náklady projektu</w:t>
      </w:r>
    </w:p>
    <w:p w:rsidR="00356F24" w:rsidRDefault="003405A5">
      <w:pPr>
        <w:pStyle w:val="Bodytext20"/>
        <w:numPr>
          <w:ilvl w:val="1"/>
          <w:numId w:val="16"/>
        </w:numPr>
        <w:shd w:val="clear" w:color="auto" w:fill="auto"/>
        <w:tabs>
          <w:tab w:val="left" w:pos="717"/>
        </w:tabs>
        <w:ind w:left="620"/>
        <w:jc w:val="both"/>
      </w:pPr>
      <w:proofErr w:type="spellStart"/>
      <w:r>
        <w:t>Uznane</w:t>
      </w:r>
      <w:proofErr w:type="spellEnd"/>
      <w:r>
        <w:t xml:space="preserve"> náklady projektu jsou </w:t>
      </w:r>
      <w:r>
        <w:rPr>
          <w:b/>
          <w:bCs/>
        </w:rPr>
        <w:t xml:space="preserve">11 884 725 Kč </w:t>
      </w:r>
      <w:r>
        <w:t xml:space="preserve">(slovy: jedenáct milionu osm set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ctyri</w:t>
      </w:r>
      <w:proofErr w:type="spellEnd"/>
      <w:r>
        <w:t xml:space="preserve"> tisíc sedm set dvacet pět korun českých).</w:t>
      </w:r>
    </w:p>
    <w:p w:rsidR="00356F24" w:rsidRDefault="003405A5">
      <w:pPr>
        <w:pStyle w:val="Bodytext20"/>
        <w:numPr>
          <w:ilvl w:val="1"/>
          <w:numId w:val="16"/>
        </w:numPr>
        <w:shd w:val="clear" w:color="auto" w:fill="auto"/>
        <w:tabs>
          <w:tab w:val="left" w:pos="717"/>
        </w:tabs>
        <w:ind w:left="620"/>
        <w:jc w:val="both"/>
      </w:pPr>
      <w:r>
        <w:t xml:space="preserve">Poskytovatel poskytne hlavnímu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11 884 725 Kč </w:t>
      </w:r>
      <w:r>
        <w:t xml:space="preserve">(slovy: jedenáct milionů osm set osmdesát </w:t>
      </w:r>
      <w:proofErr w:type="spellStart"/>
      <w:r>
        <w:t>čtýři</w:t>
      </w:r>
      <w:proofErr w:type="spellEnd"/>
      <w:r>
        <w:t xml:space="preserve"> tisíc sedm set dvacet pět korun českých).</w:t>
      </w:r>
    </w:p>
    <w:p w:rsidR="00356F24" w:rsidRDefault="003405A5">
      <w:pPr>
        <w:pStyle w:val="Bodytext20"/>
        <w:numPr>
          <w:ilvl w:val="1"/>
          <w:numId w:val="16"/>
        </w:numPr>
        <w:shd w:val="clear" w:color="auto" w:fill="auto"/>
        <w:tabs>
          <w:tab w:val="left" w:pos="717"/>
        </w:tabs>
        <w:spacing w:after="510"/>
        <w:ind w:left="620"/>
        <w:jc w:val="both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100 % </w:t>
      </w:r>
      <w:r>
        <w:t xml:space="preserve">(slovy: jedno sto procent) z </w:t>
      </w:r>
      <w:proofErr w:type="spellStart"/>
      <w:r>
        <w:t>celkove</w:t>
      </w:r>
      <w:proofErr w:type="spellEnd"/>
      <w:r>
        <w:t xml:space="preserve"> uznaných náklad</w:t>
      </w:r>
      <w:r>
        <w:t>ů projektu.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lastRenderedPageBreak/>
        <w:t>ČLÁNEK 5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Poskytování podpory</w:t>
      </w:r>
    </w:p>
    <w:p w:rsidR="00356F24" w:rsidRDefault="003405A5">
      <w:pPr>
        <w:pStyle w:val="Bodytext20"/>
        <w:numPr>
          <w:ilvl w:val="0"/>
          <w:numId w:val="17"/>
        </w:numPr>
        <w:shd w:val="clear" w:color="auto" w:fill="auto"/>
        <w:tabs>
          <w:tab w:val="left" w:pos="712"/>
        </w:tabs>
        <w:ind w:left="620"/>
        <w:jc w:val="both"/>
      </w:pPr>
      <w:r>
        <w:t xml:space="preserve">Poskytovatel poskytne hlavnímu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teto Smlouvy a za podmínek v ní uvedených, a to včetně podpory určené k využití dalšími účastníky.</w:t>
      </w:r>
    </w:p>
    <w:p w:rsidR="00356F24" w:rsidRDefault="003405A5">
      <w:pPr>
        <w:pStyle w:val="Bodytext20"/>
        <w:numPr>
          <w:ilvl w:val="0"/>
          <w:numId w:val="17"/>
        </w:numPr>
        <w:shd w:val="clear" w:color="auto" w:fill="auto"/>
        <w:tabs>
          <w:tab w:val="left" w:pos="712"/>
        </w:tabs>
        <w:ind w:left="620"/>
        <w:jc w:val="both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</w:t>
      </w:r>
      <w:r>
        <w:t xml:space="preserve">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</w:t>
      </w:r>
      <w:proofErr w:type="spellStart"/>
      <w:r>
        <w:t>výdajoveho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 poskytovatele na bankovní </w:t>
      </w:r>
      <w:proofErr w:type="spellStart"/>
      <w:r>
        <w:t>ucet</w:t>
      </w:r>
      <w:proofErr w:type="spellEnd"/>
      <w:r>
        <w:t xml:space="preserve"> hlavního </w:t>
      </w:r>
      <w:proofErr w:type="spellStart"/>
      <w:r>
        <w:t>príjemce</w:t>
      </w:r>
      <w:proofErr w:type="spellEnd"/>
      <w:r>
        <w:t xml:space="preserve"> uvedený v záhlaví teto Smlouvy.</w:t>
      </w:r>
    </w:p>
    <w:p w:rsidR="00356F24" w:rsidRDefault="003405A5">
      <w:pPr>
        <w:pStyle w:val="Bodytext20"/>
        <w:numPr>
          <w:ilvl w:val="0"/>
          <w:numId w:val="17"/>
        </w:numPr>
        <w:shd w:val="clear" w:color="auto" w:fill="auto"/>
        <w:tabs>
          <w:tab w:val="left" w:pos="712"/>
        </w:tabs>
        <w:ind w:left="620"/>
        <w:jc w:val="both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</w:t>
      </w:r>
      <w:r>
        <w:t xml:space="preserve">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2" w:tooltip="Current Document">
        <w:r>
          <w:rPr>
            <w:vertAlign w:val="superscript"/>
          </w:rPr>
          <w:t>3</w:t>
        </w:r>
      </w:hyperlink>
      <w:r>
        <w:t xml:space="preserve"> .</w:t>
      </w:r>
    </w:p>
    <w:p w:rsidR="00356F24" w:rsidRDefault="003405A5">
      <w:pPr>
        <w:pStyle w:val="Bodytext20"/>
        <w:numPr>
          <w:ilvl w:val="0"/>
          <w:numId w:val="17"/>
        </w:numPr>
        <w:shd w:val="clear" w:color="auto" w:fill="auto"/>
        <w:tabs>
          <w:tab w:val="left" w:pos="712"/>
        </w:tabs>
        <w:ind w:left="620"/>
        <w:jc w:val="both"/>
      </w:pPr>
      <w:r>
        <w:t xml:space="preserve">Poskytovatel si v </w:t>
      </w:r>
      <w:proofErr w:type="spellStart"/>
      <w:r>
        <w:t>pnpade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pnpade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hyperlink w:anchor="bookmark3" w:tooltip="Current Document">
        <w:r>
          <w:rPr>
            <w:vertAlign w:val="superscript"/>
          </w:rPr>
          <w:t>4</w:t>
        </w:r>
      </w:hyperlink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výsi</w:t>
      </w:r>
      <w:proofErr w:type="spellEnd"/>
      <w:r>
        <w:t xml:space="preserve"> plateb nebo podporu nevyplatit v souladu s regulací a rozpočtovými pravidly.</w:t>
      </w:r>
    </w:p>
    <w:p w:rsidR="00356F24" w:rsidRDefault="003405A5">
      <w:pPr>
        <w:pStyle w:val="Bodytext20"/>
        <w:numPr>
          <w:ilvl w:val="0"/>
          <w:numId w:val="17"/>
        </w:numPr>
        <w:shd w:val="clear" w:color="auto" w:fill="auto"/>
        <w:tabs>
          <w:tab w:val="left" w:pos="632"/>
        </w:tabs>
        <w:spacing w:after="506"/>
        <w:jc w:val="both"/>
      </w:pPr>
      <w:r>
        <w:t xml:space="preserve">V případě, kdy hlavní příjemce nebo další účastník/účastníci poruší </w:t>
      </w:r>
      <w:r>
        <w:t xml:space="preserve">jakýkoliv závazek vyplývající z teto smlouvy, je poskytovatel </w:t>
      </w:r>
      <w:proofErr w:type="spellStart"/>
      <w:r>
        <w:t>oprávnen</w:t>
      </w:r>
      <w:proofErr w:type="spellEnd"/>
      <w:r>
        <w:t xml:space="preserve"> na zaklade písemného upozornění pozastavit hlavnímu příjemci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hlavního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úcastníka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úcastníkú</w:t>
      </w:r>
      <w:proofErr w:type="spellEnd"/>
      <w:r>
        <w:t xml:space="preserve"> ke spln</w:t>
      </w:r>
      <w:r>
        <w:t xml:space="preserve">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</w:t>
      </w:r>
      <w:proofErr w:type="spellStart"/>
      <w:r>
        <w:t>smloúvy</w:t>
      </w:r>
      <w:proofErr w:type="spellEnd"/>
      <w:r>
        <w:t xml:space="preserve">. Ustanovením tohoto odstavce </w:t>
      </w:r>
      <w:proofErr w:type="spellStart"/>
      <w:r>
        <w:t>nejsoú</w:t>
      </w:r>
      <w:proofErr w:type="spellEnd"/>
      <w:r>
        <w:t xml:space="preserve">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poskytovatele stanovena </w:t>
      </w:r>
      <w:proofErr w:type="spellStart"/>
      <w:r>
        <w:t>Smloúvoú</w:t>
      </w:r>
      <w:proofErr w:type="spellEnd"/>
      <w:r>
        <w:t xml:space="preserve">. </w:t>
      </w:r>
      <w:proofErr w:type="spellStart"/>
      <w:r>
        <w:t>Hlavnímú</w:t>
      </w:r>
      <w:proofErr w:type="spellEnd"/>
      <w:r>
        <w:t xml:space="preserve">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dalsímú</w:t>
      </w:r>
      <w:proofErr w:type="spellEnd"/>
      <w:r>
        <w:t xml:space="preserve"> </w:t>
      </w:r>
      <w:proofErr w:type="spellStart"/>
      <w:r>
        <w:t>úcastníkú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úcastníkúm</w:t>
      </w:r>
      <w:proofErr w:type="spellEnd"/>
      <w:r>
        <w:t xml:space="preserve"> </w:t>
      </w:r>
      <w:proofErr w:type="spellStart"/>
      <w:r>
        <w:t>nenalezí</w:t>
      </w:r>
      <w:proofErr w:type="spell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újmy, </w:t>
      </w:r>
      <w:proofErr w:type="spellStart"/>
      <w:r>
        <w:t>ktera</w:t>
      </w:r>
      <w:proofErr w:type="spellEnd"/>
      <w:r>
        <w:t xml:space="preserve"> jim vznikne v </w:t>
      </w:r>
      <w:proofErr w:type="spellStart"/>
      <w:r>
        <w:t>dúsledkú</w:t>
      </w:r>
      <w:proofErr w:type="spellEnd"/>
      <w:r>
        <w:t xml:space="preserve"> </w:t>
      </w:r>
      <w:proofErr w:type="spellStart"/>
      <w:r>
        <w:t>prerúsení</w:t>
      </w:r>
      <w:proofErr w:type="spellEnd"/>
      <w:r>
        <w:t xml:space="preserve"> nebo zastavení poskytování podpory.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6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Základní povinnosti hlavního příjemce</w:t>
      </w:r>
    </w:p>
    <w:p w:rsidR="00356F24" w:rsidRDefault="003405A5">
      <w:pPr>
        <w:pStyle w:val="Bodytext20"/>
        <w:numPr>
          <w:ilvl w:val="0"/>
          <w:numId w:val="18"/>
        </w:numPr>
        <w:shd w:val="clear" w:color="auto" w:fill="auto"/>
        <w:tabs>
          <w:tab w:val="left" w:pos="632"/>
        </w:tabs>
        <w:jc w:val="both"/>
      </w:pPr>
      <w:r>
        <w:t xml:space="preserve">Hlavní </w:t>
      </w:r>
      <w:proofErr w:type="spellStart"/>
      <w:r>
        <w:t>príjemce</w:t>
      </w:r>
      <w:proofErr w:type="spellEnd"/>
      <w:r>
        <w:t xml:space="preserve"> je povinen </w:t>
      </w:r>
      <w:proofErr w:type="spellStart"/>
      <w:r>
        <w:t>dosahnoút</w:t>
      </w:r>
      <w:proofErr w:type="spellEnd"/>
      <w:r>
        <w:t xml:space="preserve"> cílů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vysledkú</w:t>
      </w:r>
      <w:proofErr w:type="spellEnd"/>
      <w:r>
        <w:t xml:space="preserve"> </w:t>
      </w:r>
      <w:proofErr w:type="spellStart"/>
      <w:r>
        <w:t>projektú</w:t>
      </w:r>
      <w:proofErr w:type="spellEnd"/>
      <w:r>
        <w:t xml:space="preserve"> stanoveních v Závazných parametrech </w:t>
      </w:r>
      <w:proofErr w:type="spellStart"/>
      <w:r>
        <w:t>projektú</w:t>
      </w:r>
      <w:proofErr w:type="spellEnd"/>
      <w:r>
        <w:t>, případně zajistit jejich dosaž</w:t>
      </w:r>
      <w:r>
        <w:t>ení dalšími účastníky.</w:t>
      </w:r>
    </w:p>
    <w:p w:rsidR="00356F24" w:rsidRDefault="003405A5">
      <w:pPr>
        <w:pStyle w:val="Bodytext20"/>
        <w:numPr>
          <w:ilvl w:val="0"/>
          <w:numId w:val="18"/>
        </w:numPr>
        <w:shd w:val="clear" w:color="auto" w:fill="auto"/>
        <w:tabs>
          <w:tab w:val="left" w:pos="632"/>
        </w:tabs>
        <w:jc w:val="both"/>
      </w:pPr>
      <w:r>
        <w:t xml:space="preserve">Hlavní </w:t>
      </w:r>
      <w:proofErr w:type="spellStart"/>
      <w:r>
        <w:t>príjemce</w:t>
      </w:r>
      <w:proofErr w:type="spellEnd"/>
      <w:r>
        <w:t xml:space="preserve"> je </w:t>
      </w:r>
      <w:proofErr w:type="spellStart"/>
      <w:r>
        <w:t>opravnen</w:t>
      </w:r>
      <w:proofErr w:type="spellEnd"/>
      <w:r>
        <w:t xml:space="preserve"> </w:t>
      </w:r>
      <w:proofErr w:type="spellStart"/>
      <w:r>
        <w:t>poskytnútoú</w:t>
      </w:r>
      <w:proofErr w:type="spellEnd"/>
      <w:r>
        <w:t xml:space="preserve"> </w:t>
      </w:r>
      <w:proofErr w:type="spellStart"/>
      <w:r>
        <w:t>podporú</w:t>
      </w:r>
      <w:proofErr w:type="spellEnd"/>
      <w:r>
        <w:t xml:space="preserve"> na zaklade </w:t>
      </w:r>
      <w:proofErr w:type="spellStart"/>
      <w:r>
        <w:t>Smloúvy</w:t>
      </w:r>
      <w:proofErr w:type="spellEnd"/>
      <w:r>
        <w:t xml:space="preserve"> </w:t>
      </w:r>
      <w:proofErr w:type="spellStart"/>
      <w:r>
        <w:t>prevest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úcastníkúm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</w:t>
      </w:r>
      <w:proofErr w:type="spellStart"/>
      <w:r>
        <w:t>projektú</w:t>
      </w:r>
      <w:proofErr w:type="spellEnd"/>
      <w:r>
        <w:t xml:space="preserve">, a to za podmínek, </w:t>
      </w:r>
      <w:proofErr w:type="spellStart"/>
      <w:r>
        <w:t>ktere</w:t>
      </w:r>
      <w:proofErr w:type="spellEnd"/>
      <w:r>
        <w:t xml:space="preserve"> zajistí naplnění </w:t>
      </w:r>
      <w:proofErr w:type="spellStart"/>
      <w:r>
        <w:t>účelú</w:t>
      </w:r>
      <w:proofErr w:type="spellEnd"/>
      <w:r>
        <w:t xml:space="preserve"> a podmínek této </w:t>
      </w:r>
      <w:proofErr w:type="spellStart"/>
      <w:r>
        <w:t>Smloúvy</w:t>
      </w:r>
      <w:proofErr w:type="spellEnd"/>
      <w:r>
        <w:t>.</w:t>
      </w:r>
    </w:p>
    <w:p w:rsidR="00356F24" w:rsidRDefault="003405A5">
      <w:pPr>
        <w:pStyle w:val="Bodytext20"/>
        <w:numPr>
          <w:ilvl w:val="0"/>
          <w:numId w:val="18"/>
        </w:numPr>
        <w:shd w:val="clear" w:color="auto" w:fill="auto"/>
        <w:tabs>
          <w:tab w:val="left" w:pos="632"/>
        </w:tabs>
        <w:jc w:val="both"/>
      </w:pPr>
      <w:proofErr w:type="spellStart"/>
      <w:r>
        <w:t>Podporú</w:t>
      </w:r>
      <w:proofErr w:type="spellEnd"/>
      <w:r>
        <w:t xml:space="preserve"> lze </w:t>
      </w:r>
      <w:proofErr w:type="spellStart"/>
      <w:r>
        <w:t>poúz</w:t>
      </w:r>
      <w:r>
        <w:t>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úhradú</w:t>
      </w:r>
      <w:proofErr w:type="spellEnd"/>
      <w:r>
        <w:t xml:space="preserve"> nebo pokrytí </w:t>
      </w:r>
      <w:proofErr w:type="spellStart"/>
      <w:r>
        <w:t>zpúsobilych</w:t>
      </w:r>
      <w:proofErr w:type="spellEnd"/>
      <w:r>
        <w:t xml:space="preserve"> </w:t>
      </w:r>
      <w:proofErr w:type="spellStart"/>
      <w:r>
        <w:t>nakladú</w:t>
      </w:r>
      <w:proofErr w:type="spellEnd"/>
      <w:r>
        <w:t xml:space="preserve"> </w:t>
      </w:r>
      <w:proofErr w:type="spellStart"/>
      <w:r>
        <w:t>projektú</w:t>
      </w:r>
      <w:proofErr w:type="spellEnd"/>
      <w:r>
        <w:t xml:space="preserve"> ve </w:t>
      </w:r>
      <w:proofErr w:type="spellStart"/>
      <w:r>
        <w:t>smyslú</w:t>
      </w:r>
      <w:proofErr w:type="spellEnd"/>
      <w:r>
        <w:t xml:space="preserve"> </w:t>
      </w:r>
      <w:proofErr w:type="spellStart"/>
      <w:r>
        <w:t>ústanovení</w:t>
      </w:r>
      <w:proofErr w:type="spellEnd"/>
      <w:r>
        <w:t xml:space="preserve"> § 2 odst. 2 písm. k) zákona c. 130/2002 Sb. </w:t>
      </w:r>
      <w:proofErr w:type="spellStart"/>
      <w:r>
        <w:t>úvedenych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</w:t>
      </w:r>
      <w:proofErr w:type="spellStart"/>
      <w:r>
        <w:t>projektú</w:t>
      </w:r>
      <w:proofErr w:type="spellEnd"/>
      <w:r>
        <w:t xml:space="preserve">, Zadávací </w:t>
      </w:r>
      <w:proofErr w:type="spellStart"/>
      <w:r>
        <w:t>dokúmentaci</w:t>
      </w:r>
      <w:proofErr w:type="spellEnd"/>
      <w:r>
        <w:t xml:space="preserve"> pro </w:t>
      </w:r>
      <w:proofErr w:type="spellStart"/>
      <w:r>
        <w:t>verájnoú</w:t>
      </w:r>
      <w:proofErr w:type="spellEnd"/>
      <w:r>
        <w:t xml:space="preserve"> </w:t>
      </w:r>
      <w:proofErr w:type="spellStart"/>
      <w:r>
        <w:t>soútez</w:t>
      </w:r>
      <w:proofErr w:type="spellEnd"/>
      <w:r>
        <w:t xml:space="preserve"> </w:t>
      </w:r>
      <w:proofErr w:type="spellStart"/>
      <w:r>
        <w:t>vyhlasenoú</w:t>
      </w:r>
      <w:proofErr w:type="spellEnd"/>
      <w:r>
        <w:t xml:space="preserve"> v roce 2022 a schváleních posky</w:t>
      </w:r>
      <w:r>
        <w:t xml:space="preserve">tovatelem ve veřejné </w:t>
      </w:r>
      <w:proofErr w:type="spellStart"/>
      <w:r>
        <w:t>soútěži</w:t>
      </w:r>
      <w:proofErr w:type="spellEnd"/>
      <w:r>
        <w:t xml:space="preserve"> ve </w:t>
      </w:r>
      <w:proofErr w:type="spellStart"/>
      <w:r>
        <w:t>výzkúmú</w:t>
      </w:r>
      <w:proofErr w:type="spellEnd"/>
      <w:r>
        <w:t>, vývoji a inovacích.</w:t>
      </w:r>
    </w:p>
    <w:p w:rsidR="00356F24" w:rsidRDefault="003405A5">
      <w:pPr>
        <w:pStyle w:val="Bodytext20"/>
        <w:numPr>
          <w:ilvl w:val="0"/>
          <w:numId w:val="18"/>
        </w:numPr>
        <w:shd w:val="clear" w:color="auto" w:fill="auto"/>
        <w:tabs>
          <w:tab w:val="left" w:pos="632"/>
        </w:tabs>
        <w:jc w:val="both"/>
      </w:pPr>
      <w:r>
        <w:t xml:space="preserve">Podpora nesmí byt </w:t>
      </w:r>
      <w:proofErr w:type="spellStart"/>
      <w:r>
        <w:t>poúzita</w:t>
      </w:r>
      <w:proofErr w:type="spellEnd"/>
      <w:r>
        <w:t xml:space="preserve"> na </w:t>
      </w:r>
      <w:proofErr w:type="spellStart"/>
      <w:r>
        <w:t>úhradú</w:t>
      </w:r>
      <w:proofErr w:type="spellEnd"/>
      <w:r>
        <w:t xml:space="preserve"> </w:t>
      </w:r>
      <w:proofErr w:type="spellStart"/>
      <w:r>
        <w:t>nakladú</w:t>
      </w:r>
      <w:proofErr w:type="spellEnd"/>
      <w:r>
        <w:t xml:space="preserve"> na </w:t>
      </w:r>
      <w:proofErr w:type="spellStart"/>
      <w:r>
        <w:t>porízení</w:t>
      </w:r>
      <w:proofErr w:type="spellEnd"/>
      <w:r>
        <w:t xml:space="preserve"> </w:t>
      </w:r>
      <w:proofErr w:type="spellStart"/>
      <w:r>
        <w:t>dloúhodobeho</w:t>
      </w:r>
      <w:proofErr w:type="spellEnd"/>
      <w:r>
        <w:t xml:space="preserve"> hmotného a nehmotného </w:t>
      </w:r>
      <w:proofErr w:type="spellStart"/>
      <w:r>
        <w:t>majetkú</w:t>
      </w:r>
      <w:proofErr w:type="spellEnd"/>
      <w:r>
        <w:t xml:space="preserve">. </w:t>
      </w:r>
      <w:proofErr w:type="spellStart"/>
      <w:r>
        <w:t>Dloúhodobym</w:t>
      </w:r>
      <w:proofErr w:type="spellEnd"/>
      <w:r>
        <w:t xml:space="preserve"> </w:t>
      </w:r>
      <w:proofErr w:type="spellStart"/>
      <w:r>
        <w:t>hmotnym</w:t>
      </w:r>
      <w:proofErr w:type="spellEnd"/>
      <w:r>
        <w:t xml:space="preserve"> majetkem se </w:t>
      </w:r>
      <w:proofErr w:type="spellStart"/>
      <w:r>
        <w:t>rozúmí</w:t>
      </w:r>
      <w:proofErr w:type="spellEnd"/>
      <w:r>
        <w:t xml:space="preserve"> </w:t>
      </w:r>
      <w:proofErr w:type="spellStart"/>
      <w:r>
        <w:t>hmotny</w:t>
      </w:r>
      <w:proofErr w:type="spellEnd"/>
      <w:r>
        <w:t xml:space="preserve"> majetek, </w:t>
      </w:r>
      <w:proofErr w:type="spellStart"/>
      <w:r>
        <w:t>jehoz</w:t>
      </w:r>
      <w:proofErr w:type="spellEnd"/>
      <w:r>
        <w:t xml:space="preserve"> doba </w:t>
      </w:r>
      <w:proofErr w:type="spellStart"/>
      <w:r>
        <w:t>poúzitelnosti</w:t>
      </w:r>
      <w:proofErr w:type="spellEnd"/>
      <w:r>
        <w:t xml:space="preserve"> je </w:t>
      </w:r>
      <w:proofErr w:type="spellStart"/>
      <w:r>
        <w:t>delsí</w:t>
      </w:r>
      <w:proofErr w:type="spellEnd"/>
      <w:r>
        <w:t xml:space="preserve"> </w:t>
      </w:r>
      <w:proofErr w:type="spellStart"/>
      <w:r>
        <w:t>nez</w:t>
      </w:r>
      <w:proofErr w:type="spellEnd"/>
      <w:r>
        <w:t xml:space="preserve"> je</w:t>
      </w:r>
      <w:r>
        <w:t xml:space="preserve">den rok a </w:t>
      </w:r>
      <w:proofErr w:type="spellStart"/>
      <w:r>
        <w:t>vstúpní</w:t>
      </w:r>
      <w:proofErr w:type="spellEnd"/>
      <w:r>
        <w:t xml:space="preserve"> cena </w:t>
      </w:r>
      <w:proofErr w:type="spellStart"/>
      <w:r>
        <w:t>právysúje</w:t>
      </w:r>
      <w:proofErr w:type="spellEnd"/>
      <w:r>
        <w:t xml:space="preserve"> </w:t>
      </w:r>
      <w:proofErr w:type="spellStart"/>
      <w:r>
        <w:t>castkú</w:t>
      </w:r>
      <w:proofErr w:type="spellEnd"/>
      <w:r>
        <w:t xml:space="preserve"> 80 000 Kč </w:t>
      </w:r>
      <w:proofErr w:type="spellStart"/>
      <w:r>
        <w:t>Dloúhodobym</w:t>
      </w:r>
      <w:proofErr w:type="spellEnd"/>
      <w:r>
        <w:t xml:space="preserve"> </w:t>
      </w:r>
      <w:proofErr w:type="spellStart"/>
      <w:r>
        <w:t>nehmotnym</w:t>
      </w:r>
      <w:proofErr w:type="spellEnd"/>
      <w:r>
        <w:t xml:space="preserve"> majetkem se </w:t>
      </w:r>
      <w:proofErr w:type="spellStart"/>
      <w:r>
        <w:t>rozúmí</w:t>
      </w:r>
      <w:proofErr w:type="spellEnd"/>
      <w:r>
        <w:t xml:space="preserve"> </w:t>
      </w:r>
      <w:proofErr w:type="spellStart"/>
      <w:r>
        <w:t>nehmotny</w:t>
      </w:r>
      <w:proofErr w:type="spellEnd"/>
      <w:r>
        <w:t xml:space="preserve"> majetek, </w:t>
      </w:r>
      <w:proofErr w:type="spellStart"/>
      <w:r>
        <w:t>jehoz</w:t>
      </w:r>
      <w:proofErr w:type="spellEnd"/>
      <w:r>
        <w:t xml:space="preserve"> doba </w:t>
      </w:r>
      <w:proofErr w:type="spellStart"/>
      <w:r>
        <w:t>poúzitelnosti</w:t>
      </w:r>
      <w:proofErr w:type="spellEnd"/>
      <w:r>
        <w:t xml:space="preserve"> je delší než jeden rok a </w:t>
      </w:r>
      <w:proofErr w:type="spellStart"/>
      <w:r>
        <w:t>vstúpní</w:t>
      </w:r>
      <w:proofErr w:type="spellEnd"/>
      <w:r>
        <w:t xml:space="preserve"> cena </w:t>
      </w:r>
      <w:proofErr w:type="spellStart"/>
      <w:r>
        <w:t>převyšúje</w:t>
      </w:r>
      <w:proofErr w:type="spellEnd"/>
      <w:r>
        <w:t xml:space="preserve"> </w:t>
      </w:r>
      <w:proofErr w:type="spellStart"/>
      <w:r>
        <w:t>částkú</w:t>
      </w:r>
      <w:proofErr w:type="spellEnd"/>
      <w:r>
        <w:t xml:space="preserve"> 60 000 Kč.</w:t>
      </w:r>
    </w:p>
    <w:p w:rsidR="00356F24" w:rsidRDefault="003405A5">
      <w:pPr>
        <w:pStyle w:val="Bodytext20"/>
        <w:numPr>
          <w:ilvl w:val="0"/>
          <w:numId w:val="18"/>
        </w:numPr>
        <w:shd w:val="clear" w:color="auto" w:fill="auto"/>
        <w:tabs>
          <w:tab w:val="left" w:pos="632"/>
        </w:tabs>
        <w:jc w:val="both"/>
      </w:pPr>
      <w:r>
        <w:t xml:space="preserve">Hlavní </w:t>
      </w:r>
      <w:proofErr w:type="spellStart"/>
      <w:r>
        <w:t>príjemce</w:t>
      </w:r>
      <w:proofErr w:type="spellEnd"/>
      <w:r>
        <w:t xml:space="preserve"> je povinen </w:t>
      </w:r>
      <w:proofErr w:type="spellStart"/>
      <w:r>
        <w:t>postúpovat</w:t>
      </w:r>
      <w:proofErr w:type="spellEnd"/>
      <w:r>
        <w:t xml:space="preserve"> podle teto </w:t>
      </w:r>
      <w:proofErr w:type="spellStart"/>
      <w:r>
        <w:t>Smloúvy</w:t>
      </w:r>
      <w:proofErr w:type="spellEnd"/>
      <w:r>
        <w:t xml:space="preserve">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poúzití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</w:t>
      </w:r>
      <w:proofErr w:type="spellStart"/>
      <w:r>
        <w:t>postúp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</w:t>
      </w:r>
      <w:proofErr w:type="spellStart"/>
      <w:r>
        <w:t>projektú</w:t>
      </w:r>
      <w:proofErr w:type="spellEnd"/>
      <w:r>
        <w:t xml:space="preserve"> v </w:t>
      </w:r>
      <w:proofErr w:type="spellStart"/>
      <w:r>
        <w:t>soúladú</w:t>
      </w:r>
      <w:proofErr w:type="spellEnd"/>
      <w:r>
        <w:t xml:space="preserve"> s podmínkami teto </w:t>
      </w:r>
      <w:proofErr w:type="spellStart"/>
      <w:r>
        <w:t>Smloúvy</w:t>
      </w:r>
      <w:proofErr w:type="spellEnd"/>
      <w:r>
        <w:t xml:space="preserve"> ze strany </w:t>
      </w:r>
      <w:proofErr w:type="spellStart"/>
      <w:r>
        <w:t>resitele</w:t>
      </w:r>
      <w:proofErr w:type="spellEnd"/>
      <w:r>
        <w:t xml:space="preserve"> a dalších účastníků.</w:t>
      </w:r>
    </w:p>
    <w:p w:rsidR="00356F24" w:rsidRDefault="003405A5">
      <w:pPr>
        <w:pStyle w:val="Bodytext20"/>
        <w:numPr>
          <w:ilvl w:val="0"/>
          <w:numId w:val="18"/>
        </w:numPr>
        <w:shd w:val="clear" w:color="auto" w:fill="auto"/>
        <w:tabs>
          <w:tab w:val="left" w:pos="632"/>
        </w:tabs>
        <w:jc w:val="both"/>
      </w:pPr>
      <w:r>
        <w:t xml:space="preserve">Hlavní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úcastník</w:t>
      </w:r>
      <w:proofErr w:type="spellEnd"/>
      <w:r>
        <w:t>/</w:t>
      </w:r>
      <w:proofErr w:type="spellStart"/>
      <w:r>
        <w:t>úcastníci</w:t>
      </w:r>
      <w:proofErr w:type="spellEnd"/>
      <w:r>
        <w:t xml:space="preserve">, </w:t>
      </w:r>
      <w:proofErr w:type="spellStart"/>
      <w:r>
        <w:t>kten</w:t>
      </w:r>
      <w:proofErr w:type="spellEnd"/>
      <w:r>
        <w:t xml:space="preserve"> </w:t>
      </w:r>
      <w:proofErr w:type="spellStart"/>
      <w:r>
        <w:t>vstoúpí</w:t>
      </w:r>
      <w:proofErr w:type="spellEnd"/>
      <w:r>
        <w:t xml:space="preserve"> do likvidace, nebo je proti nim vedeno </w:t>
      </w:r>
      <w:proofErr w:type="spellStart"/>
      <w:r>
        <w:t>rízení</w:t>
      </w:r>
      <w:proofErr w:type="spellEnd"/>
      <w:r>
        <w:t xml:space="preserve"> dle </w:t>
      </w:r>
      <w:r>
        <w:t xml:space="preserve">zákona c. 182/2006 Sb., o </w:t>
      </w:r>
      <w:proofErr w:type="spellStart"/>
      <w:r>
        <w:t>úpadkú</w:t>
      </w:r>
      <w:proofErr w:type="spellEnd"/>
      <w:r>
        <w:t xml:space="preserve"> a </w:t>
      </w:r>
      <w:proofErr w:type="spellStart"/>
      <w:r>
        <w:t>zpúsobech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prádpisú</w:t>
      </w:r>
      <w:proofErr w:type="spellEnd"/>
      <w:r>
        <w:t xml:space="preserve">, nebo byl </w:t>
      </w:r>
      <w:proofErr w:type="spellStart"/>
      <w:r>
        <w:t>vúci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</w:t>
      </w:r>
      <w:proofErr w:type="spellStart"/>
      <w:r>
        <w:t>dosúd</w:t>
      </w:r>
      <w:proofErr w:type="spellEnd"/>
      <w:r>
        <w:t xml:space="preserve">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predchazejícím</w:t>
      </w:r>
      <w:proofErr w:type="spellEnd"/>
      <w:r>
        <w:t xml:space="preserve"> </w:t>
      </w:r>
      <w:proofErr w:type="spellStart"/>
      <w:r>
        <w:lastRenderedPageBreak/>
        <w:t>rozhodnútí</w:t>
      </w:r>
      <w:proofErr w:type="spellEnd"/>
      <w:r>
        <w:t xml:space="preserve"> Komise </w:t>
      </w:r>
      <w:proofErr w:type="spellStart"/>
      <w:r>
        <w:t>prohlasújícím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podpora je protiprávní a </w:t>
      </w:r>
      <w:proofErr w:type="spellStart"/>
      <w:r>
        <w:t>neslúcitelna</w:t>
      </w:r>
      <w:proofErr w:type="spellEnd"/>
      <w:r>
        <w:t xml:space="preserve"> </w:t>
      </w:r>
      <w:r>
        <w:t xml:space="preserve">s </w:t>
      </w:r>
      <w:proofErr w:type="spellStart"/>
      <w:r>
        <w:t>vnitrním</w:t>
      </w:r>
      <w:proofErr w:type="spellEnd"/>
      <w:r>
        <w:t xml:space="preserve"> trhem (cl. 1 odst. 4, písm. a) GBER), nebo se </w:t>
      </w:r>
      <w:proofErr w:type="spellStart"/>
      <w:r>
        <w:t>stanoú</w:t>
      </w:r>
      <w:proofErr w:type="spellEnd"/>
      <w:r>
        <w:t xml:space="preserve"> podnikem v </w:t>
      </w:r>
      <w:proofErr w:type="spellStart"/>
      <w:r>
        <w:t>obtízích</w:t>
      </w:r>
      <w:proofErr w:type="spellEnd"/>
      <w:r>
        <w:t xml:space="preserve"> ve </w:t>
      </w:r>
      <w:proofErr w:type="spellStart"/>
      <w:r>
        <w:t>smyslú</w:t>
      </w:r>
      <w:proofErr w:type="spellEnd"/>
      <w:r>
        <w:t xml:space="preserve"> cl. 2 odst. 18 GBER, </w:t>
      </w:r>
      <w:proofErr w:type="spellStart"/>
      <w:r>
        <w:t>jsoú</w:t>
      </w:r>
      <w:proofErr w:type="spellEnd"/>
      <w:r>
        <w:t xml:space="preserve"> povinni o teto </w:t>
      </w:r>
      <w:proofErr w:type="spellStart"/>
      <w:r>
        <w:t>skútecnosti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</w:t>
      </w:r>
      <w:proofErr w:type="spellStart"/>
      <w:r>
        <w:t>odkladú</w:t>
      </w:r>
      <w:proofErr w:type="spellEnd"/>
      <w:r>
        <w:t xml:space="preserve"> poskytovatele písemně informovat.</w:t>
      </w:r>
    </w:p>
    <w:p w:rsidR="00356F24" w:rsidRDefault="003405A5">
      <w:pPr>
        <w:pStyle w:val="Bodytext20"/>
        <w:numPr>
          <w:ilvl w:val="0"/>
          <w:numId w:val="18"/>
        </w:numPr>
        <w:shd w:val="clear" w:color="auto" w:fill="auto"/>
        <w:tabs>
          <w:tab w:val="left" w:pos="632"/>
        </w:tabs>
        <w:jc w:val="both"/>
      </w:pPr>
      <w:r>
        <w:t xml:space="preserve">Hlavní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úcastník</w:t>
      </w:r>
      <w:proofErr w:type="spellEnd"/>
      <w:r>
        <w:t>/</w:t>
      </w:r>
      <w:proofErr w:type="spellStart"/>
      <w:r>
        <w:t>úcastníci</w:t>
      </w:r>
      <w:proofErr w:type="spellEnd"/>
      <w:r>
        <w:t>, podílejí</w:t>
      </w:r>
      <w:r>
        <w:t xml:space="preserve">cí se na </w:t>
      </w:r>
      <w:proofErr w:type="spellStart"/>
      <w:r>
        <w:t>resení</w:t>
      </w:r>
      <w:proofErr w:type="spellEnd"/>
      <w:r>
        <w:t xml:space="preserve"> </w:t>
      </w:r>
      <w:proofErr w:type="spellStart"/>
      <w:r>
        <w:t>projektú</w:t>
      </w:r>
      <w:proofErr w:type="spellEnd"/>
      <w:r>
        <w:t xml:space="preserve">, </w:t>
      </w:r>
      <w:proofErr w:type="spellStart"/>
      <w:r>
        <w:t>jsoú</w:t>
      </w:r>
      <w:proofErr w:type="spellEnd"/>
      <w:r>
        <w:t xml:space="preserve">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</w:t>
      </w:r>
      <w:proofErr w:type="spellStart"/>
      <w:r>
        <w:t>mohoú</w:t>
      </w:r>
      <w:proofErr w:type="spellEnd"/>
      <w:r>
        <w:t xml:space="preserve">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</w:t>
      </w:r>
      <w:proofErr w:type="spellStart"/>
      <w:r>
        <w:t>Smloúvy</w:t>
      </w:r>
      <w:proofErr w:type="spellEnd"/>
      <w:r>
        <w:t xml:space="preserve">, nebo </w:t>
      </w:r>
      <w:proofErr w:type="spellStart"/>
      <w:r>
        <w:t>ktere</w:t>
      </w:r>
      <w:proofErr w:type="spellEnd"/>
      <w:r>
        <w:t xml:space="preserve"> by mohly mít vliv na </w:t>
      </w:r>
      <w:proofErr w:type="spellStart"/>
      <w:r>
        <w:t>resení</w:t>
      </w:r>
      <w:proofErr w:type="spellEnd"/>
      <w:r>
        <w:t xml:space="preserve"> </w:t>
      </w:r>
      <w:proofErr w:type="spellStart"/>
      <w:r>
        <w:t>projektú</w:t>
      </w:r>
      <w:proofErr w:type="spellEnd"/>
      <w:r>
        <w:t xml:space="preserve">, zejména </w:t>
      </w:r>
      <w:proofErr w:type="spellStart"/>
      <w:r>
        <w:t>zm^ny</w:t>
      </w:r>
      <w:proofErr w:type="spellEnd"/>
      <w:r>
        <w:t xml:space="preserve"> dotýkající se jeho právní </w:t>
      </w:r>
      <w:proofErr w:type="spellStart"/>
      <w:r>
        <w:t>s</w:t>
      </w:r>
      <w:r>
        <w:t>úbjektivity</w:t>
      </w:r>
      <w:proofErr w:type="spellEnd"/>
      <w:r>
        <w:t xml:space="preserve"> (osobnosti), </w:t>
      </w:r>
      <w:proofErr w:type="spellStart"/>
      <w:r>
        <w:t>údajú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zpúsobilosti</w:t>
      </w:r>
      <w:proofErr w:type="spellEnd"/>
      <w:r>
        <w:t xml:space="preserve"> hlavního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zm^ny</w:t>
      </w:r>
      <w:proofErr w:type="spellEnd"/>
      <w:r>
        <w:t xml:space="preserve"> v </w:t>
      </w:r>
      <w:proofErr w:type="spellStart"/>
      <w:r>
        <w:t>rásitelskem</w:t>
      </w:r>
      <w:proofErr w:type="spellEnd"/>
      <w:r>
        <w:t xml:space="preserve"> </w:t>
      </w:r>
      <w:proofErr w:type="spellStart"/>
      <w:r>
        <w:t>týmú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prostrádkú</w:t>
      </w:r>
      <w:proofErr w:type="spellEnd"/>
      <w:r>
        <w:t xml:space="preserve"> mezi jednotlivými schválenými položkami uznaných nákladů, atd., a to s dostatečným časovým předstihem před provedením takové </w:t>
      </w:r>
      <w:proofErr w:type="spellStart"/>
      <w:r>
        <w:t>z</w:t>
      </w:r>
      <w:r>
        <w:t>mený</w:t>
      </w:r>
      <w:proofErr w:type="spellEnd"/>
      <w:r>
        <w:t>, nejpozději vsak do 7 (</w:t>
      </w:r>
      <w:proofErr w:type="spellStart"/>
      <w:r>
        <w:t>slový</w:t>
      </w:r>
      <w:proofErr w:type="spellEnd"/>
      <w:r>
        <w:t xml:space="preserve">: sedmi) kalendářních dnů ode dne, </w:t>
      </w:r>
      <w:proofErr w:type="spellStart"/>
      <w:r>
        <w:t>kdý</w:t>
      </w:r>
      <w:proofErr w:type="spellEnd"/>
      <w:r>
        <w:t xml:space="preserve"> se o takové skutečnosti hlavní příjemce a další účastník/účastníci dozvěděli.</w:t>
      </w:r>
    </w:p>
    <w:p w:rsidR="00356F24" w:rsidRDefault="003405A5">
      <w:pPr>
        <w:pStyle w:val="Bodytext20"/>
        <w:numPr>
          <w:ilvl w:val="0"/>
          <w:numId w:val="18"/>
        </w:numPr>
        <w:shd w:val="clear" w:color="auto" w:fill="auto"/>
        <w:tabs>
          <w:tab w:val="left" w:pos="659"/>
        </w:tabs>
        <w:ind w:left="620"/>
        <w:jc w:val="both"/>
      </w:pPr>
      <w:r>
        <w:t xml:space="preserve">Hlavní příjemce a další </w:t>
      </w:r>
      <w:proofErr w:type="spellStart"/>
      <w:r>
        <w:t>ůčastník</w:t>
      </w:r>
      <w:proofErr w:type="spellEnd"/>
      <w:r>
        <w:t>/</w:t>
      </w:r>
      <w:proofErr w:type="spellStart"/>
      <w:r>
        <w:t>ůčastníči</w:t>
      </w:r>
      <w:proofErr w:type="spellEnd"/>
      <w:r>
        <w:t xml:space="preserve"> jsou povinni po celou dobu řešení projektu splňovat </w:t>
      </w:r>
      <w:proofErr w:type="spellStart"/>
      <w:r>
        <w:t>podmínký</w:t>
      </w:r>
      <w:proofErr w:type="spellEnd"/>
      <w:r>
        <w:t xml:space="preserve"> st</w:t>
      </w:r>
      <w:r>
        <w:t xml:space="preserve">anoveni </w:t>
      </w:r>
      <w:proofErr w:type="spellStart"/>
      <w:r>
        <w:t>Zadavací</w:t>
      </w:r>
      <w:proofErr w:type="spellEnd"/>
      <w:r>
        <w:t xml:space="preserve"> dokumentací pro veřejnou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výhlasenou</w:t>
      </w:r>
      <w:proofErr w:type="spellEnd"/>
      <w:r>
        <w:t xml:space="preserve"> v roce 2022, </w:t>
      </w:r>
      <w:proofErr w:type="spellStart"/>
      <w:r>
        <w:t>kteřá</w:t>
      </w:r>
      <w:proofErr w:type="spellEnd"/>
      <w:r>
        <w:t xml:space="preserve"> je dostupná na webových </w:t>
      </w:r>
      <w:proofErr w:type="spellStart"/>
      <w:r>
        <w:t>střánkách</w:t>
      </w:r>
      <w:proofErr w:type="spellEnd"/>
      <w:r>
        <w:t xml:space="preserve"> </w:t>
      </w:r>
      <w:proofErr w:type="spellStart"/>
      <w:r>
        <w:t>poskýtovatele</w:t>
      </w:r>
      <w:proofErr w:type="spellEnd"/>
      <w:r>
        <w:t>.</w:t>
      </w:r>
    </w:p>
    <w:p w:rsidR="00356F24" w:rsidRDefault="003405A5">
      <w:pPr>
        <w:pStyle w:val="Bodytext20"/>
        <w:numPr>
          <w:ilvl w:val="0"/>
          <w:numId w:val="18"/>
        </w:numPr>
        <w:shd w:val="clear" w:color="auto" w:fill="auto"/>
        <w:tabs>
          <w:tab w:val="left" w:pos="659"/>
        </w:tabs>
        <w:spacing w:after="526"/>
        <w:ind w:left="620"/>
        <w:jc w:val="both"/>
      </w:pPr>
      <w:r>
        <w:t xml:space="preserve">Hlavní příjemce je </w:t>
      </w:r>
      <w:r>
        <w:rPr>
          <w:lang w:val="en-US" w:eastAsia="en-US" w:bidi="en-US"/>
        </w:rPr>
        <w:t xml:space="preserve">dale </w:t>
      </w:r>
      <w:r>
        <w:t xml:space="preserve">povinen postupovat podle </w:t>
      </w:r>
      <w:proofErr w:type="spellStart"/>
      <w:r>
        <w:t>Vseobecných</w:t>
      </w:r>
      <w:proofErr w:type="spellEnd"/>
      <w:r>
        <w:t xml:space="preserve"> podmínek (platných pro veřejnou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výhlasenou</w:t>
      </w:r>
      <w:proofErr w:type="spellEnd"/>
      <w:r>
        <w:t xml:space="preserve"> v roce 2022), </w:t>
      </w:r>
      <w:proofErr w:type="spellStart"/>
      <w:r>
        <w:t>ktere</w:t>
      </w:r>
      <w:proofErr w:type="spellEnd"/>
      <w:r>
        <w:t xml:space="preserve"> jsou </w:t>
      </w:r>
      <w:proofErr w:type="spellStart"/>
      <w:r>
        <w:t>dostupne</w:t>
      </w:r>
      <w:proofErr w:type="spellEnd"/>
      <w:r>
        <w:t xml:space="preserve"> na webových </w:t>
      </w:r>
      <w:proofErr w:type="spellStart"/>
      <w:r>
        <w:t>str^nk^ch</w:t>
      </w:r>
      <w:proofErr w:type="spellEnd"/>
      <w:r>
        <w:t xml:space="preserve"> </w:t>
      </w:r>
      <w:proofErr w:type="spellStart"/>
      <w:r>
        <w:t>poskýtovatele</w:t>
      </w:r>
      <w:proofErr w:type="spellEnd"/>
      <w:r>
        <w:t xml:space="preserve"> </w:t>
      </w:r>
      <w:r>
        <w:rPr>
          <w:lang w:val="en-US" w:eastAsia="en-US" w:bidi="en-US"/>
        </w:rPr>
        <w:t xml:space="preserve">(dale </w:t>
      </w:r>
      <w:r>
        <w:t>jen „</w:t>
      </w:r>
      <w:proofErr w:type="spellStart"/>
      <w:r>
        <w:t>Vseobecne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“). Hlavní příjemce </w:t>
      </w:r>
      <w:proofErr w:type="spellStart"/>
      <w:r>
        <w:t>prohlasuje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jsou mu </w:t>
      </w:r>
      <w:proofErr w:type="spellStart"/>
      <w:r>
        <w:t>týto</w:t>
      </w:r>
      <w:proofErr w:type="spellEnd"/>
      <w:r>
        <w:t xml:space="preserve"> </w:t>
      </w:r>
      <w:proofErr w:type="spellStart"/>
      <w:r>
        <w:t>Vseobecne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</w:t>
      </w:r>
      <w:proofErr w:type="spellStart"/>
      <w:r>
        <w:t>zna</w:t>
      </w:r>
      <w:r>
        <w:t>mý</w:t>
      </w:r>
      <w:proofErr w:type="spellEnd"/>
      <w:r>
        <w:t xml:space="preserve"> a je si </w:t>
      </w:r>
      <w:proofErr w:type="spellStart"/>
      <w:r>
        <w:t>vedom</w:t>
      </w:r>
      <w:proofErr w:type="spellEnd"/>
      <w:r>
        <w:t xml:space="preserve"> toho, ze z nich </w:t>
      </w:r>
      <w:proofErr w:type="spellStart"/>
      <w:r>
        <w:t>výplývají</w:t>
      </w:r>
      <w:proofErr w:type="spellEnd"/>
      <w:r>
        <w:t xml:space="preserve"> práva a </w:t>
      </w:r>
      <w:proofErr w:type="spellStart"/>
      <w:r>
        <w:t>z^vazký</w:t>
      </w:r>
      <w:proofErr w:type="spellEnd"/>
      <w:r>
        <w:t xml:space="preserve"> pro </w:t>
      </w:r>
      <w:proofErr w:type="spellStart"/>
      <w:r>
        <w:t>obe</w:t>
      </w:r>
      <w:proofErr w:type="spellEnd"/>
      <w:r>
        <w:t xml:space="preserve"> smluvní </w:t>
      </w:r>
      <w:proofErr w:type="spellStart"/>
      <w:r>
        <w:t>straný</w:t>
      </w:r>
      <w:proofErr w:type="spellEnd"/>
      <w:r>
        <w:t xml:space="preserve">. Obsahuje-li Smlouva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Vseobecných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</w:t>
      </w:r>
      <w:proofErr w:type="spellStart"/>
      <w:r>
        <w:t>řesení</w:t>
      </w:r>
      <w:proofErr w:type="spellEnd"/>
      <w:r>
        <w:t xml:space="preserve"> projektu, </w:t>
      </w:r>
      <w:proofErr w:type="spellStart"/>
      <w:r>
        <w:t>pouzijí</w:t>
      </w:r>
      <w:proofErr w:type="spellEnd"/>
      <w:r>
        <w:t xml:space="preserve"> se přednostní ustanovení Smlouvy </w:t>
      </w:r>
      <w:r>
        <w:rPr>
          <w:lang w:val="en-US" w:eastAsia="en-US" w:bidi="en-US"/>
        </w:rPr>
        <w:t xml:space="preserve">dale </w:t>
      </w:r>
      <w:r>
        <w:t>ustanovení Všeobecných podm</w:t>
      </w:r>
      <w:r>
        <w:t>ínek a dále Závazných parametrů řešení projektu.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7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Vykazování způsobilých výdajů projektu</w:t>
      </w:r>
    </w:p>
    <w:p w:rsidR="00356F24" w:rsidRDefault="003405A5">
      <w:pPr>
        <w:pStyle w:val="Bodytext20"/>
        <w:numPr>
          <w:ilvl w:val="0"/>
          <w:numId w:val="19"/>
        </w:numPr>
        <w:shd w:val="clear" w:color="auto" w:fill="auto"/>
        <w:tabs>
          <w:tab w:val="left" w:pos="659"/>
        </w:tabs>
        <w:ind w:left="620"/>
        <w:jc w:val="both"/>
      </w:pPr>
      <w:r>
        <w:t xml:space="preserve">Výdaj, který lze uznat za výdaj projektu musí </w:t>
      </w:r>
      <w:proofErr w:type="spellStart"/>
      <w:r>
        <w:t>skutecne</w:t>
      </w:r>
      <w:proofErr w:type="spellEnd"/>
      <w:r>
        <w:t xml:space="preserve"> vzniknout, být </w:t>
      </w:r>
      <w:proofErr w:type="spellStart"/>
      <w:r>
        <w:t>výnalozen</w:t>
      </w:r>
      <w:proofErr w:type="spellEnd"/>
      <w:r>
        <w:t xml:space="preserve">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hlavního příjemce </w:t>
      </w:r>
      <w:proofErr w:type="spellStart"/>
      <w:r>
        <w:t>financní</w:t>
      </w:r>
      <w:proofErr w:type="spellEnd"/>
      <w:r>
        <w:t xml:space="preserve"> </w:t>
      </w:r>
      <w:proofErr w:type="spellStart"/>
      <w:r>
        <w:t>podpo</w:t>
      </w:r>
      <w:r>
        <w:t>rý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, být identifikovatelný a kontrolovatelný a musí být </w:t>
      </w:r>
      <w:proofErr w:type="spellStart"/>
      <w:r>
        <w:t>dolozitelný</w:t>
      </w:r>
      <w:proofErr w:type="spellEnd"/>
      <w:r>
        <w:t xml:space="preserve"> </w:t>
      </w:r>
      <w:proofErr w:type="spellStart"/>
      <w:r>
        <w:t>originalý</w:t>
      </w:r>
      <w:proofErr w:type="spellEnd"/>
      <w:r>
        <w:t xml:space="preserve"> </w:t>
      </w:r>
      <w:proofErr w:type="spellStart"/>
      <w:r>
        <w:t>ucetních</w:t>
      </w:r>
      <w:proofErr w:type="spellEnd"/>
      <w:r>
        <w:t xml:space="preserve"> dokladu ve </w:t>
      </w:r>
      <w:proofErr w:type="spellStart"/>
      <w:r>
        <w:t>smýslu</w:t>
      </w:r>
      <w:proofErr w:type="spellEnd"/>
      <w:r>
        <w:t xml:space="preserve">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předpisu, resp. </w:t>
      </w:r>
      <w:proofErr w:type="spellStart"/>
      <w:r>
        <w:t>originalý</w:t>
      </w:r>
      <w:proofErr w:type="spellEnd"/>
      <w:r>
        <w:t xml:space="preserve"> jiných dokladu ekvivalentní </w:t>
      </w:r>
      <w:proofErr w:type="spellStart"/>
      <w:r>
        <w:t>prukazní</w:t>
      </w:r>
      <w:proofErr w:type="spellEnd"/>
      <w:r>
        <w:t xml:space="preserve"> hod</w:t>
      </w:r>
      <w:r>
        <w:t xml:space="preserve">noty </w:t>
      </w:r>
      <w:proofErr w:type="spellStart"/>
      <w:r>
        <w:t>Kazdý</w:t>
      </w:r>
      <w:proofErr w:type="spellEnd"/>
      <w:r>
        <w:t xml:space="preserve"> </w:t>
      </w:r>
      <w:r>
        <w:rPr>
          <w:lang w:val="en-US" w:eastAsia="en-US" w:bidi="en-US"/>
        </w:rPr>
        <w:t xml:space="preserve">original </w:t>
      </w:r>
      <w:r>
        <w:t xml:space="preserve">relevantního </w:t>
      </w:r>
      <w:proofErr w:type="spellStart"/>
      <w:r>
        <w:t>ucetního</w:t>
      </w:r>
      <w:proofErr w:type="spellEnd"/>
      <w:r>
        <w:t xml:space="preserve"> dokladu je hlavní příjemce povinen </w:t>
      </w:r>
      <w:proofErr w:type="spellStart"/>
      <w:r>
        <w:t>oznacit</w:t>
      </w:r>
      <w:proofErr w:type="spellEnd"/>
      <w:r>
        <w:t xml:space="preserve"> (razítko, text apod.), ze se jedna o výdaj financovaný z projektu QK23020085.</w:t>
      </w:r>
    </w:p>
    <w:p w:rsidR="00356F24" w:rsidRDefault="003405A5">
      <w:pPr>
        <w:pStyle w:val="Bodytext20"/>
        <w:numPr>
          <w:ilvl w:val="0"/>
          <w:numId w:val="19"/>
        </w:numPr>
        <w:shd w:val="clear" w:color="auto" w:fill="auto"/>
        <w:tabs>
          <w:tab w:val="left" w:pos="659"/>
        </w:tabs>
        <w:spacing w:after="530"/>
        <w:ind w:left="620"/>
        <w:jc w:val="both"/>
      </w:pPr>
      <w:r>
        <w:t xml:space="preserve">Podrobnosti </w:t>
      </w:r>
      <w:proofErr w:type="spellStart"/>
      <w:r>
        <w:t>výkazov^ní</w:t>
      </w:r>
      <w:proofErr w:type="spellEnd"/>
      <w:r>
        <w:t xml:space="preserve"> a </w:t>
      </w:r>
      <w:proofErr w:type="spellStart"/>
      <w:r>
        <w:t>výuctovaní</w:t>
      </w:r>
      <w:proofErr w:type="spellEnd"/>
      <w:r>
        <w:t xml:space="preserve"> nakladu projektu jsou stanovený </w:t>
      </w:r>
      <w:proofErr w:type="spellStart"/>
      <w:r>
        <w:t>Vseobecnými</w:t>
      </w:r>
      <w:proofErr w:type="spellEnd"/>
      <w:r>
        <w:t xml:space="preserve"> podmínkami.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8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Zveřejňování výsledků a práva k výsledkům projektu</w:t>
      </w:r>
    </w:p>
    <w:p w:rsidR="00356F24" w:rsidRDefault="003405A5">
      <w:pPr>
        <w:pStyle w:val="Bodytext20"/>
        <w:numPr>
          <w:ilvl w:val="0"/>
          <w:numId w:val="20"/>
        </w:numPr>
        <w:shd w:val="clear" w:color="auto" w:fill="auto"/>
        <w:tabs>
          <w:tab w:val="left" w:pos="659"/>
        </w:tabs>
        <w:ind w:left="620"/>
        <w:jc w:val="both"/>
      </w:pPr>
      <w:r>
        <w:t xml:space="preserve">Hlavní příjemce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jsou povinni zveřejňovat </w:t>
      </w:r>
      <w:proofErr w:type="spellStart"/>
      <w:r>
        <w:t>výsledký</w:t>
      </w:r>
      <w:proofErr w:type="spellEnd"/>
      <w:r>
        <w:t xml:space="preserve"> </w:t>
      </w:r>
      <w:proofErr w:type="spellStart"/>
      <w:r>
        <w:t>výzkumneho</w:t>
      </w:r>
      <w:proofErr w:type="spellEnd"/>
      <w:r>
        <w:t xml:space="preserve"> </w:t>
      </w:r>
      <w:proofErr w:type="spellStart"/>
      <w:r>
        <w:t>řesení</w:t>
      </w:r>
      <w:proofErr w:type="spellEnd"/>
      <w:r>
        <w:t xml:space="preserve"> v souladu s Programem ZEMĚ. Za splnění teto povinnosti ze </w:t>
      </w:r>
      <w:proofErr w:type="spellStart"/>
      <w:r>
        <w:t>straný</w:t>
      </w:r>
      <w:proofErr w:type="spellEnd"/>
      <w:r>
        <w:t xml:space="preserve">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</w:t>
      </w:r>
      <w:r>
        <w:t>hlavní příjemce.</w:t>
      </w:r>
    </w:p>
    <w:p w:rsidR="00356F24" w:rsidRDefault="003405A5">
      <w:pPr>
        <w:pStyle w:val="Bodytext20"/>
        <w:numPr>
          <w:ilvl w:val="0"/>
          <w:numId w:val="20"/>
        </w:numPr>
        <w:shd w:val="clear" w:color="auto" w:fill="auto"/>
        <w:tabs>
          <w:tab w:val="left" w:pos="659"/>
        </w:tabs>
        <w:spacing w:after="530"/>
        <w:ind w:left="620"/>
        <w:jc w:val="both"/>
      </w:pPr>
      <w:r>
        <w:t xml:space="preserve">Přístupová práva k </w:t>
      </w:r>
      <w:proofErr w:type="spellStart"/>
      <w:r>
        <w:t>výsledkum</w:t>
      </w:r>
      <w:proofErr w:type="spellEnd"/>
      <w:r>
        <w:t xml:space="preserve"> a </w:t>
      </w:r>
      <w:proofErr w:type="spellStart"/>
      <w:r>
        <w:t>výuzití</w:t>
      </w:r>
      <w:proofErr w:type="spellEnd"/>
      <w:r>
        <w:t xml:space="preserve"> výsledku z </w:t>
      </w:r>
      <w:proofErr w:type="spellStart"/>
      <w:r>
        <w:t>řesení</w:t>
      </w:r>
      <w:proofErr w:type="spellEnd"/>
      <w:r>
        <w:t xml:space="preserve"> projektu je upraveno </w:t>
      </w:r>
      <w:proofErr w:type="spellStart"/>
      <w:r>
        <w:t>Vseobecnými</w:t>
      </w:r>
      <w:proofErr w:type="spellEnd"/>
      <w:r>
        <w:t xml:space="preserve"> podmínkami.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lastRenderedPageBreak/>
        <w:t>ČLÁNEK 9</w:t>
      </w:r>
    </w:p>
    <w:p w:rsidR="00356F24" w:rsidRDefault="003405A5">
      <w:pPr>
        <w:pStyle w:val="Bodytext20"/>
        <w:shd w:val="clear" w:color="auto" w:fill="auto"/>
        <w:spacing w:after="220"/>
        <w:ind w:left="0" w:firstLine="0"/>
        <w:jc w:val="center"/>
      </w:pPr>
      <w:r>
        <w:rPr>
          <w:b/>
          <w:bCs/>
        </w:rPr>
        <w:t>Změny Smlouvy a projektu</w:t>
      </w:r>
    </w:p>
    <w:p w:rsidR="00356F24" w:rsidRDefault="003405A5">
      <w:pPr>
        <w:pStyle w:val="Bodytext20"/>
        <w:numPr>
          <w:ilvl w:val="0"/>
          <w:numId w:val="21"/>
        </w:numPr>
        <w:shd w:val="clear" w:color="auto" w:fill="auto"/>
        <w:tabs>
          <w:tab w:val="left" w:pos="597"/>
        </w:tabs>
        <w:ind w:left="560"/>
        <w:jc w:val="both"/>
      </w:pPr>
      <w:r>
        <w:t xml:space="preserve">Smlouva může být doplňována, upravována a měněna pouze písemnými po sobě; číslovanými dodatky k této </w:t>
      </w:r>
      <w:r>
        <w:t>Smlouvě, podepsanými oprávněnými zástupci smluvních stran.</w:t>
      </w:r>
    </w:p>
    <w:p w:rsidR="00356F24" w:rsidRDefault="003405A5">
      <w:pPr>
        <w:pStyle w:val="Bodytext20"/>
        <w:numPr>
          <w:ilvl w:val="0"/>
          <w:numId w:val="21"/>
        </w:numPr>
        <w:shd w:val="clear" w:color="auto" w:fill="auto"/>
        <w:tabs>
          <w:tab w:val="left" w:pos="597"/>
        </w:tabs>
        <w:ind w:left="560"/>
        <w:jc w:val="both"/>
      </w:pPr>
      <w:proofErr w:type="spellStart"/>
      <w:r>
        <w:t>Zavazně</w:t>
      </w:r>
      <w:proofErr w:type="spellEnd"/>
      <w:r>
        <w:t xml:space="preserve"> parametry projektu lze měnit na zaklade Zadosti hlavního příjemce provedením změny v informačním systému ISTA a doručením nových </w:t>
      </w:r>
      <w:proofErr w:type="spellStart"/>
      <w:r>
        <w:t>Zavazných</w:t>
      </w:r>
      <w:proofErr w:type="spellEnd"/>
      <w:r>
        <w:t xml:space="preserve"> parametru hlavnímu příjemci.</w:t>
      </w:r>
    </w:p>
    <w:p w:rsidR="00356F24" w:rsidRDefault="003405A5">
      <w:pPr>
        <w:pStyle w:val="Bodytext20"/>
        <w:numPr>
          <w:ilvl w:val="0"/>
          <w:numId w:val="21"/>
        </w:numPr>
        <w:shd w:val="clear" w:color="auto" w:fill="auto"/>
        <w:tabs>
          <w:tab w:val="left" w:pos="597"/>
        </w:tabs>
        <w:ind w:left="560"/>
        <w:jc w:val="both"/>
      </w:pPr>
      <w:r>
        <w:t xml:space="preserve">Smlouvu a Závazně </w:t>
      </w:r>
      <w:proofErr w:type="spellStart"/>
      <w:r>
        <w:t>par</w:t>
      </w:r>
      <w:r>
        <w:t>ametrý</w:t>
      </w:r>
      <w:proofErr w:type="spellEnd"/>
      <w:r>
        <w:t xml:space="preserve"> projektu lze měnit pouze v </w:t>
      </w:r>
      <w:proofErr w:type="spellStart"/>
      <w:r>
        <w:t>oduvodněných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</w:t>
      </w:r>
      <w:proofErr w:type="spellStart"/>
      <w:r>
        <w:t>ramec</w:t>
      </w:r>
      <w:proofErr w:type="spellEnd"/>
      <w:r>
        <w:t xml:space="preserve"> Programu ZEMĚ a nad rámec výsledku </w:t>
      </w:r>
      <w:proofErr w:type="spellStart"/>
      <w:r>
        <w:t>verejně</w:t>
      </w:r>
      <w:proofErr w:type="spellEnd"/>
      <w:r>
        <w:t xml:space="preserve"> </w:t>
      </w:r>
      <w:proofErr w:type="spellStart"/>
      <w:r>
        <w:t>soutěze</w:t>
      </w:r>
      <w:proofErr w:type="spellEnd"/>
      <w:r>
        <w:t xml:space="preserve"> na </w:t>
      </w:r>
      <w:proofErr w:type="spellStart"/>
      <w:r>
        <w:t>projektý</w:t>
      </w:r>
      <w:proofErr w:type="spellEnd"/>
      <w:r>
        <w:t xml:space="preserve"> ve výzkumu, vývoji a inovacích v rámci Programu ZEMĚ lze vsak Smlouvu měnit jen z </w:t>
      </w:r>
      <w:proofErr w:type="spellStart"/>
      <w:r>
        <w:t>duvodu</w:t>
      </w:r>
      <w:proofErr w:type="spellEnd"/>
      <w:r>
        <w:t xml:space="preserve"> uvedených v cl. 5 odst. 5.4. této </w:t>
      </w:r>
      <w:proofErr w:type="spellStart"/>
      <w:r>
        <w:t>Sm</w:t>
      </w:r>
      <w:r>
        <w:t>louvý</w:t>
      </w:r>
      <w:proofErr w:type="spellEnd"/>
      <w:r>
        <w:t>.</w:t>
      </w:r>
    </w:p>
    <w:p w:rsidR="00356F24" w:rsidRDefault="003405A5">
      <w:pPr>
        <w:pStyle w:val="Bodytext20"/>
        <w:numPr>
          <w:ilvl w:val="0"/>
          <w:numId w:val="21"/>
        </w:numPr>
        <w:shd w:val="clear" w:color="auto" w:fill="auto"/>
        <w:tabs>
          <w:tab w:val="left" w:pos="597"/>
        </w:tabs>
        <w:ind w:left="560"/>
        <w:jc w:val="both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změný</w:t>
      </w:r>
      <w:proofErr w:type="spellEnd"/>
      <w:r>
        <w:t xml:space="preserve"> ke Smlouvě nebo zadost o změnu </w:t>
      </w:r>
      <w:proofErr w:type="spellStart"/>
      <w:r>
        <w:t>Zavazných</w:t>
      </w:r>
      <w:proofErr w:type="spellEnd"/>
      <w:r>
        <w:t xml:space="preserve"> parametru projektu musí být </w:t>
      </w:r>
      <w:proofErr w:type="spellStart"/>
      <w:r>
        <w:t>dorucený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v </w:t>
      </w:r>
      <w:proofErr w:type="spellStart"/>
      <w:r>
        <w:t>dostatecněm</w:t>
      </w:r>
      <w:proofErr w:type="spellEnd"/>
      <w:r>
        <w:t xml:space="preserve"> </w:t>
      </w:r>
      <w:proofErr w:type="spellStart"/>
      <w:r>
        <w:t>prádstihu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ocekavanou</w:t>
      </w:r>
      <w:proofErr w:type="spellEnd"/>
      <w:r>
        <w:t xml:space="preserve"> realizací </w:t>
      </w:r>
      <w:proofErr w:type="spellStart"/>
      <w:r>
        <w:t>zadaně</w:t>
      </w:r>
      <w:proofErr w:type="spellEnd"/>
      <w:r>
        <w:t xml:space="preserve"> </w:t>
      </w:r>
      <w:proofErr w:type="spellStart"/>
      <w:r>
        <w:t>změný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mohl být </w:t>
      </w:r>
      <w:proofErr w:type="spellStart"/>
      <w:r>
        <w:t>navrh</w:t>
      </w:r>
      <w:proofErr w:type="spell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nalezitě</w:t>
      </w:r>
      <w:proofErr w:type="spellEnd"/>
      <w:r>
        <w:t xml:space="preserve"> posouzen a v </w:t>
      </w:r>
      <w:proofErr w:type="spellStart"/>
      <w:r>
        <w:t>pnpadě</w:t>
      </w:r>
      <w:proofErr w:type="spellEnd"/>
      <w:r>
        <w:t xml:space="preserve"> jeh</w:t>
      </w:r>
      <w:r>
        <w:t xml:space="preserve">o akceptace mohla být změna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neprodleně po tě, co se hlavní </w:t>
      </w:r>
      <w:proofErr w:type="spellStart"/>
      <w:r>
        <w:t>pnjemce</w:t>
      </w:r>
      <w:proofErr w:type="spellEnd"/>
      <w:r>
        <w:t xml:space="preserve"> o nutnosti </w:t>
      </w:r>
      <w:proofErr w:type="spellStart"/>
      <w:r>
        <w:t>změný</w:t>
      </w:r>
      <w:proofErr w:type="spellEnd"/>
      <w:r>
        <w:t xml:space="preserve"> dozvěděl.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</w:t>
      </w:r>
      <w:r>
        <w:t>onna</w:t>
      </w:r>
      <w:proofErr w:type="spellEnd"/>
      <w:r>
        <w:t xml:space="preserve"> povinnost podávat </w:t>
      </w:r>
      <w:proofErr w:type="spellStart"/>
      <w:r>
        <w:t>poskýtovateli</w:t>
      </w:r>
      <w:proofErr w:type="spellEnd"/>
      <w:r>
        <w:t xml:space="preserve"> informace o změnách, která se dotýkají jeho právní </w:t>
      </w:r>
      <w:proofErr w:type="spellStart"/>
      <w:r>
        <w:t>subjektivitý</w:t>
      </w:r>
      <w:proofErr w:type="spellEnd"/>
      <w:r>
        <w:t xml:space="preserve">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zpťisobilosti</w:t>
      </w:r>
      <w:proofErr w:type="spellEnd"/>
      <w:r>
        <w:t xml:space="preserve">, nebo která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proofErr w:type="gramStart"/>
      <w:r>
        <w:rPr>
          <w:vertAlign w:val="superscript"/>
        </w:rPr>
        <w:t>5</w:t>
      </w:r>
      <w:r>
        <w:t xml:space="preserve"> .</w:t>
      </w:r>
      <w:proofErr w:type="gramEnd"/>
    </w:p>
    <w:p w:rsidR="00356F24" w:rsidRDefault="003405A5">
      <w:pPr>
        <w:pStyle w:val="Bodytext20"/>
        <w:numPr>
          <w:ilvl w:val="0"/>
          <w:numId w:val="21"/>
        </w:numPr>
        <w:shd w:val="clear" w:color="auto" w:fill="auto"/>
        <w:tabs>
          <w:tab w:val="left" w:pos="597"/>
        </w:tabs>
        <w:ind w:left="560"/>
        <w:jc w:val="both"/>
      </w:pPr>
      <w:r>
        <w:t xml:space="preserve">Pokud změna </w:t>
      </w:r>
      <w:proofErr w:type="spellStart"/>
      <w:r>
        <w:t>spodv</w:t>
      </w:r>
      <w:proofErr w:type="spellEnd"/>
      <w:r>
        <w:t xml:space="preserve">^ ve změně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</w:t>
      </w:r>
      <w:r>
        <w:t xml:space="preserve"> projektu, je </w:t>
      </w:r>
      <w:proofErr w:type="spellStart"/>
      <w:r>
        <w:t>poskýtovatel</w:t>
      </w:r>
      <w:proofErr w:type="spellEnd"/>
      <w:r>
        <w:t xml:space="preserve"> 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356F24" w:rsidRDefault="003405A5">
      <w:pPr>
        <w:pStyle w:val="Bodytext20"/>
        <w:numPr>
          <w:ilvl w:val="0"/>
          <w:numId w:val="21"/>
        </w:numPr>
        <w:shd w:val="clear" w:color="auto" w:fill="auto"/>
        <w:tabs>
          <w:tab w:val="left" w:pos="597"/>
        </w:tabs>
        <w:ind w:left="560"/>
        <w:jc w:val="both"/>
      </w:pPr>
      <w:r>
        <w:t xml:space="preserve">Písemný </w:t>
      </w:r>
      <w:proofErr w:type="spellStart"/>
      <w:r>
        <w:t>navrh</w:t>
      </w:r>
      <w:proofErr w:type="spellEnd"/>
      <w:r>
        <w:t xml:space="preserve"> </w:t>
      </w:r>
      <w:proofErr w:type="spellStart"/>
      <w:r>
        <w:t>smlouvý</w:t>
      </w:r>
      <w:proofErr w:type="spellEnd"/>
      <w:r>
        <w:t xml:space="preserve">, </w:t>
      </w:r>
      <w:proofErr w:type="spellStart"/>
      <w:r>
        <w:t>jakoz</w:t>
      </w:r>
      <w:proofErr w:type="spellEnd"/>
      <w:r>
        <w:t xml:space="preserve"> i informace o změnach</w:t>
      </w:r>
      <w:hyperlink w:anchor="bookmark4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prostrádnictvím</w:t>
      </w:r>
      <w:proofErr w:type="spellEnd"/>
      <w:r>
        <w:t xml:space="preserve"> hlavního </w:t>
      </w:r>
      <w:proofErr w:type="spellStart"/>
      <w:r>
        <w:t>p</w:t>
      </w:r>
      <w:r>
        <w:t>njemce</w:t>
      </w:r>
      <w:proofErr w:type="spellEnd"/>
      <w:r>
        <w:t xml:space="preserve">. V </w:t>
      </w:r>
      <w:proofErr w:type="spellStart"/>
      <w:r>
        <w:t>pnpadě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změnach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5.5. této </w:t>
      </w:r>
      <w:proofErr w:type="spellStart"/>
      <w:r>
        <w:t>Smlouvý</w:t>
      </w:r>
      <w:proofErr w:type="spellEnd"/>
      <w:r>
        <w:t>.</w:t>
      </w:r>
    </w:p>
    <w:p w:rsidR="00356F24" w:rsidRDefault="003405A5">
      <w:pPr>
        <w:pStyle w:val="Bodytext20"/>
        <w:numPr>
          <w:ilvl w:val="0"/>
          <w:numId w:val="21"/>
        </w:numPr>
        <w:shd w:val="clear" w:color="auto" w:fill="auto"/>
        <w:tabs>
          <w:tab w:val="left" w:pos="597"/>
        </w:tabs>
        <w:ind w:left="560"/>
        <w:jc w:val="both"/>
      </w:pPr>
      <w:r>
        <w:t xml:space="preserve">Mezi </w:t>
      </w:r>
      <w:proofErr w:type="spellStart"/>
      <w:r>
        <w:t>změný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Smlouvě, </w:t>
      </w:r>
      <w:proofErr w:type="spellStart"/>
      <w:r>
        <w:t>podlěhající</w:t>
      </w:r>
      <w:proofErr w:type="spellEnd"/>
      <w:r>
        <w:t xml:space="preserve"> pouze oznamovací povinnosti posk</w:t>
      </w:r>
      <w:r>
        <w:t>ýtovateli</w:t>
      </w:r>
      <w:hyperlink w:anchor="bookmark5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zejměna</w:t>
      </w:r>
      <w:proofErr w:type="spellEnd"/>
      <w:r>
        <w:t xml:space="preserve">: administrativní </w:t>
      </w:r>
      <w:proofErr w:type="spellStart"/>
      <w:r>
        <w:t>změný</w:t>
      </w:r>
      <w:proofErr w:type="spellEnd"/>
      <w:r>
        <w:t xml:space="preserve"> (</w:t>
      </w:r>
      <w:proofErr w:type="spellStart"/>
      <w:r>
        <w:t>změný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změna sídla a nazvu organizace, změna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změna statutárního organu, a jakákoliv </w:t>
      </w:r>
      <w:proofErr w:type="spellStart"/>
      <w:r>
        <w:t>dalsí</w:t>
      </w:r>
      <w:proofErr w:type="spellEnd"/>
      <w:r>
        <w:t xml:space="preserve"> změna,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</w:t>
      </w:r>
      <w:r>
        <w:t>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hlavního příjemce a dalšího účastníka/dalších účastníků.</w:t>
      </w:r>
    </w:p>
    <w:p w:rsidR="00356F24" w:rsidRDefault="003405A5">
      <w:pPr>
        <w:pStyle w:val="Bodytext20"/>
        <w:numPr>
          <w:ilvl w:val="0"/>
          <w:numId w:val="21"/>
        </w:numPr>
        <w:shd w:val="clear" w:color="auto" w:fill="auto"/>
        <w:tabs>
          <w:tab w:val="left" w:pos="457"/>
        </w:tabs>
        <w:spacing w:after="510"/>
        <w:ind w:left="0" w:firstLine="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10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Kontroly</w:t>
      </w:r>
    </w:p>
    <w:p w:rsidR="00356F24" w:rsidRDefault="003405A5">
      <w:pPr>
        <w:pStyle w:val="Bodytext20"/>
        <w:numPr>
          <w:ilvl w:val="0"/>
          <w:numId w:val="22"/>
        </w:numPr>
        <w:shd w:val="clear" w:color="auto" w:fill="auto"/>
        <w:tabs>
          <w:tab w:val="left" w:pos="582"/>
        </w:tabs>
        <w:ind w:left="560" w:hanging="560"/>
        <w:jc w:val="both"/>
      </w:pPr>
      <w:proofErr w:type="spellStart"/>
      <w:r>
        <w:t>Poskýtovatel</w:t>
      </w:r>
      <w:proofErr w:type="spellEnd"/>
      <w:r>
        <w:t xml:space="preserve"> je oprávněn provádět kontrolu plnění podmínek </w:t>
      </w:r>
      <w:proofErr w:type="spellStart"/>
      <w:r>
        <w:t>těto</w:t>
      </w:r>
      <w:proofErr w:type="spellEnd"/>
      <w:r>
        <w:t xml:space="preserve">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</w:t>
      </w:r>
      <w:r>
        <w:rPr>
          <w:lang w:val="en-US" w:eastAsia="en-US" w:bidi="en-US"/>
        </w:rPr>
        <w:t xml:space="preserve">Sb., dale </w:t>
      </w:r>
      <w:r>
        <w:t xml:space="preserve">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verejně</w:t>
      </w:r>
      <w:proofErr w:type="spellEnd"/>
      <w:r>
        <w:t xml:space="preserve"> správě a o změně některých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</w:t>
      </w:r>
      <w:r>
        <w:t xml:space="preserve"> znění </w:t>
      </w:r>
      <w:proofErr w:type="spellStart"/>
      <w:r>
        <w:t>pozdějsích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znění pozdějších předpisů, a s právními normami s tím souvisejícími.</w:t>
      </w:r>
    </w:p>
    <w:p w:rsidR="00356F24" w:rsidRDefault="003405A5">
      <w:pPr>
        <w:pStyle w:val="Bodytext20"/>
        <w:numPr>
          <w:ilvl w:val="0"/>
          <w:numId w:val="22"/>
        </w:numPr>
        <w:shd w:val="clear" w:color="auto" w:fill="auto"/>
        <w:tabs>
          <w:tab w:val="left" w:pos="582"/>
        </w:tabs>
        <w:ind w:left="560" w:hanging="560"/>
        <w:jc w:val="both"/>
      </w:pPr>
      <w:r>
        <w:t xml:space="preserve">Hlavní příjemce a další účastník/účastníci jsou povinni umožnit </w:t>
      </w:r>
      <w:proofErr w:type="spellStart"/>
      <w:r>
        <w:t>poskýtovateli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356F24" w:rsidRDefault="003405A5">
      <w:pPr>
        <w:pStyle w:val="Bodytext20"/>
        <w:numPr>
          <w:ilvl w:val="0"/>
          <w:numId w:val="22"/>
        </w:numPr>
        <w:shd w:val="clear" w:color="auto" w:fill="auto"/>
        <w:tabs>
          <w:tab w:val="left" w:pos="582"/>
        </w:tabs>
        <w:ind w:left="0" w:firstLine="0"/>
        <w:jc w:val="both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</w:t>
      </w:r>
      <w:proofErr w:type="spellStart"/>
      <w:r>
        <w:t>provadění</w:t>
      </w:r>
      <w:proofErr w:type="spellEnd"/>
      <w:r>
        <w:t xml:space="preserve"> kontrol </w:t>
      </w:r>
      <w:proofErr w:type="spellStart"/>
      <w:r>
        <w:t>poskýtovatelem</w:t>
      </w:r>
      <w:proofErr w:type="spellEnd"/>
      <w:r>
        <w:t xml:space="preserve"> u hlavního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</w:p>
    <w:p w:rsidR="00356F24" w:rsidRDefault="003405A5">
      <w:pPr>
        <w:pStyle w:val="Bodytext20"/>
        <w:shd w:val="clear" w:color="auto" w:fill="auto"/>
        <w:spacing w:after="530"/>
        <w:ind w:left="0" w:firstLine="620"/>
        <w:jc w:val="both"/>
      </w:pPr>
      <w:r>
        <w:t>účastníka/dalších účastníků jsou stanoveny Všeobecnými podmínkami.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lastRenderedPageBreak/>
        <w:t>ČLÁNEK 11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Vyúčtování a finanční vypořádání dotace</w:t>
      </w:r>
    </w:p>
    <w:p w:rsidR="00356F24" w:rsidRDefault="003405A5">
      <w:pPr>
        <w:pStyle w:val="Bodytext20"/>
        <w:numPr>
          <w:ilvl w:val="0"/>
          <w:numId w:val="23"/>
        </w:numPr>
        <w:shd w:val="clear" w:color="auto" w:fill="auto"/>
        <w:tabs>
          <w:tab w:val="left" w:pos="609"/>
        </w:tabs>
        <w:ind w:left="620" w:hanging="620"/>
        <w:jc w:val="both"/>
      </w:pPr>
      <w:r>
        <w:t>Hlavní příjemce provede</w:t>
      </w:r>
      <w:r>
        <w:t xml:space="preserve"> za každý' rok řešení projektu vyúčtování nakladu a výdajů vynaložených na řešení projektů, včetně nakladu a výdajů vynaložených dalšími účastníky a vyúčtovaní poskytnuti podpory s poskytovatelem,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predloží</w:t>
      </w:r>
      <w:proofErr w:type="spellEnd"/>
      <w:r>
        <w:t xml:space="preserve"> spolu s </w:t>
      </w:r>
      <w:proofErr w:type="spellStart"/>
      <w:r>
        <w:t>prUbežnou</w:t>
      </w:r>
      <w:proofErr w:type="spellEnd"/>
      <w:r>
        <w:t xml:space="preserve"> zprávou projektu.</w:t>
      </w:r>
    </w:p>
    <w:p w:rsidR="00356F24" w:rsidRDefault="003405A5">
      <w:pPr>
        <w:pStyle w:val="Bodytext20"/>
        <w:numPr>
          <w:ilvl w:val="0"/>
          <w:numId w:val="23"/>
        </w:numPr>
        <w:shd w:val="clear" w:color="auto" w:fill="auto"/>
        <w:tabs>
          <w:tab w:val="left" w:pos="609"/>
        </w:tabs>
        <w:ind w:left="620" w:hanging="620"/>
        <w:jc w:val="both"/>
      </w:pPr>
      <w:proofErr w:type="spellStart"/>
      <w:r>
        <w:t>Zaverečn</w:t>
      </w:r>
      <w:r>
        <w:t>e</w:t>
      </w:r>
      <w:proofErr w:type="spellEnd"/>
      <w:r>
        <w:t xml:space="preserve"> </w:t>
      </w:r>
      <w:proofErr w:type="spellStart"/>
      <w:r>
        <w:t>vyučtovaní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projektu, </w:t>
      </w:r>
      <w:proofErr w:type="spellStart"/>
      <w:r>
        <w:t>žahrnující</w:t>
      </w:r>
      <w:proofErr w:type="spellEnd"/>
      <w:r>
        <w:t xml:space="preserve"> finanční </w:t>
      </w:r>
      <w:proofErr w:type="spellStart"/>
      <w:r>
        <w:t>vyporádam</w:t>
      </w:r>
      <w:proofErr w:type="spellEnd"/>
      <w:r>
        <w:t xml:space="preserve"> </w:t>
      </w:r>
      <w:proofErr w:type="spellStart"/>
      <w:r>
        <w:t>ža</w:t>
      </w:r>
      <w:proofErr w:type="spellEnd"/>
      <w:r>
        <w:t xml:space="preserve"> cele období řešení projektu, předloží hlavní příjemce společně se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356F24" w:rsidRDefault="003405A5">
      <w:pPr>
        <w:pStyle w:val="Bodytext20"/>
        <w:numPr>
          <w:ilvl w:val="0"/>
          <w:numId w:val="23"/>
        </w:numPr>
        <w:shd w:val="clear" w:color="auto" w:fill="auto"/>
        <w:tabs>
          <w:tab w:val="left" w:pos="609"/>
        </w:tabs>
        <w:spacing w:after="530"/>
        <w:ind w:left="620" w:hanging="620"/>
        <w:jc w:val="both"/>
      </w:pPr>
      <w:r>
        <w:t xml:space="preserve">Finanční </w:t>
      </w:r>
      <w:proofErr w:type="spellStart"/>
      <w:r>
        <w:t>vyporádam</w:t>
      </w:r>
      <w:proofErr w:type="spellEnd"/>
      <w:r>
        <w:t xml:space="preserve"> dotace poskytnuti na </w:t>
      </w:r>
      <w:proofErr w:type="spellStart"/>
      <w:r>
        <w:t>žaklade</w:t>
      </w:r>
      <w:proofErr w:type="spellEnd"/>
      <w:r>
        <w:t xml:space="preserve"> teto Smlouvy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žakonem</w:t>
      </w:r>
      <w:proofErr w:type="spellEnd"/>
      <w:r>
        <w:t xml:space="preserve"> č. 218/2000</w:t>
      </w:r>
      <w:r>
        <w:t xml:space="preserve"> Sb., o </w:t>
      </w:r>
      <w:proofErr w:type="spellStart"/>
      <w:r>
        <w:t>rožpočtovýčh</w:t>
      </w:r>
      <w:proofErr w:type="spellEnd"/>
      <w:r>
        <w:t xml:space="preserve"> pravidlečh</w:t>
      </w:r>
      <w:hyperlink w:anchor="bookmark6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předpisy</w:t>
      </w:r>
      <w:hyperlink w:anchor="bookmark7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12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Důsledky porušení podmínek Smlouvy</w:t>
      </w:r>
    </w:p>
    <w:p w:rsidR="00356F24" w:rsidRDefault="003405A5">
      <w:pPr>
        <w:pStyle w:val="Bodytext20"/>
        <w:numPr>
          <w:ilvl w:val="0"/>
          <w:numId w:val="24"/>
        </w:numPr>
        <w:shd w:val="clear" w:color="auto" w:fill="auto"/>
        <w:tabs>
          <w:tab w:val="left" w:pos="604"/>
        </w:tabs>
        <w:ind w:left="620" w:hanging="620"/>
        <w:jc w:val="both"/>
      </w:pPr>
      <w:proofErr w:type="spellStart"/>
      <w:r>
        <w:t>Porusení</w:t>
      </w:r>
      <w:proofErr w:type="spellEnd"/>
      <w:r>
        <w:t xml:space="preserve"> podmínek teto Smlouvy hlavním </w:t>
      </w:r>
      <w:proofErr w:type="spellStart"/>
      <w:r>
        <w:rPr>
          <w:lang w:val="en-US" w:eastAsia="en-US" w:bidi="en-US"/>
        </w:rPr>
        <w:t>pnjemcem</w:t>
      </w:r>
      <w:proofErr w:type="spellEnd"/>
      <w:r>
        <w:rPr>
          <w:lang w:val="en-US" w:eastAsia="en-US" w:bidi="en-US"/>
        </w:rPr>
        <w:t xml:space="preserve"> </w:t>
      </w:r>
      <w:r>
        <w:t xml:space="preserve">je </w:t>
      </w:r>
      <w:proofErr w:type="spellStart"/>
      <w:r>
        <w:t>neoprávnenym</w:t>
      </w:r>
      <w:proofErr w:type="spellEnd"/>
      <w:r>
        <w:t xml:space="preserve"> použitím, poskytnutích </w:t>
      </w:r>
      <w:proofErr w:type="spellStart"/>
      <w:r>
        <w:t>prostredku</w:t>
      </w:r>
      <w:proofErr w:type="spellEnd"/>
      <w:r>
        <w:t xml:space="preserve"> podle ustanovení § 3 </w:t>
      </w:r>
      <w:proofErr w:type="spellStart"/>
      <w:r>
        <w:t>plsm</w:t>
      </w:r>
      <w:proofErr w:type="spellEnd"/>
      <w:r>
        <w:t xml:space="preserve">. e) </w:t>
      </w:r>
      <w:proofErr w:type="spellStart"/>
      <w:r>
        <w:t>žakona</w:t>
      </w:r>
      <w:proofErr w:type="spellEnd"/>
      <w:r>
        <w:t xml:space="preserve"> č. 218/2000 Sb., o </w:t>
      </w:r>
      <w:proofErr w:type="spellStart"/>
      <w:r>
        <w:t>rožpočtovych</w:t>
      </w:r>
      <w:proofErr w:type="spellEnd"/>
      <w:r>
        <w:t xml:space="preserve"> pravidlech, která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rožpočtove</w:t>
      </w:r>
      <w:proofErr w:type="spellEnd"/>
      <w:r>
        <w:t xml:space="preserve"> </w:t>
      </w:r>
      <w:proofErr w:type="spellStart"/>
      <w:r>
        <w:t>kažne</w:t>
      </w:r>
      <w:proofErr w:type="spellEnd"/>
      <w:r>
        <w:t xml:space="preserve"> podle ustanoveni § 44 odst. 1 písm. b), případně písm. j) téhož </w:t>
      </w:r>
      <w:proofErr w:type="spellStart"/>
      <w:r>
        <w:t>žákona</w:t>
      </w:r>
      <w:proofErr w:type="spellEnd"/>
      <w:r>
        <w:t xml:space="preserve"> a bude ře</w:t>
      </w:r>
      <w:r>
        <w:t>šeno podle tohoto žákona</w:t>
      </w:r>
      <w:hyperlink w:anchor="bookmark8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356F24" w:rsidRDefault="003405A5">
      <w:pPr>
        <w:pStyle w:val="Bodytext20"/>
        <w:numPr>
          <w:ilvl w:val="0"/>
          <w:numId w:val="24"/>
        </w:numPr>
        <w:shd w:val="clear" w:color="auto" w:fill="auto"/>
        <w:tabs>
          <w:tab w:val="left" w:pos="604"/>
        </w:tabs>
        <w:spacing w:after="526"/>
        <w:ind w:left="620" w:hanging="620"/>
        <w:jc w:val="both"/>
      </w:pPr>
      <w:r>
        <w:t xml:space="preserve">Pokud tato Smlouva nebo </w:t>
      </w:r>
      <w:proofErr w:type="spellStart"/>
      <w:r>
        <w:t>žakon</w:t>
      </w:r>
      <w:proofErr w:type="spellEnd"/>
      <w:r>
        <w:t xml:space="preserve"> </w:t>
      </w:r>
      <w:proofErr w:type="spellStart"/>
      <w:r>
        <w:t>žaklada</w:t>
      </w:r>
      <w:proofErr w:type="spellEnd"/>
      <w:r>
        <w:t xml:space="preserve"> povinnost vrácení poskytnutích </w:t>
      </w:r>
      <w:proofErr w:type="spellStart"/>
      <w:r>
        <w:t>prostredku</w:t>
      </w:r>
      <w:proofErr w:type="spellEnd"/>
      <w:r>
        <w:t xml:space="preserve">, nebo pokud na </w:t>
      </w:r>
      <w:proofErr w:type="spellStart"/>
      <w:r>
        <w:t>žaklade</w:t>
      </w:r>
      <w:proofErr w:type="spellEnd"/>
      <w:r>
        <w:t xml:space="preserve"> teto Smlouvy poskytovatel požaduje vrácení poskytnutích </w:t>
      </w:r>
      <w:proofErr w:type="spellStart"/>
      <w:r>
        <w:t>prostredku</w:t>
      </w:r>
      <w:proofErr w:type="spellEnd"/>
      <w:r>
        <w:t xml:space="preserve"> a hlavní </w:t>
      </w:r>
      <w:proofErr w:type="spellStart"/>
      <w:r>
        <w:rPr>
          <w:lang w:val="en-US" w:eastAsia="en-US" w:bidi="en-US"/>
        </w:rPr>
        <w:t>pnjemce</w:t>
      </w:r>
      <w:proofErr w:type="spellEnd"/>
      <w:r>
        <w:rPr>
          <w:lang w:val="en-US" w:eastAsia="en-US" w:bidi="en-US"/>
        </w:rPr>
        <w:t xml:space="preserve"> </w:t>
      </w:r>
      <w:r>
        <w:t xml:space="preserve">tuto povinnost nesplní, dopustí se </w:t>
      </w:r>
      <w:proofErr w:type="spellStart"/>
      <w:r>
        <w:t>žadržení</w:t>
      </w:r>
      <w:proofErr w:type="spellEnd"/>
      <w:r>
        <w:t xml:space="preserve"> poskytnutích </w:t>
      </w:r>
      <w:proofErr w:type="spellStart"/>
      <w:r>
        <w:t>prostredku</w:t>
      </w:r>
      <w:proofErr w:type="spellEnd"/>
      <w:r>
        <w:t xml:space="preserve"> p</w:t>
      </w:r>
      <w:r>
        <w:t xml:space="preserve">odle ustanovení § 3 písm. f) </w:t>
      </w:r>
      <w:proofErr w:type="spellStart"/>
      <w:r>
        <w:t>žakona</w:t>
      </w:r>
      <w:proofErr w:type="spellEnd"/>
      <w:r>
        <w:t xml:space="preserve"> č. 218/2000 Sb., o </w:t>
      </w:r>
      <w:proofErr w:type="spellStart"/>
      <w:r>
        <w:t>rožpočtovych</w:t>
      </w:r>
      <w:proofErr w:type="spellEnd"/>
      <w:r>
        <w:t xml:space="preserve"> pravidlech, která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rožpočtove</w:t>
      </w:r>
      <w:proofErr w:type="spellEnd"/>
      <w:r>
        <w:t xml:space="preserve"> </w:t>
      </w:r>
      <w:proofErr w:type="spellStart"/>
      <w:r>
        <w:t>kažne</w:t>
      </w:r>
      <w:proofErr w:type="spellEnd"/>
      <w:r>
        <w:t xml:space="preserve"> podle ustanovení § 44 odst. 1 písm. b), téhož </w:t>
      </w:r>
      <w:proofErr w:type="spellStart"/>
      <w:r>
        <w:t>žakona</w:t>
      </w:r>
      <w:proofErr w:type="spellEnd"/>
      <w:r>
        <w:t xml:space="preserve"> a bude </w:t>
      </w:r>
      <w:proofErr w:type="spellStart"/>
      <w:r>
        <w:t>ráseno</w:t>
      </w:r>
      <w:proofErr w:type="spellEnd"/>
      <w:r>
        <w:t xml:space="preserve"> podle tohoto </w:t>
      </w:r>
      <w:proofErr w:type="spellStart"/>
      <w:r>
        <w:t>žákona</w:t>
      </w:r>
      <w:proofErr w:type="spellEnd"/>
      <w:r>
        <w:t>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ind w:left="0" w:firstLine="0"/>
      </w:pPr>
      <w:r>
        <w:rPr>
          <w:b/>
          <w:bCs/>
          <w:color w:val="FFFFFF"/>
        </w:rPr>
        <w:t>ČLÁNEK 13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Používané právo</w:t>
      </w:r>
    </w:p>
    <w:p w:rsidR="00356F24" w:rsidRDefault="003405A5">
      <w:pPr>
        <w:pStyle w:val="Bodytext20"/>
        <w:numPr>
          <w:ilvl w:val="0"/>
          <w:numId w:val="25"/>
        </w:numPr>
        <w:shd w:val="clear" w:color="auto" w:fill="auto"/>
        <w:tabs>
          <w:tab w:val="left" w:pos="604"/>
        </w:tabs>
        <w:ind w:left="0" w:firstLine="0"/>
      </w:pPr>
      <w:r>
        <w:t xml:space="preserve">Tato Smlouva se řídí </w:t>
      </w:r>
      <w:r>
        <w:t>právem České republiky.</w:t>
      </w:r>
    </w:p>
    <w:p w:rsidR="00356F24" w:rsidRDefault="003405A5">
      <w:pPr>
        <w:pStyle w:val="Bodytext20"/>
        <w:numPr>
          <w:ilvl w:val="0"/>
          <w:numId w:val="25"/>
        </w:numPr>
        <w:shd w:val="clear" w:color="auto" w:fill="auto"/>
        <w:tabs>
          <w:tab w:val="left" w:pos="604"/>
        </w:tabs>
        <w:spacing w:after="210"/>
        <w:ind w:left="620" w:hanging="620"/>
        <w:jc w:val="both"/>
      </w:pPr>
      <w:proofErr w:type="spellStart"/>
      <w:r>
        <w:t>Vžtahy</w:t>
      </w:r>
      <w:proofErr w:type="spellEnd"/>
      <w:r>
        <w:t xml:space="preserve">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žakonem</w:t>
      </w:r>
      <w:proofErr w:type="spellEnd"/>
      <w:r>
        <w:t xml:space="preserve"> č. 130/2002 Sb., </w:t>
      </w:r>
      <w:proofErr w:type="spellStart"/>
      <w:r>
        <w:t>žakonem</w:t>
      </w:r>
      <w:proofErr w:type="spellEnd"/>
      <w:r>
        <w:t xml:space="preserve"> č. 218/2000 Sb., o </w:t>
      </w:r>
      <w:proofErr w:type="spellStart"/>
      <w:r>
        <w:t>rožpočtovych</w:t>
      </w:r>
      <w:proofErr w:type="spellEnd"/>
      <w:r>
        <w:t xml:space="preserve"> pravidlech, </w:t>
      </w:r>
      <w:proofErr w:type="spellStart"/>
      <w:r>
        <w:t>žakonem</w:t>
      </w:r>
      <w:proofErr w:type="spellEnd"/>
      <w:r>
        <w:t xml:space="preserve"> č. 500/2004 Sb., správní rád, ve </w:t>
      </w:r>
      <w:proofErr w:type="spellStart"/>
      <w:r>
        <w:t>žn^ní</w:t>
      </w:r>
      <w:proofErr w:type="spellEnd"/>
      <w:r>
        <w:t xml:space="preserve"> </w:t>
      </w:r>
      <w:proofErr w:type="spellStart"/>
      <w:r>
        <w:t>poždejsíc</w:t>
      </w:r>
      <w:r>
        <w:t>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</w:t>
      </w:r>
      <w:proofErr w:type="spellStart"/>
      <w:r>
        <w:t>žakonem</w:t>
      </w:r>
      <w:proofErr w:type="spellEnd"/>
      <w:r>
        <w:t xml:space="preserve"> č. 89/2012 Sb., občanský </w:t>
      </w:r>
      <w:proofErr w:type="spellStart"/>
      <w:r>
        <w:t>žákoník</w:t>
      </w:r>
      <w:proofErr w:type="spellEnd"/>
      <w:r>
        <w:t>, Rámcem a GBER.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14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Závěrečná ustanovení</w:t>
      </w:r>
    </w:p>
    <w:p w:rsidR="00356F24" w:rsidRDefault="003405A5">
      <w:pPr>
        <w:pStyle w:val="Bodytext20"/>
        <w:numPr>
          <w:ilvl w:val="0"/>
          <w:numId w:val="26"/>
        </w:numPr>
        <w:shd w:val="clear" w:color="auto" w:fill="auto"/>
        <w:tabs>
          <w:tab w:val="left" w:pos="619"/>
        </w:tabs>
        <w:ind w:left="560" w:hanging="560"/>
        <w:jc w:val="both"/>
      </w:pPr>
      <w:r>
        <w:t xml:space="preserve">Hlavní příjemce prohlašuje a podpisem teto Smlouvy </w:t>
      </w:r>
      <w:proofErr w:type="spellStart"/>
      <w:r>
        <w:t>sveho</w:t>
      </w:r>
      <w:proofErr w:type="spellEnd"/>
      <w:r>
        <w:t xml:space="preserve"> zástupce nebo zástupců stvrzuje, Ze jím uvedené údaje, na jejichž základe je uzavřena tato Smlouva </w:t>
      </w:r>
      <w:r>
        <w:t>a má byt poskytnutá podpora poskytovatelem, jsou pravdivé a odpovídají skutečnosti.</w:t>
      </w:r>
    </w:p>
    <w:p w:rsidR="00356F24" w:rsidRDefault="003405A5">
      <w:pPr>
        <w:pStyle w:val="Bodytext20"/>
        <w:numPr>
          <w:ilvl w:val="0"/>
          <w:numId w:val="26"/>
        </w:numPr>
        <w:shd w:val="clear" w:color="auto" w:fill="auto"/>
        <w:tabs>
          <w:tab w:val="left" w:pos="619"/>
        </w:tabs>
        <w:ind w:left="560" w:hanging="560"/>
        <w:jc w:val="both"/>
      </w:pPr>
      <w:r>
        <w:t xml:space="preserve">V souladu s GBER zajistí poskytovatel zápis </w:t>
      </w:r>
      <w:proofErr w:type="spellStart"/>
      <w:r>
        <w:rPr>
          <w:lang w:val="en-US" w:eastAsia="en-US" w:bidi="en-US"/>
        </w:rPr>
        <w:t>udaju</w:t>
      </w:r>
      <w:proofErr w:type="spellEnd"/>
      <w:r>
        <w:rPr>
          <w:lang w:val="en-US" w:eastAsia="en-US" w:bidi="en-US"/>
        </w:rPr>
        <w:t xml:space="preserve"> </w:t>
      </w:r>
      <w:r>
        <w:t xml:space="preserve">o </w:t>
      </w:r>
      <w:proofErr w:type="spellStart"/>
      <w:r>
        <w:t>rezimech</w:t>
      </w:r>
      <w:proofErr w:type="spellEnd"/>
      <w:r>
        <w:t xml:space="preserve"> podpory, jednotlivých podporách a </w:t>
      </w:r>
      <w:proofErr w:type="spellStart"/>
      <w:r>
        <w:t>udaje</w:t>
      </w:r>
      <w:proofErr w:type="spellEnd"/>
      <w:r>
        <w:t xml:space="preserve"> o jejich </w:t>
      </w:r>
      <w:proofErr w:type="spellStart"/>
      <w:r>
        <w:t>pnjemcích</w:t>
      </w:r>
      <w:proofErr w:type="spellEnd"/>
      <w:r>
        <w:t xml:space="preserve"> do souhrnného elektronického systému </w:t>
      </w:r>
      <w:proofErr w:type="spellStart"/>
      <w:r>
        <w:t>verejne</w:t>
      </w:r>
      <w:proofErr w:type="spellEnd"/>
      <w:r>
        <w:t xml:space="preserve"> podpory</w:t>
      </w:r>
      <w:r>
        <w:t xml:space="preserve">. Hlavní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učastník</w:t>
      </w:r>
      <w:proofErr w:type="spellEnd"/>
      <w:r>
        <w:t>/</w:t>
      </w:r>
      <w:proofErr w:type="spellStart"/>
      <w:r>
        <w:t>učastníci</w:t>
      </w:r>
      <w:proofErr w:type="spellEnd"/>
      <w:r>
        <w:t xml:space="preserve"> poskytnou nezbytnou součinnost a souhlasí se </w:t>
      </w:r>
      <w:proofErr w:type="spellStart"/>
      <w:r>
        <w:t>zverejnením</w:t>
      </w:r>
      <w:proofErr w:type="spellEnd"/>
      <w:r>
        <w:t xml:space="preserve"> údajů v tomto </w:t>
      </w:r>
      <w:r>
        <w:lastRenderedPageBreak/>
        <w:t>systému.</w:t>
      </w:r>
    </w:p>
    <w:p w:rsidR="00356F24" w:rsidRDefault="003405A5">
      <w:pPr>
        <w:pStyle w:val="Bodytext20"/>
        <w:numPr>
          <w:ilvl w:val="0"/>
          <w:numId w:val="26"/>
        </w:numPr>
        <w:shd w:val="clear" w:color="auto" w:fill="auto"/>
        <w:tabs>
          <w:tab w:val="left" w:pos="619"/>
        </w:tabs>
        <w:ind w:left="560" w:hanging="560"/>
        <w:jc w:val="both"/>
      </w:pPr>
      <w:r>
        <w:t xml:space="preserve">Hlavní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</w:t>
      </w:r>
      <w:proofErr w:type="spellStart"/>
      <w:r>
        <w:t>níze</w:t>
      </w:r>
      <w:proofErr w:type="spellEnd"/>
      <w:r>
        <w:t xml:space="preserve">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pnpadnych</w:t>
      </w:r>
      <w:proofErr w:type="spellEnd"/>
      <w:r>
        <w:rPr>
          <w:lang w:val="en-US" w:eastAsia="en-US" w:bidi="en-US"/>
        </w:rPr>
        <w:t xml:space="preserve"> </w:t>
      </w:r>
      <w:r>
        <w:t xml:space="preserve">dodatku </w:t>
      </w:r>
      <w:r>
        <w:rPr>
          <w:lang w:val="en-US" w:eastAsia="en-US" w:bidi="en-US"/>
        </w:rPr>
        <w:t>a metad</w:t>
      </w:r>
      <w:r>
        <w:rPr>
          <w:lang w:val="en-US" w:eastAsia="en-US" w:bidi="en-US"/>
        </w:rPr>
        <w:t xml:space="preserve">ata </w:t>
      </w:r>
      <w:r>
        <w:t xml:space="preserve">k teto Smlouvá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zvlástních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uverejnování</w:t>
      </w:r>
      <w:proofErr w:type="spellEnd"/>
      <w:r>
        <w:t xml:space="preserve"> těchto smluv a o registru smluv (zákon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. Smluvní strany</w:t>
      </w:r>
      <w:r>
        <w:t xml:space="preserve">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</w:t>
      </w:r>
      <w:proofErr w:type="spellStart"/>
      <w:r>
        <w:t>zverejnení</w:t>
      </w:r>
      <w:proofErr w:type="spellEnd"/>
      <w:r>
        <w:t xml:space="preserve"> správci registru poskytovatel, tím není </w:t>
      </w:r>
      <w:proofErr w:type="spellStart"/>
      <w:r>
        <w:t>dotceno</w:t>
      </w:r>
      <w:proofErr w:type="spellEnd"/>
      <w:r>
        <w:t xml:space="preserve"> právo hlavního </w:t>
      </w:r>
      <w:proofErr w:type="spellStart"/>
      <w:r>
        <w:t>príjemce</w:t>
      </w:r>
      <w:proofErr w:type="spellEnd"/>
      <w:r>
        <w:t xml:space="preserve"> k jejich odeslání.</w:t>
      </w:r>
    </w:p>
    <w:p w:rsidR="00356F24" w:rsidRDefault="003405A5">
      <w:pPr>
        <w:pStyle w:val="Bodytext20"/>
        <w:numPr>
          <w:ilvl w:val="0"/>
          <w:numId w:val="26"/>
        </w:numPr>
        <w:shd w:val="clear" w:color="auto" w:fill="auto"/>
        <w:tabs>
          <w:tab w:val="left" w:pos="619"/>
        </w:tabs>
        <w:ind w:left="560" w:hanging="560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9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 xml:space="preserve">hlavní </w:t>
      </w:r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uverejní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rPr>
          <w:lang w:val="en-US" w:eastAsia="en-US" w:bidi="en-US"/>
        </w:rPr>
        <w:t>pnpadnych</w:t>
      </w:r>
      <w:proofErr w:type="spellEnd"/>
      <w:r>
        <w:rPr>
          <w:lang w:val="en-US" w:eastAsia="en-US" w:bidi="en-US"/>
        </w:rPr>
        <w:t xml:space="preserve"> </w:t>
      </w:r>
      <w:r>
        <w:t xml:space="preserve">dodatku </w:t>
      </w:r>
      <w:r>
        <w:rPr>
          <w:lang w:val="en-US" w:eastAsia="en-US" w:bidi="en-US"/>
        </w:rPr>
        <w:t xml:space="preserve">a metadata </w:t>
      </w:r>
      <w:r>
        <w:t xml:space="preserve">k teto Smlouvá v registru smluv v souladu se zákonem c. 340/2015 Sb., o </w:t>
      </w:r>
      <w:proofErr w:type="spellStart"/>
      <w:r>
        <w:t>zvlástních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uverejnován</w:t>
      </w:r>
      <w:r>
        <w:t>í</w:t>
      </w:r>
      <w:proofErr w:type="spellEnd"/>
      <w:r>
        <w:t xml:space="preserve"> těchto smluv a o registru smluv (zákon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356F24" w:rsidRDefault="003405A5">
      <w:pPr>
        <w:pStyle w:val="Bodytext20"/>
        <w:numPr>
          <w:ilvl w:val="0"/>
          <w:numId w:val="26"/>
        </w:numPr>
        <w:shd w:val="clear" w:color="auto" w:fill="auto"/>
        <w:tabs>
          <w:tab w:val="left" w:pos="619"/>
        </w:tabs>
        <w:ind w:left="560" w:hanging="560"/>
        <w:jc w:val="both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podepsána elektronicky, nedohodnou-li smluvní strany jinak.</w:t>
      </w:r>
    </w:p>
    <w:p w:rsidR="00356F24" w:rsidRDefault="003405A5">
      <w:pPr>
        <w:pStyle w:val="Bodytext20"/>
        <w:numPr>
          <w:ilvl w:val="0"/>
          <w:numId w:val="26"/>
        </w:numPr>
        <w:shd w:val="clear" w:color="auto" w:fill="auto"/>
        <w:tabs>
          <w:tab w:val="left" w:pos="619"/>
        </w:tabs>
        <w:spacing w:after="530"/>
        <w:ind w:left="0" w:firstLine="0"/>
        <w:jc w:val="both"/>
      </w:pPr>
      <w:r>
        <w:t xml:space="preserve">Nedílnou součástí této Smlouvy je příloha „Závazné parametry řešení </w:t>
      </w:r>
      <w:r>
        <w:t>projektu“.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ČLÁNEK 15</w:t>
      </w:r>
    </w:p>
    <w:p w:rsidR="00356F24" w:rsidRDefault="003405A5">
      <w:pPr>
        <w:pStyle w:val="Bodytext20"/>
        <w:shd w:val="clear" w:color="auto" w:fill="auto"/>
        <w:spacing w:after="200"/>
        <w:ind w:left="0" w:firstLine="0"/>
        <w:jc w:val="center"/>
      </w:pPr>
      <w:r>
        <w:rPr>
          <w:b/>
          <w:bCs/>
        </w:rPr>
        <w:t>Účinnost Smlouvy</w:t>
      </w:r>
    </w:p>
    <w:p w:rsidR="00356F24" w:rsidRDefault="003405A5">
      <w:pPr>
        <w:pStyle w:val="Bodytext20"/>
        <w:numPr>
          <w:ilvl w:val="0"/>
          <w:numId w:val="27"/>
        </w:numPr>
        <w:shd w:val="clear" w:color="auto" w:fill="auto"/>
        <w:tabs>
          <w:tab w:val="left" w:pos="619"/>
        </w:tabs>
        <w:spacing w:after="530" w:line="266" w:lineRule="auto"/>
        <w:ind w:left="560" w:hanging="560"/>
        <w:jc w:val="both"/>
      </w:pPr>
      <w:r>
        <w:t xml:space="preserve">Tato Smlouva </w:t>
      </w:r>
      <w:proofErr w:type="spellStart"/>
      <w:r>
        <w:t>nabyvá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zverejnení</w:t>
      </w:r>
      <w:proofErr w:type="spellEnd"/>
      <w:r>
        <w:t xml:space="preserve"> v Registru smluv</w:t>
      </w:r>
      <w:hyperlink w:anchor="bookmark10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pozbyvá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</w:t>
      </w:r>
      <w:proofErr w:type="spellStart"/>
      <w:r>
        <w:t>vyplyvajících</w:t>
      </w:r>
      <w:proofErr w:type="spellEnd"/>
      <w:r>
        <w:t xml:space="preserve">. Tím </w:t>
      </w:r>
      <w:r>
        <w:t xml:space="preserve">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11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0" w:firstLine="0"/>
      </w:pPr>
      <w:r>
        <w:rPr>
          <w:b/>
          <w:bCs/>
          <w:color w:val="FFFFFF"/>
        </w:rPr>
        <w:t>POZNÁMKY</w:t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651"/>
        </w:tabs>
        <w:ind w:firstLine="320"/>
        <w:jc w:val="both"/>
        <w:rPr>
          <w:sz w:val="18"/>
          <w:szCs w:val="18"/>
        </w:rPr>
      </w:pPr>
      <w:bookmarkStart w:id="0" w:name="bookmark1"/>
      <w:bookmarkStart w:id="1" w:name="bookmark0"/>
      <w:r>
        <w:rPr>
          <w:rFonts w:ascii="Cambria" w:eastAsia="Cambria" w:hAnsi="Cambria" w:cs="Cambria"/>
          <w:sz w:val="18"/>
          <w:szCs w:val="18"/>
        </w:rPr>
        <w:t>§</w:t>
      </w:r>
      <w:bookmarkEnd w:id="0"/>
      <w:r>
        <w:rPr>
          <w:rFonts w:ascii="Cambria" w:eastAsia="Cambria" w:hAnsi="Cambria" w:cs="Cambria"/>
          <w:sz w:val="18"/>
          <w:szCs w:val="18"/>
        </w:rPr>
        <w:t xml:space="preserve"> 9 odst. 1 písm. e) zákona č. 130/2002 Sb.</w:t>
      </w:r>
      <w:bookmarkEnd w:id="1"/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651"/>
        </w:tabs>
        <w:ind w:firstLine="320"/>
        <w:jc w:val="both"/>
        <w:rPr>
          <w:sz w:val="18"/>
          <w:szCs w:val="18"/>
        </w:rPr>
      </w:pPr>
      <w:bookmarkStart w:id="2" w:name="bookmark2"/>
      <w:r>
        <w:rPr>
          <w:rFonts w:ascii="Cambria" w:eastAsia="Cambria" w:hAnsi="Cambria" w:cs="Cambria"/>
          <w:sz w:val="18"/>
          <w:szCs w:val="18"/>
        </w:rPr>
        <w:t>§</w:t>
      </w:r>
      <w:bookmarkEnd w:id="2"/>
      <w:r>
        <w:rPr>
          <w:rFonts w:ascii="Cambria" w:eastAsia="Cambria" w:hAnsi="Cambria" w:cs="Cambria"/>
          <w:sz w:val="18"/>
          <w:szCs w:val="18"/>
        </w:rPr>
        <w:t xml:space="preserve"> 2 odst. 2 písm. j) zákona č. 130/2002 Sb.</w:t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651"/>
        </w:tabs>
        <w:ind w:firstLine="320"/>
        <w:jc w:val="both"/>
        <w:rPr>
          <w:sz w:val="18"/>
          <w:szCs w:val="18"/>
        </w:rPr>
      </w:pPr>
      <w:bookmarkStart w:id="3" w:name="bookmark3"/>
      <w:r>
        <w:rPr>
          <w:rFonts w:ascii="Cambria" w:eastAsia="Cambria" w:hAnsi="Cambria" w:cs="Cambria"/>
          <w:sz w:val="18"/>
          <w:szCs w:val="18"/>
        </w:rPr>
        <w:t>§</w:t>
      </w:r>
      <w:bookmarkEnd w:id="3"/>
      <w:r>
        <w:rPr>
          <w:rFonts w:ascii="Cambria" w:eastAsia="Cambria" w:hAnsi="Cambria" w:cs="Cambria"/>
          <w:sz w:val="18"/>
          <w:szCs w:val="18"/>
        </w:rPr>
        <w:t xml:space="preserve"> 10 odst. 1 zákona č. 130/2002 Sb.</w:t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651"/>
        </w:tabs>
        <w:ind w:firstLine="320"/>
        <w:jc w:val="both"/>
        <w:rPr>
          <w:sz w:val="18"/>
          <w:szCs w:val="18"/>
        </w:rPr>
      </w:pPr>
      <w:bookmarkStart w:id="4" w:name="bookmark4"/>
      <w:r>
        <w:rPr>
          <w:rFonts w:ascii="Cambria" w:eastAsia="Cambria" w:hAnsi="Cambria" w:cs="Cambria"/>
          <w:sz w:val="18"/>
          <w:szCs w:val="18"/>
        </w:rPr>
        <w:t>§</w:t>
      </w:r>
      <w:bookmarkEnd w:id="4"/>
      <w:r>
        <w:rPr>
          <w:rFonts w:ascii="Cambria" w:eastAsia="Cambria" w:hAnsi="Cambria" w:cs="Cambria"/>
          <w:sz w:val="18"/>
          <w:szCs w:val="18"/>
        </w:rPr>
        <w:t xml:space="preserve"> 25 o</w:t>
      </w:r>
      <w:r>
        <w:rPr>
          <w:rFonts w:ascii="Cambria" w:eastAsia="Cambria" w:hAnsi="Cambria" w:cs="Cambria"/>
          <w:sz w:val="18"/>
          <w:szCs w:val="18"/>
        </w:rPr>
        <w:t>dst. 8 zákona č. 218/2000 Sb. o rozpočtových pravidlech</w:t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651"/>
        </w:tabs>
        <w:ind w:firstLine="320"/>
        <w:jc w:val="both"/>
        <w:rPr>
          <w:sz w:val="18"/>
          <w:szCs w:val="18"/>
        </w:rPr>
      </w:pPr>
      <w:bookmarkStart w:id="5" w:name="bookmark5"/>
      <w:r>
        <w:rPr>
          <w:rFonts w:ascii="Cambria" w:eastAsia="Cambria" w:hAnsi="Cambria" w:cs="Cambria"/>
          <w:sz w:val="18"/>
          <w:szCs w:val="18"/>
        </w:rPr>
        <w:t>§</w:t>
      </w:r>
      <w:bookmarkEnd w:id="5"/>
      <w:r>
        <w:rPr>
          <w:rFonts w:ascii="Cambria" w:eastAsia="Cambria" w:hAnsi="Cambria" w:cs="Cambria"/>
          <w:sz w:val="18"/>
          <w:szCs w:val="18"/>
        </w:rPr>
        <w:t xml:space="preserve"> 9 odst. 8 zákona č. 130/2002 Sb.</w:t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651"/>
        </w:tabs>
        <w:spacing w:after="200"/>
        <w:ind w:firstLine="320"/>
        <w:jc w:val="both"/>
        <w:rPr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§ 9 odst. 8 zákona č. 130/2002 Sb.</w:t>
      </w:r>
      <w:r>
        <w:br w:type="page"/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739"/>
        </w:tabs>
        <w:spacing w:line="252" w:lineRule="auto"/>
        <w:ind w:firstLine="400"/>
        <w:rPr>
          <w:sz w:val="18"/>
          <w:szCs w:val="18"/>
        </w:rPr>
      </w:pPr>
      <w:bookmarkStart w:id="6" w:name="bookmark7"/>
      <w:bookmarkStart w:id="7" w:name="bookmark6"/>
      <w:r>
        <w:rPr>
          <w:rFonts w:ascii="Cambria" w:eastAsia="Cambria" w:hAnsi="Cambria" w:cs="Cambria"/>
          <w:sz w:val="18"/>
          <w:szCs w:val="18"/>
        </w:rPr>
        <w:lastRenderedPageBreak/>
        <w:t>Č</w:t>
      </w:r>
      <w:bookmarkEnd w:id="6"/>
      <w:r>
        <w:rPr>
          <w:rFonts w:ascii="Cambria" w:eastAsia="Cambria" w:hAnsi="Cambria" w:cs="Cambria"/>
          <w:sz w:val="18"/>
          <w:szCs w:val="18"/>
        </w:rPr>
        <w:t>l. 4 bod 2 písm. f) Všeobecných podmínek</w:t>
      </w:r>
      <w:bookmarkEnd w:id="7"/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739"/>
        </w:tabs>
        <w:spacing w:line="252" w:lineRule="auto"/>
        <w:ind w:firstLine="400"/>
        <w:rPr>
          <w:sz w:val="18"/>
          <w:szCs w:val="18"/>
        </w:rPr>
      </w:pPr>
      <w:bookmarkStart w:id="8" w:name="bookmark8"/>
      <w:r>
        <w:rPr>
          <w:rFonts w:ascii="Cambria" w:eastAsia="Cambria" w:hAnsi="Cambria" w:cs="Cambria"/>
          <w:sz w:val="18"/>
          <w:szCs w:val="18"/>
        </w:rPr>
        <w:t>§</w:t>
      </w:r>
      <w:bookmarkEnd w:id="8"/>
      <w:r>
        <w:rPr>
          <w:rFonts w:ascii="Cambria" w:eastAsia="Cambria" w:hAnsi="Cambria" w:cs="Cambria"/>
          <w:sz w:val="18"/>
          <w:szCs w:val="18"/>
        </w:rPr>
        <w:t xml:space="preserve"> 75 zákona č. 218/2000 Sb., o rozpočtových pravidlech</w:t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720"/>
        </w:tabs>
        <w:spacing w:line="252" w:lineRule="auto"/>
        <w:ind w:left="620" w:hanging="220"/>
        <w:rPr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Vyhláška c. 367/2015 Sb., o zásadách a lhůtách finančního vypořádání vztahů se státním rozpočtem, státními </w:t>
      </w:r>
      <w:bookmarkStart w:id="9" w:name="bookmark9"/>
      <w:r>
        <w:rPr>
          <w:rFonts w:ascii="Cambria" w:eastAsia="Cambria" w:hAnsi="Cambria" w:cs="Cambria"/>
          <w:sz w:val="18"/>
          <w:szCs w:val="18"/>
        </w:rPr>
        <w:t>f</w:t>
      </w:r>
      <w:bookmarkEnd w:id="9"/>
      <w:r>
        <w:rPr>
          <w:rFonts w:ascii="Cambria" w:eastAsia="Cambria" w:hAnsi="Cambria" w:cs="Cambria"/>
          <w:sz w:val="18"/>
          <w:szCs w:val="18"/>
        </w:rPr>
        <w:t>inančními aktivy a Národním fondem (vyhláška o finančním vypořádání), ve znění pozdějších předpisů</w:t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716"/>
        </w:tabs>
        <w:spacing w:line="252" w:lineRule="auto"/>
        <w:ind w:firstLine="300"/>
        <w:rPr>
          <w:sz w:val="18"/>
          <w:szCs w:val="18"/>
        </w:rPr>
      </w:pPr>
      <w:bookmarkStart w:id="10" w:name="bookmark10"/>
      <w:r>
        <w:rPr>
          <w:rFonts w:ascii="Cambria" w:eastAsia="Cambria" w:hAnsi="Cambria" w:cs="Cambria"/>
          <w:sz w:val="18"/>
          <w:szCs w:val="18"/>
        </w:rPr>
        <w:t>§</w:t>
      </w:r>
      <w:bookmarkEnd w:id="10"/>
      <w:r>
        <w:rPr>
          <w:rFonts w:ascii="Cambria" w:eastAsia="Cambria" w:hAnsi="Cambria" w:cs="Cambria"/>
          <w:sz w:val="18"/>
          <w:szCs w:val="18"/>
        </w:rPr>
        <w:t xml:space="preserve"> 14 odst. 1 </w:t>
      </w:r>
      <w:proofErr w:type="spellStart"/>
      <w:r>
        <w:rPr>
          <w:rFonts w:ascii="Cambria" w:eastAsia="Cambria" w:hAnsi="Cambria" w:cs="Cambria"/>
          <w:sz w:val="18"/>
          <w:szCs w:val="18"/>
        </w:rPr>
        <w:t>zákoná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č. 130/2002 Sb.</w:t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716"/>
        </w:tabs>
        <w:spacing w:line="252" w:lineRule="auto"/>
        <w:ind w:firstLine="300"/>
        <w:rPr>
          <w:sz w:val="18"/>
          <w:szCs w:val="18"/>
        </w:rPr>
      </w:pPr>
      <w:bookmarkStart w:id="11" w:name="bookmark11"/>
      <w:r>
        <w:rPr>
          <w:rFonts w:ascii="Cambria" w:eastAsia="Cambria" w:hAnsi="Cambria" w:cs="Cambria"/>
          <w:sz w:val="18"/>
          <w:szCs w:val="18"/>
        </w:rPr>
        <w:t>Č</w:t>
      </w:r>
      <w:bookmarkEnd w:id="11"/>
      <w:r>
        <w:rPr>
          <w:rFonts w:ascii="Cambria" w:eastAsia="Cambria" w:hAnsi="Cambria" w:cs="Cambria"/>
          <w:sz w:val="18"/>
          <w:szCs w:val="18"/>
        </w:rPr>
        <w:t>l. 5 Všeobec</w:t>
      </w:r>
      <w:r>
        <w:rPr>
          <w:rFonts w:ascii="Cambria" w:eastAsia="Cambria" w:hAnsi="Cambria" w:cs="Cambria"/>
          <w:sz w:val="18"/>
          <w:szCs w:val="18"/>
        </w:rPr>
        <w:t>ných podmínek</w:t>
      </w:r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716"/>
        </w:tabs>
        <w:spacing w:line="252" w:lineRule="auto"/>
        <w:ind w:firstLine="300"/>
        <w:rPr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§ 6 odst. 1 </w:t>
      </w:r>
      <w:proofErr w:type="spellStart"/>
      <w:r>
        <w:rPr>
          <w:rFonts w:ascii="Cambria" w:eastAsia="Cambria" w:hAnsi="Cambria" w:cs="Cambria"/>
          <w:sz w:val="18"/>
          <w:szCs w:val="18"/>
        </w:rPr>
        <w:t>zákoná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č. 340/2015 Sb., o registrů </w:t>
      </w:r>
      <w:proofErr w:type="spellStart"/>
      <w:r>
        <w:rPr>
          <w:rFonts w:ascii="Cambria" w:eastAsia="Cambria" w:hAnsi="Cambria" w:cs="Cambria"/>
          <w:sz w:val="18"/>
          <w:szCs w:val="18"/>
        </w:rPr>
        <w:t>smlův</w:t>
      </w:r>
      <w:proofErr w:type="spellEnd"/>
    </w:p>
    <w:p w:rsidR="00356F24" w:rsidRDefault="003405A5">
      <w:pPr>
        <w:pStyle w:val="Other0"/>
        <w:numPr>
          <w:ilvl w:val="0"/>
          <w:numId w:val="28"/>
        </w:numPr>
        <w:shd w:val="clear" w:color="auto" w:fill="auto"/>
        <w:tabs>
          <w:tab w:val="left" w:pos="716"/>
        </w:tabs>
        <w:spacing w:after="526" w:line="252" w:lineRule="auto"/>
        <w:ind w:firstLine="300"/>
        <w:rPr>
          <w:sz w:val="18"/>
          <w:szCs w:val="18"/>
        </w:rPr>
      </w:pPr>
      <w:proofErr w:type="spellStart"/>
      <w:r>
        <w:rPr>
          <w:rFonts w:ascii="Cambria" w:eastAsia="Cambria" w:hAnsi="Cambria" w:cs="Cambria"/>
          <w:sz w:val="18"/>
          <w:szCs w:val="18"/>
        </w:rPr>
        <w:t>Nápř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. § 44 á § 44á </w:t>
      </w:r>
      <w:proofErr w:type="spellStart"/>
      <w:r>
        <w:rPr>
          <w:rFonts w:ascii="Cambria" w:eastAsia="Cambria" w:hAnsi="Cambria" w:cs="Cambria"/>
          <w:sz w:val="18"/>
          <w:szCs w:val="18"/>
        </w:rPr>
        <w:t>zákoná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č. 218/2000 Sb., o rozpočtových </w:t>
      </w:r>
      <w:proofErr w:type="spellStart"/>
      <w:r>
        <w:rPr>
          <w:rFonts w:ascii="Cambria" w:eastAsia="Cambria" w:hAnsi="Cambria" w:cs="Cambria"/>
          <w:sz w:val="18"/>
          <w:szCs w:val="18"/>
        </w:rPr>
        <w:t>právidlech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zákon č. 320/2000 Sb., o </w:t>
      </w:r>
      <w:proofErr w:type="spellStart"/>
      <w:r>
        <w:rPr>
          <w:rFonts w:ascii="Cambria" w:eastAsia="Cambria" w:hAnsi="Cambria" w:cs="Cambria"/>
          <w:sz w:val="18"/>
          <w:szCs w:val="18"/>
        </w:rPr>
        <w:t>finánční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kontrole</w:t>
      </w:r>
    </w:p>
    <w:p w:rsidR="00356F24" w:rsidRDefault="003405A5">
      <w:pPr>
        <w:pStyle w:val="Bodytext20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  <w:ind w:left="0" w:firstLine="0"/>
      </w:pPr>
      <w:r>
        <w:rPr>
          <w:b/>
          <w:bCs/>
          <w:color w:val="FFFFFF"/>
        </w:rPr>
        <w:t>PODPISY SMLUVNÍCH STRAN</w:t>
      </w:r>
    </w:p>
    <w:p w:rsidR="00356F24" w:rsidRDefault="003405A5">
      <w:pPr>
        <w:pStyle w:val="Bodytext20"/>
        <w:shd w:val="clear" w:color="auto" w:fill="auto"/>
        <w:spacing w:after="460"/>
        <w:ind w:left="0" w:firstLine="0"/>
      </w:pPr>
      <w:r>
        <w:rPr>
          <w:b/>
          <w:bCs/>
        </w:rPr>
        <w:t>Poskytovatel:</w:t>
      </w:r>
    </w:p>
    <w:p w:rsidR="00356F24" w:rsidRDefault="003405A5">
      <w:pPr>
        <w:pStyle w:val="Bodytext20"/>
        <w:shd w:val="clear" w:color="auto" w:fill="auto"/>
        <w:tabs>
          <w:tab w:val="left" w:leader="dot" w:pos="4781"/>
        </w:tabs>
        <w:ind w:left="0" w:firstLine="0"/>
      </w:pPr>
      <w:r>
        <w:t>V Pr</w:t>
      </w:r>
      <w:r w:rsidR="00EB5EDC">
        <w:t>a</w:t>
      </w:r>
      <w:bookmarkStart w:id="12" w:name="_GoBack"/>
      <w:bookmarkEnd w:id="12"/>
      <w:r>
        <w:t xml:space="preserve">ze, dne </w:t>
      </w:r>
      <w:r>
        <w:tab/>
      </w:r>
    </w:p>
    <w:p w:rsidR="00356F24" w:rsidRDefault="003405A5">
      <w:pPr>
        <w:spacing w:line="1" w:lineRule="exact"/>
      </w:pPr>
      <w:r>
        <w:rPr>
          <w:noProof/>
        </w:rPr>
        <mc:AlternateContent>
          <mc:Choice Requires="wps">
            <w:drawing>
              <wp:anchor distT="1063625" distB="463550" distL="0" distR="0" simplePos="0" relativeHeight="125829390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1063625</wp:posOffset>
                </wp:positionV>
                <wp:extent cx="1130935" cy="2012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F24" w:rsidRDefault="003405A5">
                            <w:pPr>
                              <w:pStyle w:val="Bodytext20"/>
                              <w:shd w:val="clear" w:color="auto" w:fill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Hlavní příjemce: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3.950000000000003pt;margin-top:83.75pt;width:89.049999999999997pt;height:15.85pt;z-index:-125829363;mso-wrap-distance-left:0;mso-wrap-distance-top:83.75pt;mso-wrap-distance-right:0;mso-wrap-distance-bottom:36.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Hlavní příjemce: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32890" distB="635" distL="0" distR="0" simplePos="0" relativeHeight="125829392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1532890</wp:posOffset>
                </wp:positionV>
                <wp:extent cx="2965450" cy="1949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F24" w:rsidRDefault="003405A5">
                            <w:pPr>
                              <w:pStyle w:val="Bodytext20"/>
                              <w:shd w:val="clear" w:color="auto" w:fill="auto"/>
                              <w:tabs>
                                <w:tab w:val="right" w:leader="dot" w:pos="2098"/>
                                <w:tab w:val="left" w:pos="2146"/>
                                <w:tab w:val="left" w:leader="dot" w:pos="4608"/>
                              </w:tabs>
                              <w:ind w:left="0" w:firstLine="0"/>
                            </w:pPr>
                            <w:r>
                              <w:tab/>
                              <w:t>,</w:t>
                            </w:r>
                            <w:r>
                              <w:tab/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4.25pt;margin-top:120.7pt;width:233.5pt;height:15.35pt;z-index:-125829361;mso-wrap-distance-left:0;mso-wrap-distance-top:120.7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098" w:val="right"/>
                          <w:tab w:pos="2146" w:val="left"/>
                          <w:tab w:leader="dot" w:pos="460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,</w:t>
                        <w:tab/>
                        <w:t xml:space="preserve">dne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3030" distL="0" distR="0" simplePos="0" relativeHeight="125829394" behindDoc="0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0</wp:posOffset>
                </wp:positionV>
                <wp:extent cx="2715895" cy="161544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61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6F24" w:rsidRDefault="00356F24">
                            <w:pPr>
                              <w:pStyle w:val="Other0"/>
                              <w:shd w:val="clear" w:color="auto" w:fill="auto"/>
                              <w:tabs>
                                <w:tab w:val="left" w:pos="2078"/>
                              </w:tabs>
                              <w:spacing w:after="18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334.5pt;margin-top:0;width:213.85pt;height:127.2pt;z-index:125829394;visibility:visible;mso-wrap-style:square;mso-wrap-distance-left:0;mso-wrap-distance-top:0;mso-wrap-distance-right:0;mso-wrap-distance-bottom: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" filled="f" stroked="f">
                <v:textbox inset="0,0,0,0">
                  <w:txbxContent>
                    <w:p w:rsidR="00356F24" w:rsidRDefault="00356F24">
                      <w:pPr>
                        <w:pStyle w:val="Other0"/>
                        <w:shd w:val="clear" w:color="auto" w:fill="auto"/>
                        <w:tabs>
                          <w:tab w:val="left" w:pos="2078"/>
                        </w:tabs>
                        <w:spacing w:after="180" w:line="0" w:lineRule="atLeas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6F24" w:rsidRDefault="003405A5">
      <w:pPr>
        <w:pStyle w:val="Bodytext20"/>
        <w:shd w:val="clear" w:color="auto" w:fill="auto"/>
        <w:ind w:left="0" w:firstLine="0"/>
        <w:jc w:val="center"/>
      </w:pPr>
      <w:r>
        <w:t xml:space="preserve">doc. Ing. Petr </w:t>
      </w:r>
      <w:r>
        <w:t>Homolk</w:t>
      </w:r>
      <w:r w:rsidR="00EB5EDC">
        <w:t>a</w:t>
      </w:r>
      <w:r>
        <w:t>, CSc., Ph.D.,</w:t>
      </w:r>
      <w:r>
        <w:br/>
        <w:t>ředitel</w:t>
      </w:r>
    </w:p>
    <w:p w:rsidR="00356F24" w:rsidRDefault="003405A5">
      <w:pPr>
        <w:pStyle w:val="Other0"/>
        <w:shd w:val="clear" w:color="auto" w:fill="auto"/>
        <w:tabs>
          <w:tab w:val="left" w:leader="underscore" w:pos="2601"/>
        </w:tabs>
        <w:spacing w:after="120"/>
        <w:ind w:firstLine="220"/>
        <w:rPr>
          <w:sz w:val="36"/>
          <w:szCs w:val="36"/>
        </w:rPr>
      </w:pPr>
      <w:r>
        <w:rPr>
          <w:rFonts w:ascii="Cambria" w:eastAsia="Cambria" w:hAnsi="Cambria" w:cs="Cambria"/>
          <w:b/>
          <w:bCs/>
          <w:i/>
          <w:iCs/>
          <w:sz w:val="36"/>
          <w:szCs w:val="36"/>
          <w:u w:val="single"/>
        </w:rPr>
        <w:tab/>
        <w:t>ZÁVAZNÉ</w:t>
      </w:r>
      <w:r>
        <w:rPr>
          <w:rFonts w:ascii="Cambria" w:eastAsia="Cambria" w:hAnsi="Cambria" w:cs="Cambria"/>
          <w:b/>
          <w:bCs/>
          <w:sz w:val="36"/>
          <w:szCs w:val="36"/>
          <w:u w:val="single"/>
        </w:rPr>
        <w:t xml:space="preserve"> PARAMETRY ŘEŠENÍ PROJEKTU</w:t>
      </w:r>
    </w:p>
    <w:p w:rsidR="00356F24" w:rsidRDefault="003405A5">
      <w:pPr>
        <w:pStyle w:val="Bodytext20"/>
        <w:shd w:val="clear" w:color="auto" w:fill="auto"/>
        <w:spacing w:line="264" w:lineRule="auto"/>
        <w:ind w:left="0" w:firstLine="620"/>
      </w:pPr>
      <w:r>
        <w:t xml:space="preserve">Číslo projektu: </w:t>
      </w:r>
      <w:r>
        <w:rPr>
          <w:b/>
          <w:bCs/>
        </w:rPr>
        <w:t>QK23020085</w:t>
      </w:r>
    </w:p>
    <w:p w:rsidR="00356F24" w:rsidRDefault="003405A5">
      <w:pPr>
        <w:pStyle w:val="Bodytext20"/>
        <w:shd w:val="clear" w:color="auto" w:fill="auto"/>
        <w:spacing w:line="264" w:lineRule="auto"/>
        <w:ind w:left="0" w:firstLine="620"/>
      </w:pPr>
      <w:r>
        <w:t>Rozhodný den pro uznatelnost nákladů dle této verze závazných parametrů:</w:t>
      </w:r>
    </w:p>
    <w:p w:rsidR="00356F24" w:rsidRDefault="003405A5">
      <w:pPr>
        <w:pStyle w:val="Bodytext20"/>
        <w:shd w:val="clear" w:color="auto" w:fill="auto"/>
        <w:spacing w:after="260" w:line="264" w:lineRule="auto"/>
        <w:ind w:left="0" w:firstLine="620"/>
      </w:pPr>
      <w:r>
        <w:rPr>
          <w:b/>
          <w:bCs/>
        </w:rPr>
        <w:t>Od data zahájení řešení projektu uvedeném v Závazných parametrech</w:t>
      </w:r>
    </w:p>
    <w:p w:rsidR="00356F24" w:rsidRDefault="003405A5">
      <w:pPr>
        <w:pStyle w:val="Heading20"/>
        <w:keepNext/>
        <w:keepLines/>
        <w:numPr>
          <w:ilvl w:val="0"/>
          <w:numId w:val="29"/>
        </w:numPr>
        <w:shd w:val="clear" w:color="auto" w:fill="auto"/>
        <w:tabs>
          <w:tab w:val="left" w:pos="660"/>
        </w:tabs>
      </w:pPr>
      <w:bookmarkStart w:id="13" w:name="bookmark12"/>
      <w:bookmarkStart w:id="14" w:name="bookmark13"/>
      <w:r>
        <w:t xml:space="preserve">Název projektu v českém </w:t>
      </w:r>
      <w:r>
        <w:t>jazyce</w:t>
      </w:r>
      <w:bookmarkEnd w:id="13"/>
      <w:bookmarkEnd w:id="14"/>
    </w:p>
    <w:p w:rsidR="00356F24" w:rsidRDefault="003405A5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 w:line="264" w:lineRule="auto"/>
        <w:ind w:left="780" w:firstLine="20"/>
      </w:pPr>
      <w:r>
        <w:t xml:space="preserve">Nové; směry v produkci selat s důrazem na </w:t>
      </w:r>
      <w:r>
        <w:rPr>
          <w:lang w:val="en-US" w:eastAsia="en-US" w:bidi="en-US"/>
        </w:rPr>
        <w:t xml:space="preserve">welfare, </w:t>
      </w:r>
      <w:r>
        <w:t>ochranu životního prostředí a ekonomiku produkce</w:t>
      </w:r>
    </w:p>
    <w:p w:rsidR="00356F24" w:rsidRDefault="003405A5">
      <w:pPr>
        <w:pStyle w:val="Heading20"/>
        <w:keepNext/>
        <w:keepLines/>
        <w:numPr>
          <w:ilvl w:val="0"/>
          <w:numId w:val="29"/>
        </w:numPr>
        <w:shd w:val="clear" w:color="auto" w:fill="auto"/>
        <w:tabs>
          <w:tab w:val="left" w:pos="660"/>
        </w:tabs>
      </w:pPr>
      <w:bookmarkStart w:id="15" w:name="bookmark14"/>
      <w:bookmarkStart w:id="16" w:name="bookmark15"/>
      <w:r>
        <w:t>Datum zahájení a ukončení projektu</w:t>
      </w:r>
      <w:bookmarkEnd w:id="15"/>
      <w:bookmarkEnd w:id="16"/>
    </w:p>
    <w:p w:rsidR="00356F24" w:rsidRDefault="003405A5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left="0" w:firstLine="780"/>
      </w:pPr>
      <w:r>
        <w:t>01/</w:t>
      </w:r>
      <w:proofErr w:type="gramStart"/>
      <w:r>
        <w:t>2023 - 12</w:t>
      </w:r>
      <w:proofErr w:type="gramEnd"/>
      <w:r>
        <w:t>/2025</w:t>
      </w:r>
    </w:p>
    <w:p w:rsidR="00356F24" w:rsidRDefault="003405A5">
      <w:pPr>
        <w:pStyle w:val="Other0"/>
        <w:numPr>
          <w:ilvl w:val="0"/>
          <w:numId w:val="29"/>
        </w:numPr>
        <w:shd w:val="clear" w:color="auto" w:fill="auto"/>
        <w:tabs>
          <w:tab w:val="left" w:pos="660"/>
        </w:tabs>
        <w:spacing w:after="200"/>
        <w:ind w:firstLine="220"/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Cíl projektu</w:t>
      </w:r>
    </w:p>
    <w:p w:rsidR="00356F24" w:rsidRDefault="003405A5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 w:line="266" w:lineRule="auto"/>
        <w:ind w:left="780" w:firstLine="20"/>
        <w:jc w:val="both"/>
      </w:pPr>
      <w:bookmarkStart w:id="17" w:name="bookmark16"/>
      <w:r>
        <w:lastRenderedPageBreak/>
        <w:t xml:space="preserve">Cílem projektu je zmapovat systémy ustájení rodících a kojících prasnic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Ceske</w:t>
      </w:r>
      <w:proofErr w:type="spellEnd"/>
      <w:r>
        <w:t xml:space="preserve"> republiky, posoudit jednotlivá technologie z hlediska užitkovosti </w:t>
      </w:r>
      <w:r>
        <w:rPr>
          <w:lang w:val="en-US" w:eastAsia="en-US" w:bidi="en-US"/>
        </w:rPr>
        <w:t xml:space="preserve">a welfare </w:t>
      </w:r>
      <w:r>
        <w:t xml:space="preserve">prasnic a selat, zajistit </w:t>
      </w:r>
      <w:proofErr w:type="spellStart"/>
      <w:r>
        <w:t>príjem</w:t>
      </w:r>
      <w:proofErr w:type="spellEnd"/>
      <w:r>
        <w:t xml:space="preserve"> dostatku krmiva selaty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pocetnych</w:t>
      </w:r>
      <w:proofErr w:type="spellEnd"/>
      <w:r>
        <w:t xml:space="preserve"> vrhu, vyhodnotit </w:t>
      </w:r>
      <w:proofErr w:type="spellStart"/>
      <w:r>
        <w:t>ek</w:t>
      </w:r>
      <w:r>
        <w:t>onomicke</w:t>
      </w:r>
      <w:proofErr w:type="spellEnd"/>
      <w:r>
        <w:t xml:space="preserve"> parametry jednotlivých technologií, zjistit dopady na emise amoniaku a oxidu </w:t>
      </w:r>
      <w:proofErr w:type="spellStart"/>
      <w:r>
        <w:t>uhliciteho</w:t>
      </w:r>
      <w:proofErr w:type="spellEnd"/>
      <w:r>
        <w:t xml:space="preserve"> a navrhnout </w:t>
      </w:r>
      <w:proofErr w:type="spellStart"/>
      <w:r>
        <w:t>resení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hospodareni</w:t>
      </w:r>
      <w:proofErr w:type="spellEnd"/>
      <w:r>
        <w:rPr>
          <w:lang w:val="en-US" w:eastAsia="en-US" w:bidi="en-US"/>
        </w:rPr>
        <w:t xml:space="preserve"> </w:t>
      </w:r>
      <w:r>
        <w:t xml:space="preserve">s kejdou produkovanou v jednotlivých systémech. Projekt bude řešen komplexně, do řešení budou zapojeny celkem čtyři organizace. </w:t>
      </w:r>
      <w:r>
        <w:t xml:space="preserve">Získané výsledky poskytnou komplexní informace o </w:t>
      </w:r>
      <w:proofErr w:type="spellStart"/>
      <w:r>
        <w:t>soucasne</w:t>
      </w:r>
      <w:proofErr w:type="spellEnd"/>
      <w:r>
        <w:t xml:space="preserve"> situaci v CR a </w:t>
      </w:r>
      <w:proofErr w:type="spellStart"/>
      <w:r>
        <w:t>zaroven</w:t>
      </w:r>
      <w:proofErr w:type="spellEnd"/>
      <w:r>
        <w:t xml:space="preserve"> </w:t>
      </w:r>
      <w:proofErr w:type="spellStart"/>
      <w:r>
        <w:t>umozní</w:t>
      </w:r>
      <w:proofErr w:type="spellEnd"/>
      <w:r>
        <w:t xml:space="preserve"> </w:t>
      </w:r>
      <w:proofErr w:type="spellStart"/>
      <w:r>
        <w:t>prizpusobit</w:t>
      </w:r>
      <w:proofErr w:type="spellEnd"/>
      <w:r>
        <w:t xml:space="preserve"> tuto oblast, </w:t>
      </w:r>
      <w:proofErr w:type="spellStart"/>
      <w:r>
        <w:t>klícovou</w:t>
      </w:r>
      <w:proofErr w:type="spellEnd"/>
      <w:r>
        <w:t xml:space="preserve"> pro chov prasat, legislativním </w:t>
      </w:r>
      <w:proofErr w:type="spellStart"/>
      <w:r>
        <w:t>zmen^m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v podmínkách EU regulují ustájení, výživu prasat této kategorie a zároveň omezují dopady </w:t>
      </w:r>
      <w:r>
        <w:t>na životní prostředí.</w:t>
      </w:r>
      <w:bookmarkEnd w:id="17"/>
    </w:p>
    <w:p w:rsidR="00356F24" w:rsidRDefault="003405A5">
      <w:pPr>
        <w:pStyle w:val="Heading20"/>
        <w:keepNext/>
        <w:keepLines/>
        <w:numPr>
          <w:ilvl w:val="0"/>
          <w:numId w:val="29"/>
        </w:numPr>
        <w:shd w:val="clear" w:color="auto" w:fill="auto"/>
        <w:tabs>
          <w:tab w:val="left" w:pos="660"/>
        </w:tabs>
      </w:pPr>
      <w:bookmarkStart w:id="18" w:name="bookmark17"/>
      <w:bookmarkStart w:id="19" w:name="bookmark18"/>
      <w:r>
        <w:t>Řešitel — Klíčová osoba řešitelského týmu</w:t>
      </w:r>
      <w:bookmarkEnd w:id="18"/>
      <w:bookmarkEnd w:id="19"/>
    </w:p>
    <w:p w:rsidR="00356F24" w:rsidRDefault="003405A5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  <w:ind w:left="0" w:firstLine="780"/>
      </w:pPr>
      <w:r>
        <w:t>Ing. Eva Weisbauerová Ph.D.</w:t>
      </w:r>
      <w:r>
        <w:br w:type="page"/>
      </w:r>
    </w:p>
    <w:p w:rsidR="00356F24" w:rsidRDefault="003405A5">
      <w:pPr>
        <w:pStyle w:val="Heading20"/>
        <w:keepNext/>
        <w:keepLines/>
        <w:numPr>
          <w:ilvl w:val="0"/>
          <w:numId w:val="29"/>
        </w:numPr>
        <w:shd w:val="clear" w:color="auto" w:fill="auto"/>
        <w:tabs>
          <w:tab w:val="left" w:pos="660"/>
        </w:tabs>
        <w:spacing w:after="420"/>
      </w:pPr>
      <w:bookmarkStart w:id="20" w:name="bookmark19"/>
      <w:bookmarkStart w:id="21" w:name="bookmark20"/>
      <w:r>
        <w:lastRenderedPageBreak/>
        <w:t>Plánované výsledky projektu</w:t>
      </w:r>
      <w:bookmarkEnd w:id="20"/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5866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QK23020085-V9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Ekonomické aspekty chovu prasat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Popis výstupu/výsledku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Článek typu O v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periodiku pro chovatelskou veřejnost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Druh výsledku podle struktury databáze RIV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O - Ostatní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výsledky</w:t>
            </w:r>
          </w:p>
        </w:tc>
      </w:tr>
    </w:tbl>
    <w:p w:rsidR="00356F24" w:rsidRDefault="00356F24">
      <w:pPr>
        <w:spacing w:after="419" w:line="1" w:lineRule="exact"/>
      </w:pPr>
    </w:p>
    <w:p w:rsidR="00356F24" w:rsidRDefault="00356F2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5827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QK23020085-V5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Aktuální směry v ustájení prasnic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Popis 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9" w:lineRule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Bude uspořádána konference na téma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ustájení prasnic na porodnách. V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ramci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konference budou představeny aktuální směry v tomto oboru v České republice a zahraničí.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Druh výsledku podle struktury databáze RIV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M - Uspořádání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konference</w:t>
            </w:r>
          </w:p>
        </w:tc>
      </w:tr>
    </w:tbl>
    <w:p w:rsidR="00356F24" w:rsidRDefault="00356F24">
      <w:pPr>
        <w:spacing w:after="419" w:line="1" w:lineRule="exact"/>
      </w:pPr>
    </w:p>
    <w:p w:rsidR="00356F24" w:rsidRDefault="00356F2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7195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</w:t>
            </w:r>
          </w:p>
          <w:p w:rsidR="00356F24" w:rsidRDefault="003405A5">
            <w:pPr>
              <w:pStyle w:val="Other0"/>
              <w:shd w:val="clear" w:color="auto" w:fill="auto"/>
              <w:spacing w:after="40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 xml:space="preserve">Název </w:t>
            </w:r>
            <w:r>
              <w:rPr>
                <w:rFonts w:ascii="Cambria" w:eastAsia="Cambria" w:hAnsi="Cambria" w:cs="Cambria"/>
                <w:sz w:val="15"/>
                <w:szCs w:val="15"/>
              </w:rPr>
              <w:t>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Vliv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technoogie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ustájení na porodnách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porasnic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na užitkové parametry selat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Popis 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Clanek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typu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Jimp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se bude zabývat vlivem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systemu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ustajení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prasnic v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dobe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(konvenční ustájení vs. volné, resp. dočasné ustájení) na užitkovost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selat.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Druh výsledku podle struktury databáze RIV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Jimp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- Článek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v odborném periodiku je obsažen v databázi Web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Science společností Thomson Reuters s příznakem „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Article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“, „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Review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“ nebo „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Letter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“</w:t>
            </w:r>
          </w:p>
        </w:tc>
      </w:tr>
    </w:tbl>
    <w:p w:rsidR="00356F24" w:rsidRDefault="00356F24">
      <w:pPr>
        <w:sectPr w:rsidR="00356F24">
          <w:pgSz w:w="11900" w:h="16840"/>
          <w:pgMar w:top="2818" w:right="932" w:bottom="1796" w:left="1012" w:header="0" w:footer="3" w:gutter="0"/>
          <w:cols w:space="720"/>
          <w:noEndnote/>
          <w:docGrid w:linePitch="360"/>
        </w:sectPr>
      </w:pPr>
    </w:p>
    <w:p w:rsidR="00356F24" w:rsidRDefault="00356F2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6710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QK23020085-V3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Technologie využívané k ustájení prasnic v době kojení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Popis 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Článek typu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Jimp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bude ve formě; </w:t>
            </w:r>
            <w:r>
              <w:rPr>
                <w:rFonts w:ascii="Cambria" w:eastAsia="Cambria" w:hAnsi="Cambria" w:cs="Cambria"/>
                <w:sz w:val="22"/>
                <w:szCs w:val="22"/>
                <w:lang w:val="en-US" w:eastAsia="en-US" w:bidi="en-US"/>
              </w:rPr>
              <w:t xml:space="preserve">review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shrnovat současné; poznatky v oblasti technologie ustájení rodících a kojících prasnic.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 xml:space="preserve">Druh </w:t>
            </w:r>
            <w:r>
              <w:rPr>
                <w:rFonts w:ascii="Cambria" w:eastAsia="Cambria" w:hAnsi="Cambria" w:cs="Cambria"/>
                <w:sz w:val="15"/>
                <w:szCs w:val="15"/>
              </w:rPr>
              <w:t>výsledku podle struktury databáze RIV</w:t>
            </w:r>
          </w:p>
          <w:p w:rsidR="00356F24" w:rsidRDefault="003405A5">
            <w:pPr>
              <w:pStyle w:val="Other0"/>
              <w:shd w:val="clear" w:color="auto" w:fill="auto"/>
              <w:spacing w:line="269" w:lineRule="auto"/>
              <w:ind w:firstLine="14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Jimp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- Článek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v odborném periodiku je obsažen v databázi Web </w:t>
            </w:r>
            <w:r>
              <w:rPr>
                <w:rFonts w:ascii="Cambria" w:eastAsia="Cambria" w:hAnsi="Cambria" w:cs="Cambria"/>
                <w:sz w:val="22"/>
                <w:szCs w:val="22"/>
                <w:lang w:val="en-US" w:eastAsia="en-US" w:bidi="en-US"/>
              </w:rPr>
              <w:t xml:space="preserve">of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Science společností Thomson Reuters s příznakem „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Article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“, „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Review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“ nebo „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Letter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“</w:t>
            </w:r>
          </w:p>
        </w:tc>
      </w:tr>
    </w:tbl>
    <w:p w:rsidR="00356F24" w:rsidRDefault="00356F24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7042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QK23020085-V4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Hodnocení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ekonomické efektivity vybraných technologických řešení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Popis 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Clanek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typu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Jost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se bude zabývat ekonomickým zhodnocením vybraných typu technologií ustájení rodících a kojících prasnic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Druh výsledku podle struktury databáze RIV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Jost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-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Ostatní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články v odborných recenzovaných periodikách splňující definici druhu výsledku</w:t>
            </w:r>
          </w:p>
        </w:tc>
      </w:tr>
    </w:tbl>
    <w:p w:rsidR="00356F24" w:rsidRDefault="00356F24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5779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QK23020085-V10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Ustájení rodících a kojících prasnic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Popis 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Metodika popisující systémy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ustajení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prasnic na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porodnach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vzhledem k ekonomickém aspektům chovu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Druh výsledku podle struktury databáze RIV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NmetS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- Metodiky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schválené příslušným orgánem státní správy, do jehož kompetence daná problematika spadá</w:t>
            </w:r>
          </w:p>
        </w:tc>
      </w:tr>
    </w:tbl>
    <w:p w:rsidR="00356F24" w:rsidRDefault="00356F24">
      <w:pPr>
        <w:sectPr w:rsidR="00356F24">
          <w:pgSz w:w="11900" w:h="16840"/>
          <w:pgMar w:top="1081" w:right="1133" w:bottom="1292" w:left="11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7368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lastRenderedPageBreak/>
              <w:t>Identifikační číslo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9" w:lineRule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Zpracování půdy pro aplikaci kejdy na půdu při zajištění nižších emisí amoniaku a CO2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Popis 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9" w:lineRule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V odborném příspěvku typu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Jost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budou diskutovány možnosti snížení emisí amoniaku a CO2 po aplikaci kejdy selat na půdu.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Druh výsledku podle struktury databáze RIV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Jost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- Ostatní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články v odborných recenzovaných periodikách splňující definici druhu výsledku</w:t>
            </w:r>
          </w:p>
        </w:tc>
      </w:tr>
    </w:tbl>
    <w:p w:rsidR="00356F24" w:rsidRDefault="00356F24">
      <w:pPr>
        <w:spacing w:after="5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5909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813" w:type="dxa"/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Název výstupu/výsledku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QK23020085-V8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Inovovaný porodní kotec pro prasnice</w:t>
            </w:r>
          </w:p>
        </w:tc>
      </w:tr>
    </w:tbl>
    <w:p w:rsidR="00356F24" w:rsidRDefault="00356F24">
      <w:pPr>
        <w:spacing w:after="59" w:line="1" w:lineRule="exact"/>
      </w:pPr>
    </w:p>
    <w:p w:rsidR="00356F24" w:rsidRDefault="003405A5">
      <w:pPr>
        <w:pStyle w:val="Other0"/>
        <w:shd w:val="clear" w:color="auto" w:fill="auto"/>
        <w:spacing w:after="60"/>
        <w:ind w:firstLine="760"/>
        <w:rPr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 xml:space="preserve">Popis </w:t>
      </w:r>
      <w:r>
        <w:rPr>
          <w:rFonts w:ascii="Cambria" w:eastAsia="Cambria" w:hAnsi="Cambria" w:cs="Cambria"/>
          <w:sz w:val="15"/>
          <w:szCs w:val="15"/>
        </w:rPr>
        <w:t>výstupu/výsledku</w:t>
      </w:r>
    </w:p>
    <w:p w:rsidR="00356F24" w:rsidRDefault="003405A5">
      <w:pPr>
        <w:pStyle w:val="Bodytext20"/>
        <w:pBdr>
          <w:bottom w:val="single" w:sz="4" w:space="0" w:color="auto"/>
        </w:pBdr>
        <w:shd w:val="clear" w:color="auto" w:fill="auto"/>
        <w:spacing w:after="200" w:line="264" w:lineRule="auto"/>
        <w:ind w:left="760" w:firstLine="0"/>
      </w:pPr>
      <w:r>
        <w:rPr>
          <w:i/>
          <w:iCs/>
        </w:rPr>
        <w:t>Ověřená</w:t>
      </w:r>
      <w:r>
        <w:t xml:space="preserve"> technologie bude řešit otázku porodního kotce s dočasnou fixací prasnice z hlediska </w:t>
      </w:r>
      <w:proofErr w:type="spellStart"/>
      <w:r>
        <w:t>welfare</w:t>
      </w:r>
      <w:proofErr w:type="spellEnd"/>
      <w:r>
        <w:t xml:space="preserve"> prasnic a selat</w:t>
      </w:r>
    </w:p>
    <w:p w:rsidR="00356F24" w:rsidRDefault="003405A5">
      <w:pPr>
        <w:pStyle w:val="Tablecaption0"/>
        <w:shd w:val="clear" w:color="auto" w:fill="auto"/>
        <w:spacing w:after="60"/>
        <w:ind w:left="120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Druh výsledku podle struktury databáze RIV</w:t>
      </w:r>
    </w:p>
    <w:p w:rsidR="00356F24" w:rsidRDefault="003405A5">
      <w:pPr>
        <w:pStyle w:val="Tablecaption0"/>
        <w:shd w:val="clear" w:color="auto" w:fill="auto"/>
        <w:spacing w:line="264" w:lineRule="auto"/>
        <w:ind w:left="120"/>
      </w:pPr>
      <w:proofErr w:type="spellStart"/>
      <w:proofErr w:type="gramStart"/>
      <w:r>
        <w:rPr>
          <w:b w:val="0"/>
          <w:bCs w:val="0"/>
        </w:rPr>
        <w:t>Ztech</w:t>
      </w:r>
      <w:proofErr w:type="spellEnd"/>
      <w:r>
        <w:rPr>
          <w:b w:val="0"/>
          <w:bCs w:val="0"/>
        </w:rPr>
        <w:t xml:space="preserve"> - Ověřená</w:t>
      </w:r>
      <w:proofErr w:type="gramEnd"/>
      <w:r>
        <w:rPr>
          <w:b w:val="0"/>
          <w:bCs w:val="0"/>
        </w:rPr>
        <w:t xml:space="preserve"> technologie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6907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QK23020085-V1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 xml:space="preserve">Název </w:t>
            </w:r>
            <w:r>
              <w:rPr>
                <w:rFonts w:ascii="Cambria" w:eastAsia="Cambria" w:hAnsi="Cambria" w:cs="Cambria"/>
                <w:sz w:val="15"/>
                <w:szCs w:val="15"/>
              </w:rPr>
              <w:t>výstupu/výsledku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Aplikace kejdy na půdy při snížených emisích amoniaku a CO2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Popis 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Budou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oveřeny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vhodná strategie zapravení kejdy prasat do pudy, při jejichž použiti lze snížit emise amoniaku </w:t>
            </w:r>
            <w:r>
              <w:rPr>
                <w:rFonts w:ascii="Cambria" w:eastAsia="Cambria" w:hAnsi="Cambria" w:cs="Cambria"/>
                <w:sz w:val="22"/>
                <w:szCs w:val="22"/>
                <w:lang w:val="en-US" w:eastAsia="en-US" w:bidi="en-US"/>
              </w:rPr>
              <w:t xml:space="preserve">a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CO2. Budou porovnány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růizn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^ dostupná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technologická postupy aplikace kejdy selat na pudu a vhodná termíny aplikace s ohledem na snížení emisí CO2 a amoniaku s ohledem na aktuální půldní podmínky a plynovanou plodinu. Bude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oveřen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i vliv daného ročníku, např. teploty vzduchu, půdy, vlhkost půdy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apod. na emise CO2 a amoniaku.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Druh výsledku podle struktury databáze RIV</w:t>
            </w:r>
          </w:p>
          <w:p w:rsidR="00356F24" w:rsidRDefault="003405A5">
            <w:pPr>
              <w:pStyle w:val="Other0"/>
              <w:shd w:val="clear" w:color="auto" w:fill="auto"/>
              <w:spacing w:line="269" w:lineRule="auto"/>
              <w:ind w:firstLine="14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NmetS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- Metodiky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schválené příslušným orgánem státní správy, do jehož kompetence daná problematika spadá</w:t>
            </w:r>
          </w:p>
        </w:tc>
      </w:tr>
    </w:tbl>
    <w:p w:rsidR="00356F24" w:rsidRDefault="00356F24">
      <w:pPr>
        <w:sectPr w:rsidR="00356F24">
          <w:pgSz w:w="11900" w:h="16840"/>
          <w:pgMar w:top="2838" w:right="1133" w:bottom="2838" w:left="1109" w:header="0" w:footer="3" w:gutter="0"/>
          <w:cols w:space="720"/>
          <w:noEndnote/>
          <w:docGrid w:linePitch="360"/>
        </w:sectPr>
      </w:pPr>
    </w:p>
    <w:p w:rsidR="00356F24" w:rsidRDefault="00356F2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152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Identifikační číslo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QK23020085-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V6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 xml:space="preserve">Název </w:t>
            </w:r>
            <w:r>
              <w:rPr>
                <w:rFonts w:ascii="Cambria" w:eastAsia="Cambria" w:hAnsi="Cambria" w:cs="Cambria"/>
                <w:sz w:val="15"/>
                <w:szCs w:val="15"/>
              </w:rPr>
              <w:t>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9" w:lineRule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odborný seminář ke zpracování půdy při snižování emisí amoniaku a CO2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Popis výstupu/výsledku</w:t>
            </w:r>
          </w:p>
          <w:p w:rsidR="00356F24" w:rsidRDefault="003405A5">
            <w:pPr>
              <w:pStyle w:val="Other0"/>
              <w:shd w:val="clear" w:color="auto" w:fill="auto"/>
              <w:spacing w:line="266" w:lineRule="auto"/>
              <w:ind w:left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Na odborném semináři budou diskutovány způsoby zpracovaní pudy pro aplikaci tekutých statkových a kapalných organických hnojiv na pudu při snižovaní emisí amoniaku </w:t>
            </w:r>
            <w:r>
              <w:rPr>
                <w:rFonts w:ascii="Cambria" w:eastAsia="Cambria" w:hAnsi="Cambria" w:cs="Cambria"/>
                <w:sz w:val="22"/>
                <w:szCs w:val="22"/>
                <w:lang w:val="en-US" w:eastAsia="en-US" w:bidi="en-US"/>
              </w:rPr>
              <w:t xml:space="preserve">a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CO2 do ovzduší.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Druh výsledku podle struktury databáze RIV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M - Uspořádání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konference</w:t>
            </w:r>
          </w:p>
        </w:tc>
      </w:tr>
    </w:tbl>
    <w:p w:rsidR="00356F24" w:rsidRDefault="00356F24">
      <w:pPr>
        <w:sectPr w:rsidR="00356F24">
          <w:pgSz w:w="11900" w:h="16840"/>
          <w:pgMar w:top="1081" w:right="1133" w:bottom="1292" w:left="1109" w:header="0" w:footer="3" w:gutter="0"/>
          <w:cols w:space="720"/>
          <w:noEndnote/>
          <w:docGrid w:linePitch="360"/>
        </w:sectPr>
      </w:pPr>
    </w:p>
    <w:p w:rsidR="00356F24" w:rsidRDefault="003405A5">
      <w:pPr>
        <w:pStyle w:val="Heading20"/>
        <w:keepNext/>
        <w:keepLines/>
        <w:numPr>
          <w:ilvl w:val="0"/>
          <w:numId w:val="29"/>
        </w:numPr>
        <w:shd w:val="clear" w:color="auto" w:fill="auto"/>
        <w:tabs>
          <w:tab w:val="left" w:pos="440"/>
        </w:tabs>
        <w:spacing w:before="500" w:after="300"/>
        <w:ind w:firstLine="0"/>
      </w:pPr>
      <w:bookmarkStart w:id="22" w:name="bookmark21"/>
      <w:bookmarkStart w:id="23" w:name="bookmark22"/>
      <w:r>
        <w:lastRenderedPageBreak/>
        <w:t>Identifikační údaje účastníků</w:t>
      </w:r>
      <w:bookmarkEnd w:id="22"/>
      <w:bookmarkEnd w:id="23"/>
    </w:p>
    <w:p w:rsidR="00356F24" w:rsidRDefault="003405A5">
      <w:pPr>
        <w:pStyle w:val="Heading30"/>
        <w:keepNext/>
        <w:keepLines/>
        <w:shd w:val="clear" w:color="auto" w:fill="auto"/>
      </w:pPr>
      <w:bookmarkStart w:id="24" w:name="bookmark23"/>
      <w:bookmarkStart w:id="25" w:name="bookmark24"/>
      <w:r>
        <w:t>Hlavní příjemce - [P] Výzkumný ústav živočišné výroby, v. v. i.</w:t>
      </w:r>
      <w:bookmarkEnd w:id="24"/>
      <w:bookmarkEnd w:id="2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077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4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IČ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00027014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Obchodní jméno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Výzkumný ústav živočišné výroby, v. v. i.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Kód organizační jednotky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Organizační jednotka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Právní forma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 xml:space="preserve">VVI -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Veřejná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výzkumná instituce (zákon č. 341/2005 Sb., o veřejných výzkumných institucích)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Typ organizace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VO - Výzkumná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organizace</w:t>
            </w:r>
          </w:p>
        </w:tc>
      </w:tr>
    </w:tbl>
    <w:p w:rsidR="00356F24" w:rsidRDefault="00356F24">
      <w:pPr>
        <w:spacing w:after="299" w:line="1" w:lineRule="exact"/>
      </w:pPr>
    </w:p>
    <w:p w:rsidR="00356F24" w:rsidRDefault="003405A5">
      <w:pPr>
        <w:pStyle w:val="Tablecaption0"/>
        <w:shd w:val="clear" w:color="auto" w:fill="auto"/>
      </w:pPr>
      <w:bookmarkStart w:id="26" w:name="bookmark25"/>
      <w:r>
        <w:t xml:space="preserve">Další účastník - [D] Výzkumný ústav rostlinné výroby, </w:t>
      </w:r>
      <w:proofErr w:type="spellStart"/>
      <w:r>
        <w:t>v.v.i</w:t>
      </w:r>
      <w:proofErr w:type="spellEnd"/>
      <w:r>
        <w:t>.</w:t>
      </w:r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014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4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IČ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00027006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Obchodní jméno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Výzkumný ústav rostlinné výroby,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v.v.i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Kód organizační jednotky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Organizační jednotka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Právní forma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VVI - Veřejná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výzkumná instituce (zákon č. 341/2005 Sb., o veřejných výzkumných institucích)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Typ organizace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bookmarkStart w:id="27" w:name="bookmark26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VO - Výzkumná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organizace</w:t>
            </w:r>
            <w:bookmarkEnd w:id="27"/>
          </w:p>
        </w:tc>
      </w:tr>
    </w:tbl>
    <w:p w:rsidR="00356F24" w:rsidRDefault="003405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648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4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lastRenderedPageBreak/>
              <w:t>IČ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Obchodní jméno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Česká zemědělská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univerzita v Praze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Kód organizační jednotky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Organizační jednotka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Fakulta agrobiologie, potravinových a přírodních zdrojů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Právní forma</w:t>
            </w:r>
          </w:p>
          <w:p w:rsidR="00356F24" w:rsidRDefault="003405A5">
            <w:pPr>
              <w:pStyle w:val="Other0"/>
              <w:shd w:val="clear" w:color="auto" w:fill="auto"/>
              <w:spacing w:line="264" w:lineRule="auto"/>
              <w:ind w:firstLine="140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VVS - Veřejná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nebo státní vysoká škola (zákon č. 111/1998 Sb., o vysokých školách a o změně a doplnění dalších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zákonů)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Typ organizace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VO - Výzkumná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organizace</w:t>
            </w:r>
          </w:p>
        </w:tc>
      </w:tr>
    </w:tbl>
    <w:p w:rsidR="00356F24" w:rsidRDefault="00356F24">
      <w:pPr>
        <w:spacing w:after="299" w:line="1" w:lineRule="exact"/>
      </w:pPr>
    </w:p>
    <w:p w:rsidR="00356F24" w:rsidRDefault="003405A5">
      <w:pPr>
        <w:pStyle w:val="Tablecaption0"/>
        <w:shd w:val="clear" w:color="auto" w:fill="auto"/>
      </w:pPr>
      <w:bookmarkStart w:id="28" w:name="bookmark27"/>
      <w:r>
        <w:t>Další účastník - [D] Mendelova univerzita v Brně</w:t>
      </w:r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5"/>
        <w:gridCol w:w="5429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4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IČ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62156489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Obchodní jméno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Mendelova univerzita v Brně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Kód organizační jednotky</w:t>
            </w:r>
          </w:p>
          <w:p w:rsidR="00356F24" w:rsidRDefault="003405A5">
            <w:pPr>
              <w:pStyle w:val="Other0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43210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384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 xml:space="preserve">Organizační jednotka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Agronomická fakulta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Právní forma</w:t>
            </w:r>
          </w:p>
          <w:p w:rsidR="00356F24" w:rsidRDefault="003405A5">
            <w:pPr>
              <w:pStyle w:val="Other0"/>
              <w:shd w:val="clear" w:color="auto" w:fill="auto"/>
              <w:spacing w:line="269" w:lineRule="auto"/>
              <w:ind w:firstLine="140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VVS - Veřejná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nebo státní vysoká škola (zákon č. 111/1998 Sb., o vysokých školách a o změně a doplnění dalších zákonů)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Cambria" w:eastAsia="Cambria" w:hAnsi="Cambria" w:cs="Cambria"/>
                <w:sz w:val="15"/>
                <w:szCs w:val="15"/>
              </w:rPr>
              <w:t>Typ organizace</w:t>
            </w:r>
          </w:p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VO - Výzkumná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organizace</w:t>
            </w:r>
          </w:p>
        </w:tc>
      </w:tr>
    </w:tbl>
    <w:p w:rsidR="00356F24" w:rsidRDefault="003405A5">
      <w:pPr>
        <w:spacing w:line="1" w:lineRule="exact"/>
        <w:rPr>
          <w:sz w:val="2"/>
          <w:szCs w:val="2"/>
        </w:rPr>
      </w:pPr>
      <w:r>
        <w:br w:type="page"/>
      </w:r>
    </w:p>
    <w:p w:rsidR="00356F24" w:rsidRDefault="003405A5">
      <w:pPr>
        <w:pStyle w:val="Other0"/>
        <w:numPr>
          <w:ilvl w:val="0"/>
          <w:numId w:val="29"/>
        </w:numPr>
        <w:shd w:val="clear" w:color="auto" w:fill="auto"/>
        <w:tabs>
          <w:tab w:val="left" w:pos="440"/>
        </w:tabs>
        <w:spacing w:after="100"/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lastRenderedPageBreak/>
        <w:t>Náklady</w:t>
      </w:r>
    </w:p>
    <w:p w:rsidR="00356F24" w:rsidRDefault="003405A5">
      <w:pPr>
        <w:pStyle w:val="Bodytext20"/>
        <w:shd w:val="clear" w:color="auto" w:fill="auto"/>
        <w:spacing w:after="300"/>
        <w:ind w:left="0" w:firstLine="380"/>
      </w:pPr>
      <w:r>
        <w:t>(uvedené údaje jsou v Kč, závazné parametry tučně v rámečku)</w:t>
      </w:r>
    </w:p>
    <w:p w:rsidR="00356F24" w:rsidRDefault="003405A5">
      <w:pPr>
        <w:pStyle w:val="Tablecaption0"/>
        <w:shd w:val="clear" w:color="auto" w:fill="auto"/>
      </w:pPr>
      <w:bookmarkStart w:id="29" w:name="bookmark28"/>
      <w:r>
        <w:t>Projekt — QK23020085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18"/>
        <w:gridCol w:w="1752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48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Celkem maximální výše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bookmarkStart w:id="30" w:name="bookmark29"/>
            <w:r>
              <w:rPr>
                <w:rFonts w:ascii="Cambria" w:eastAsia="Cambria" w:hAnsi="Cambria" w:cs="Cambria"/>
                <w:sz w:val="22"/>
                <w:szCs w:val="22"/>
              </w:rPr>
              <w:t>Náklady projektu celkem</w:t>
            </w:r>
            <w:bookmarkEnd w:id="30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3 961 575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3 961 575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3 961 575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11 884 725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>Výše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3 961 575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3 961 575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3961575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11 884 725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Maximální intenzita 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100 %</w:t>
            </w:r>
          </w:p>
        </w:tc>
      </w:tr>
    </w:tbl>
    <w:p w:rsidR="00356F24" w:rsidRDefault="00356F24">
      <w:pPr>
        <w:spacing w:after="419" w:line="1" w:lineRule="exact"/>
      </w:pPr>
    </w:p>
    <w:p w:rsidR="00356F24" w:rsidRDefault="003405A5">
      <w:pPr>
        <w:pStyle w:val="Tablecaption0"/>
        <w:shd w:val="clear" w:color="auto" w:fill="auto"/>
      </w:pPr>
      <w:bookmarkStart w:id="31" w:name="bookmark30"/>
      <w:r>
        <w:t>Hlavní příjemce — [P] Výzkumný ústav živočišné výroby,</w:t>
      </w:r>
      <w:r>
        <w:t xml:space="preserve"> v. v. i.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18"/>
        <w:gridCol w:w="1752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48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Celkem</w:t>
            </w:r>
            <w:proofErr w:type="spellEnd"/>
          </w:p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maximální výše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2610000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525 000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783 000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1 306 000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1 306 000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1 306 000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3 918 000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1 306 000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1 306 000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1 306 000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3 918 000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 xml:space="preserve">Flat rate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25%</w:t>
            </w:r>
          </w:p>
        </w:tc>
      </w:tr>
    </w:tbl>
    <w:p w:rsidR="00356F24" w:rsidRDefault="003405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18"/>
        <w:gridCol w:w="1752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48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lastRenderedPageBreak/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Celkem</w:t>
            </w:r>
            <w:proofErr w:type="spellEnd"/>
          </w:p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maximální výše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1 530 000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495 000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505 500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Náklady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843 500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843 500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843 500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2 530 500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843 500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843 500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843 500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2 530 500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 xml:space="preserve">Flat rate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25%</w:t>
            </w:r>
          </w:p>
        </w:tc>
      </w:tr>
    </w:tbl>
    <w:p w:rsidR="00356F24" w:rsidRDefault="00356F24">
      <w:pPr>
        <w:spacing w:after="799" w:line="1" w:lineRule="exact"/>
      </w:pPr>
    </w:p>
    <w:p w:rsidR="00356F24" w:rsidRDefault="003405A5">
      <w:pPr>
        <w:pStyle w:val="Tablecaption0"/>
        <w:shd w:val="clear" w:color="auto" w:fill="auto"/>
      </w:pPr>
      <w:bookmarkStart w:id="32" w:name="bookmark31"/>
      <w:r>
        <w:t>Další účastník — [D] Česká zemědělská univerzita v Praze</w:t>
      </w:r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22"/>
        <w:gridCol w:w="1747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ind w:firstLine="48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Položka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 xml:space="preserve">/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rok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Celkem</w:t>
            </w:r>
            <w:proofErr w:type="spellEnd"/>
          </w:p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maximální výše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62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2475000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480 000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738 000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1 231 000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1 231 000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1 231 000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6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3 693 000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1 231 000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1 231 000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1 231000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62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3 693 000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Způsob výpočtu režijních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 xml:space="preserve">Flat rate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25%</w:t>
            </w:r>
          </w:p>
        </w:tc>
      </w:tr>
    </w:tbl>
    <w:p w:rsidR="00356F24" w:rsidRDefault="003405A5">
      <w:pPr>
        <w:spacing w:line="1" w:lineRule="exact"/>
        <w:rPr>
          <w:sz w:val="2"/>
          <w:szCs w:val="2"/>
        </w:rPr>
      </w:pPr>
      <w:r>
        <w:br w:type="page"/>
      </w:r>
    </w:p>
    <w:p w:rsidR="00356F24" w:rsidRDefault="003405A5">
      <w:pPr>
        <w:pStyle w:val="Tablecaption0"/>
        <w:shd w:val="clear" w:color="auto" w:fill="auto"/>
      </w:pPr>
      <w:bookmarkStart w:id="33" w:name="bookmark32"/>
      <w:r>
        <w:lastRenderedPageBreak/>
        <w:t>Další účastník — [D] Mendelova univerzita v Brně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18"/>
        <w:gridCol w:w="1752"/>
      </w:tblGrid>
      <w:tr w:rsidR="00356F2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:rsidR="00356F24" w:rsidRDefault="003405A5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>Celkem</w:t>
            </w:r>
            <w:proofErr w:type="spellEnd"/>
          </w:p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maximální výše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ind w:firstLine="6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1 113 000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300 000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56F24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330 225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Náklady projektu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581 075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581075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581 075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ind w:firstLine="6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1 743 225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581 075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581 075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581 075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24" w:rsidRDefault="003405A5">
            <w:pPr>
              <w:pStyle w:val="Other0"/>
              <w:shd w:val="clear" w:color="auto" w:fill="auto"/>
              <w:ind w:firstLine="64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1 743 225</w:t>
            </w:r>
          </w:p>
        </w:tc>
      </w:tr>
      <w:tr w:rsidR="00356F2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F24" w:rsidRDefault="003405A5">
            <w:pPr>
              <w:pStyle w:val="Other0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24" w:rsidRDefault="003405A5">
            <w:pPr>
              <w:pStyle w:val="Other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en-US" w:eastAsia="en-US" w:bidi="en-US"/>
              </w:rPr>
              <w:t xml:space="preserve">Flat rate </w:t>
            </w: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25%</w:t>
            </w:r>
          </w:p>
        </w:tc>
      </w:tr>
    </w:tbl>
    <w:p w:rsidR="00356F24" w:rsidRDefault="00356F24">
      <w:pPr>
        <w:sectPr w:rsidR="00356F24">
          <w:pgSz w:w="11900" w:h="16840"/>
          <w:pgMar w:top="2628" w:right="1092" w:bottom="5179" w:left="1338" w:header="0" w:footer="3" w:gutter="0"/>
          <w:cols w:space="720"/>
          <w:noEndnote/>
          <w:docGrid w:linePitch="360"/>
        </w:sectPr>
      </w:pPr>
    </w:p>
    <w:p w:rsidR="00356F24" w:rsidRDefault="003405A5">
      <w:pPr>
        <w:pStyle w:val="Heading20"/>
        <w:keepNext/>
        <w:keepLines/>
        <w:numPr>
          <w:ilvl w:val="0"/>
          <w:numId w:val="29"/>
        </w:numPr>
        <w:shd w:val="clear" w:color="auto" w:fill="auto"/>
        <w:tabs>
          <w:tab w:val="left" w:pos="440"/>
        </w:tabs>
        <w:spacing w:after="0"/>
        <w:ind w:firstLine="0"/>
      </w:pPr>
      <w:bookmarkStart w:id="34" w:name="bookmark33"/>
      <w:bookmarkStart w:id="35" w:name="bookmark34"/>
      <w:r>
        <w:lastRenderedPageBreak/>
        <w:t>Další závazné parametry projektu</w:t>
      </w:r>
      <w:bookmarkEnd w:id="34"/>
      <w:bookmarkEnd w:id="35"/>
    </w:p>
    <w:sectPr w:rsidR="00356F24">
      <w:pgSz w:w="11900" w:h="16840"/>
      <w:pgMar w:top="2833" w:right="5559" w:bottom="2833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5A5" w:rsidRDefault="003405A5">
      <w:r>
        <w:separator/>
      </w:r>
    </w:p>
  </w:endnote>
  <w:endnote w:type="continuationSeparator" w:id="0">
    <w:p w:rsidR="003405A5" w:rsidRDefault="0034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5A5" w:rsidRDefault="003405A5"/>
  </w:footnote>
  <w:footnote w:type="continuationSeparator" w:id="0">
    <w:p w:rsidR="003405A5" w:rsidRDefault="003405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55B"/>
    <w:multiLevelType w:val="multilevel"/>
    <w:tmpl w:val="F710C81A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C22BC"/>
    <w:multiLevelType w:val="multilevel"/>
    <w:tmpl w:val="7D28DCF4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47E61"/>
    <w:multiLevelType w:val="multilevel"/>
    <w:tmpl w:val="35BCDA5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369CA"/>
    <w:multiLevelType w:val="multilevel"/>
    <w:tmpl w:val="933CF956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837DB"/>
    <w:multiLevelType w:val="multilevel"/>
    <w:tmpl w:val="29C23D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450567"/>
    <w:multiLevelType w:val="multilevel"/>
    <w:tmpl w:val="EF74CAF6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D16D3"/>
    <w:multiLevelType w:val="multilevel"/>
    <w:tmpl w:val="A1B2BDB2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B410E0"/>
    <w:multiLevelType w:val="multilevel"/>
    <w:tmpl w:val="32C8AEB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DA1463"/>
    <w:multiLevelType w:val="multilevel"/>
    <w:tmpl w:val="7EF4FC9C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1D70E6"/>
    <w:multiLevelType w:val="multilevel"/>
    <w:tmpl w:val="D084FB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013105"/>
    <w:multiLevelType w:val="multilevel"/>
    <w:tmpl w:val="9D80CB6A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1461B6"/>
    <w:multiLevelType w:val="multilevel"/>
    <w:tmpl w:val="7A8009CC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846707"/>
    <w:multiLevelType w:val="multilevel"/>
    <w:tmpl w:val="7512901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333CE4"/>
    <w:multiLevelType w:val="multilevel"/>
    <w:tmpl w:val="86086AA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401CE0"/>
    <w:multiLevelType w:val="multilevel"/>
    <w:tmpl w:val="FB8490FC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721C0B"/>
    <w:multiLevelType w:val="multilevel"/>
    <w:tmpl w:val="325C7280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514F4"/>
    <w:multiLevelType w:val="multilevel"/>
    <w:tmpl w:val="F54C2304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0C0620"/>
    <w:multiLevelType w:val="multilevel"/>
    <w:tmpl w:val="725CAB8C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C36E27"/>
    <w:multiLevelType w:val="multilevel"/>
    <w:tmpl w:val="506CCF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0F4988"/>
    <w:multiLevelType w:val="multilevel"/>
    <w:tmpl w:val="41860568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7113B0"/>
    <w:multiLevelType w:val="multilevel"/>
    <w:tmpl w:val="E624924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830F1F"/>
    <w:multiLevelType w:val="multilevel"/>
    <w:tmpl w:val="883033F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246A3D"/>
    <w:multiLevelType w:val="multilevel"/>
    <w:tmpl w:val="E55EDC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6C4295"/>
    <w:multiLevelType w:val="multilevel"/>
    <w:tmpl w:val="10783BF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F22AA7"/>
    <w:multiLevelType w:val="multilevel"/>
    <w:tmpl w:val="FF70342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157602"/>
    <w:multiLevelType w:val="multilevel"/>
    <w:tmpl w:val="12E679FE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261D64"/>
    <w:multiLevelType w:val="multilevel"/>
    <w:tmpl w:val="663225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E37F6D"/>
    <w:multiLevelType w:val="multilevel"/>
    <w:tmpl w:val="B9D6B956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4E0B12"/>
    <w:multiLevelType w:val="multilevel"/>
    <w:tmpl w:val="C12AF7D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18"/>
  </w:num>
  <w:num w:numId="5">
    <w:abstractNumId w:val="7"/>
  </w:num>
  <w:num w:numId="6">
    <w:abstractNumId w:val="9"/>
  </w:num>
  <w:num w:numId="7">
    <w:abstractNumId w:val="28"/>
  </w:num>
  <w:num w:numId="8">
    <w:abstractNumId w:val="12"/>
  </w:num>
  <w:num w:numId="9">
    <w:abstractNumId w:val="23"/>
  </w:num>
  <w:num w:numId="10">
    <w:abstractNumId w:val="22"/>
  </w:num>
  <w:num w:numId="11">
    <w:abstractNumId w:val="4"/>
  </w:num>
  <w:num w:numId="12">
    <w:abstractNumId w:val="11"/>
  </w:num>
  <w:num w:numId="13">
    <w:abstractNumId w:val="5"/>
  </w:num>
  <w:num w:numId="14">
    <w:abstractNumId w:val="25"/>
  </w:num>
  <w:num w:numId="15">
    <w:abstractNumId w:val="13"/>
  </w:num>
  <w:num w:numId="16">
    <w:abstractNumId w:val="6"/>
  </w:num>
  <w:num w:numId="17">
    <w:abstractNumId w:val="0"/>
  </w:num>
  <w:num w:numId="18">
    <w:abstractNumId w:val="1"/>
  </w:num>
  <w:num w:numId="19">
    <w:abstractNumId w:val="10"/>
  </w:num>
  <w:num w:numId="20">
    <w:abstractNumId w:val="8"/>
  </w:num>
  <w:num w:numId="21">
    <w:abstractNumId w:val="16"/>
  </w:num>
  <w:num w:numId="22">
    <w:abstractNumId w:val="17"/>
  </w:num>
  <w:num w:numId="23">
    <w:abstractNumId w:val="19"/>
  </w:num>
  <w:num w:numId="24">
    <w:abstractNumId w:val="27"/>
  </w:num>
  <w:num w:numId="25">
    <w:abstractNumId w:val="14"/>
  </w:num>
  <w:num w:numId="26">
    <w:abstractNumId w:val="15"/>
  </w:num>
  <w:num w:numId="27">
    <w:abstractNumId w:val="3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24"/>
    <w:rsid w:val="003405A5"/>
    <w:rsid w:val="00356F24"/>
    <w:rsid w:val="00E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4417"/>
  <w15:docId w15:val="{92E9C52E-8496-48B4-AEF7-0DD8BE41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600" w:hanging="420"/>
    </w:pPr>
    <w:rPr>
      <w:rFonts w:ascii="Cambria" w:eastAsia="Cambria" w:hAnsi="Cambria" w:cs="Cambria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00"/>
      <w:ind w:firstLine="22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20"/>
      <w:ind w:firstLine="400"/>
      <w:outlineLvl w:val="2"/>
    </w:pPr>
    <w:rPr>
      <w:rFonts w:ascii="Cambria" w:eastAsia="Cambria" w:hAnsi="Cambria" w:cs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7987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PARTNERSTVÍ A VZÁJEMNÉ SPOLUPRÁCI A VYUŽITÍ VÝSLEDKŮ VÝZKUMU A VÝVOJE</vt:lpstr>
    </vt:vector>
  </TitlesOfParts>
  <Company>VÚŽV, v.v.i.</Company>
  <LinksUpToDate>false</LinksUpToDate>
  <CharactersWithSpaces>55004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PARTNERSTVÍ A VZÁJEMNÉ SPOLUPRÁCI A VYUŽITÍ VÝSLEDKŮ VÝZKUMU A VÝVOJE</dc:title>
  <dc:subject/>
  <dc:creator>marcof</dc:creator>
  <cp:keywords/>
  <cp:lastModifiedBy>Lucie, Vojtková</cp:lastModifiedBy>
  <cp:revision>2</cp:revision>
  <dcterms:created xsi:type="dcterms:W3CDTF">2023-03-03T12:34:00Z</dcterms:created>
  <dcterms:modified xsi:type="dcterms:W3CDTF">2023-03-03T12:34:00Z</dcterms:modified>
</cp:coreProperties>
</file>