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CB12" w14:textId="636B2C50" w:rsidR="00A7167F" w:rsidRPr="000D7FDA" w:rsidRDefault="006934B1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</w:p>
    <w:p w14:paraId="286F5F63" w14:textId="49FF5550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S/C10/05005320/202</w:t>
      </w:r>
      <w:r w:rsidR="001856F9">
        <w:rPr>
          <w:rFonts w:ascii="Calibri" w:eastAsia="Calibri" w:hAnsi="Calibri" w:cs="Calibri"/>
          <w:b/>
          <w:bCs/>
          <w:sz w:val="28"/>
          <w:szCs w:val="28"/>
          <w:lang w:eastAsia="en-US"/>
        </w:rPr>
        <w:t>3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/</w:t>
      </w:r>
      <w:r w:rsidR="006112E2">
        <w:rPr>
          <w:rFonts w:ascii="Calibri" w:eastAsia="Calibri" w:hAnsi="Calibri" w:cs="Calibri"/>
          <w:b/>
          <w:bCs/>
          <w:sz w:val="28"/>
          <w:szCs w:val="28"/>
          <w:lang w:eastAsia="en-US"/>
        </w:rPr>
        <w:t>1377</w:t>
      </w:r>
      <w:r w:rsidR="00CE5AE7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/01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36D678F1"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DD9C47C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328944"/>
      <w:r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76537015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se sídlem Pražská 1321/38a, 102 00  Praha 10, Hostivař</w:t>
      </w:r>
    </w:p>
    <w:p w14:paraId="79FFC7D1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IČO: 493 56 089  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DIČ: CZ49356089</w:t>
      </w:r>
    </w:p>
    <w:p w14:paraId="64A1963C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zapsaná v obchodním rejstříku vedeném Městským soudem v Praze pod sp. zn. C19775</w:t>
      </w:r>
    </w:p>
    <w:bookmarkEnd w:id="0"/>
    <w:p w14:paraId="260D58A3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</w:t>
      </w:r>
      <w:r>
        <w:rPr>
          <w:rFonts w:ascii="Calibri" w:hAnsi="Calibri" w:cs="Calibri"/>
          <w:sz w:val="22"/>
          <w:szCs w:val="22"/>
        </w:rPr>
        <w:t>3133950003/2700</w:t>
      </w:r>
    </w:p>
    <w:p w14:paraId="690E1AB6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tel.: tel.: 731 621 684 Ing. Lucie Lhotková – obchodní zástupce, 724 283 270 Ondřej Ritschel – dispečer</w:t>
      </w:r>
    </w:p>
    <w:p w14:paraId="5D23AC7B" w14:textId="77777777" w:rsidR="00616DE9" w:rsidRDefault="00616DE9" w:rsidP="00616DE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ceskalipa@ave.cz</w:t>
      </w:r>
    </w:p>
    <w:p w14:paraId="60CBE641" w14:textId="77777777" w:rsidR="0004307F" w:rsidRPr="000D7FDA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0D7FDA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0D7FDA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0D7FDA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F41BD99" w14:textId="1818F662" w:rsidR="00166593" w:rsidRPr="00616DE9" w:rsidRDefault="006112E2" w:rsidP="00166593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Mateřská škola, Česká Lípa, Arbesova 411, příspěvková organizace </w:t>
      </w:r>
    </w:p>
    <w:p w14:paraId="6DA06A78" w14:textId="6CAB2B03" w:rsidR="00166593" w:rsidRPr="000D7FDA" w:rsidRDefault="00166593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 w:rsidR="00616DE9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320C6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112E2">
        <w:rPr>
          <w:rFonts w:ascii="Calibri" w:eastAsia="Calibri" w:hAnsi="Calibri" w:cs="Calibri"/>
          <w:sz w:val="22"/>
          <w:szCs w:val="22"/>
          <w:lang w:eastAsia="en-US"/>
        </w:rPr>
        <w:t>Arbesova 411/2, Česká Lípa 470 01</w:t>
      </w:r>
    </w:p>
    <w:p w14:paraId="3E216AD7" w14:textId="10248D3D" w:rsidR="00166593" w:rsidRDefault="001E554C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IČ: </w:t>
      </w:r>
      <w:r w:rsidR="006112E2">
        <w:rPr>
          <w:rFonts w:ascii="Calibri" w:eastAsia="Calibri" w:hAnsi="Calibri" w:cs="Calibri"/>
          <w:sz w:val="22"/>
          <w:szCs w:val="22"/>
          <w:lang w:eastAsia="en-US"/>
        </w:rPr>
        <w:t>709 82 104</w:t>
      </w:r>
    </w:p>
    <w:p w14:paraId="081AE2B4" w14:textId="0CF8FC47" w:rsidR="00902C9E" w:rsidRDefault="001E554C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DIČ:</w:t>
      </w:r>
      <w:r w:rsidR="001856F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112E2">
        <w:rPr>
          <w:rFonts w:ascii="Calibri" w:eastAsia="Calibri" w:hAnsi="Calibri" w:cs="Calibri"/>
          <w:sz w:val="22"/>
          <w:szCs w:val="22"/>
          <w:lang w:eastAsia="en-US"/>
        </w:rPr>
        <w:t xml:space="preserve">není plátce DPH </w:t>
      </w:r>
    </w:p>
    <w:p w14:paraId="2EABE6A4" w14:textId="48FF0FFE" w:rsidR="006112E2" w:rsidRPr="004C04C6" w:rsidRDefault="006112E2" w:rsidP="006112E2">
      <w:pPr>
        <w:jc w:val="both"/>
        <w:rPr>
          <w:rFonts w:ascii="Calibri" w:hAnsi="Calibri" w:cs="Calibri"/>
          <w:bCs/>
          <w:sz w:val="22"/>
          <w:szCs w:val="22"/>
        </w:rPr>
      </w:pPr>
      <w:r w:rsidRPr="004C04C6">
        <w:rPr>
          <w:rFonts w:ascii="Calibri" w:hAnsi="Calibri" w:cs="Calibri"/>
          <w:bCs/>
          <w:sz w:val="22"/>
          <w:szCs w:val="22"/>
        </w:rPr>
        <w:t>Zapsaná v obchodním rejstříku, vedeném Krajským úřadem v Ústí nad Labem, oddíl Pr, vložka 696</w:t>
      </w:r>
    </w:p>
    <w:p w14:paraId="6980D3FA" w14:textId="56087FBC" w:rsidR="00A42021" w:rsidRDefault="00A42021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Zasílací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adresa: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sídlo  </w:t>
      </w:r>
    </w:p>
    <w:p w14:paraId="70A16B8B" w14:textId="3B88589C" w:rsidR="00AA3FAC" w:rsidRPr="0008680A" w:rsidRDefault="00616DE9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680A">
        <w:rPr>
          <w:rFonts w:ascii="Calibri" w:eastAsia="Calibri" w:hAnsi="Calibri" w:cs="Calibri"/>
          <w:sz w:val="22"/>
          <w:szCs w:val="22"/>
          <w:lang w:eastAsia="en-US"/>
        </w:rPr>
        <w:t xml:space="preserve">Kontaktní telefon: </w:t>
      </w:r>
      <w:r w:rsidR="00601DE9">
        <w:rPr>
          <w:rFonts w:ascii="Calibri" w:eastAsia="Calibri" w:hAnsi="Calibri" w:cs="Calibri"/>
          <w:sz w:val="22"/>
          <w:szCs w:val="22"/>
          <w:lang w:eastAsia="en-US"/>
        </w:rPr>
        <w:t xml:space="preserve">Bc. </w:t>
      </w:r>
      <w:r w:rsidR="006112E2" w:rsidRPr="004C04C6">
        <w:rPr>
          <w:rFonts w:ascii="Calibri" w:hAnsi="Calibri" w:cs="Calibri"/>
          <w:bCs/>
        </w:rPr>
        <w:t>Pavlína Černá    484 844 702, 733 552</w:t>
      </w:r>
      <w:r w:rsidR="006112E2">
        <w:rPr>
          <w:rFonts w:ascii="Calibri" w:hAnsi="Calibri" w:cs="Calibri"/>
          <w:bCs/>
        </w:rPr>
        <w:t> </w:t>
      </w:r>
      <w:r w:rsidR="006112E2" w:rsidRPr="004C04C6">
        <w:rPr>
          <w:rFonts w:ascii="Calibri" w:hAnsi="Calibri" w:cs="Calibri"/>
          <w:bCs/>
        </w:rPr>
        <w:t>027</w:t>
      </w:r>
    </w:p>
    <w:p w14:paraId="7BA79965" w14:textId="570EC443" w:rsidR="00AA3FAC" w:rsidRPr="0008680A" w:rsidRDefault="00AA3FAC" w:rsidP="00AA3FA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680A">
        <w:rPr>
          <w:rFonts w:ascii="Calibri" w:eastAsia="Calibri" w:hAnsi="Calibri" w:cs="Calibri"/>
          <w:sz w:val="22"/>
          <w:szCs w:val="22"/>
          <w:lang w:eastAsia="en-US"/>
        </w:rPr>
        <w:t>Kontaktní email:</w:t>
      </w:r>
      <w:r w:rsidR="00A42021" w:rsidRPr="000868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112E2" w:rsidRPr="004C04C6"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ms.arbesova.cl@seznam.cz</w:t>
      </w:r>
    </w:p>
    <w:p w14:paraId="3C7B1429" w14:textId="279B7257" w:rsidR="00C8018A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8680A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hyperlink r:id="rId11" w:history="1">
        <w:r w:rsidR="00A42021" w:rsidRPr="0008680A">
          <w:rPr>
            <w:rStyle w:val="Hypertextovodkaz"/>
          </w:rPr>
          <w:t xml:space="preserve"> </w:t>
        </w:r>
      </w:hyperlink>
      <w:r w:rsidR="006112E2" w:rsidRPr="004C04C6">
        <w:rPr>
          <w:rFonts w:ascii="Calibri" w:eastAsia="Calibri" w:hAnsi="Calibri" w:cs="Calibri"/>
          <w:color w:val="0000FF"/>
          <w:sz w:val="22"/>
          <w:szCs w:val="22"/>
          <w:u w:val="single"/>
          <w:lang w:eastAsia="en-US"/>
        </w:rPr>
        <w:t>ms.arbesova.cl@seznam.cz</w:t>
      </w:r>
    </w:p>
    <w:p w14:paraId="3B356646" w14:textId="16DEAD72" w:rsidR="00AF116C" w:rsidRPr="000D7FDA" w:rsidRDefault="00AF116C" w:rsidP="00AF116C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7777777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995E712" w14:textId="4EAC9F50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0671E9FA" w14:textId="583A938B"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5B29D1C4" w14:textId="77777777"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14:paraId="7CD4A298" w14:textId="24A40B20"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233C1DAC" w14:textId="6E6D9008"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14:paraId="6E1E6CA8" w14:textId="203B578E" w:rsidR="00FB444F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14:paraId="5B2D5D40" w14:textId="1F9A9311"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14:paraId="0808BAA9" w14:textId="51EDA3CF" w:rsidR="00FB444F" w:rsidRDefault="00FB444F" w:rsidP="00C62DF5">
      <w:pPr>
        <w:rPr>
          <w:rFonts w:ascii="Calibri" w:hAnsi="Calibri" w:cs="Calibri"/>
          <w:i/>
          <w:sz w:val="22"/>
          <w:szCs w:val="22"/>
        </w:rPr>
      </w:pPr>
    </w:p>
    <w:p w14:paraId="24B221CE" w14:textId="60C79B00" w:rsidR="00FB444F" w:rsidRDefault="00FB444F" w:rsidP="00C62DF5">
      <w:pPr>
        <w:rPr>
          <w:rFonts w:ascii="Calibri" w:hAnsi="Calibri" w:cs="Calibri"/>
          <w:i/>
          <w:sz w:val="22"/>
          <w:szCs w:val="22"/>
        </w:rPr>
      </w:pPr>
    </w:p>
    <w:p w14:paraId="64922D8F" w14:textId="77777777" w:rsidR="00FB444F" w:rsidRDefault="00FB444F" w:rsidP="00C62DF5">
      <w:pPr>
        <w:rPr>
          <w:rFonts w:ascii="Calibri" w:hAnsi="Calibri" w:cs="Calibri"/>
          <w:i/>
          <w:sz w:val="22"/>
          <w:szCs w:val="22"/>
        </w:rPr>
      </w:pPr>
    </w:p>
    <w:p w14:paraId="747C387A" w14:textId="77777777" w:rsidR="00124D67" w:rsidRPr="000D7FDA" w:rsidRDefault="00124D67" w:rsidP="00667F72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479D9BD7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I.</w:t>
      </w:r>
    </w:p>
    <w:p w14:paraId="0470685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7ACFFA2C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</w:t>
      </w:r>
      <w:r w:rsidR="00B57045" w:rsidRPr="00A54BF5">
        <w:rPr>
          <w:rFonts w:ascii="Calibri" w:hAnsi="Calibri" w:cs="Calibri"/>
          <w:sz w:val="22"/>
          <w:szCs w:val="22"/>
        </w:rPr>
        <w:t xml:space="preserve"> </w:t>
      </w:r>
      <w:r w:rsidRPr="00A54BF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6C026F" w:rsidRPr="00A54BF5">
        <w:rPr>
          <w:rFonts w:ascii="Calibri" w:hAnsi="Calibri" w:cs="Calibri"/>
          <w:sz w:val="22"/>
          <w:szCs w:val="22"/>
        </w:rPr>
        <w:t xml:space="preserve"> 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559BC0A7"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i nepravidelných</w:t>
      </w:r>
      <w:r w:rsidR="0068423B">
        <w:rPr>
          <w:rFonts w:ascii="Calibri" w:hAnsi="Calibri" w:cs="Calibri"/>
          <w:sz w:val="22"/>
          <w:szCs w:val="22"/>
        </w:rPr>
        <w:t xml:space="preserve"> 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3F46B5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14:paraId="5891AA33" w14:textId="29B0BC47"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37E2A67E" w14:textId="5A31FAC2"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14:paraId="37D4EBBA" w14:textId="67EA55BC"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r w:rsidR="00AA7B4A" w:rsidRPr="009E0E60">
        <w:rPr>
          <w:rFonts w:ascii="Calibri" w:hAnsi="Calibri" w:cs="Calibri"/>
          <w:sz w:val="22"/>
          <w:szCs w:val="22"/>
        </w:rPr>
        <w:t xml:space="preserve"> </w:t>
      </w:r>
      <w:bookmarkEnd w:id="2"/>
    </w:p>
    <w:bookmarkEnd w:id="1"/>
    <w:p w14:paraId="7AD9B0CF" w14:textId="77777777"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5AFD1804" w14:textId="539EA87F"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 xml:space="preserve"> a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14:paraId="6E490DC2" w14:textId="4B5D33FA"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zavazuje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B5392F" w:rsidRPr="009E0E60">
        <w:rPr>
          <w:rFonts w:ascii="Calibri" w:hAnsi="Calibri" w:cs="Calibri"/>
          <w:sz w:val="22"/>
          <w:szCs w:val="22"/>
        </w:rPr>
        <w:t xml:space="preserve"> 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bude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 xml:space="preserve"> a 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 xml:space="preserve"> a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  <w:r w:rsidR="00EA76F1" w:rsidRPr="009E0E60">
        <w:rPr>
          <w:rFonts w:ascii="Calibri" w:hAnsi="Calibri" w:cs="Calibri"/>
          <w:sz w:val="22"/>
          <w:szCs w:val="22"/>
        </w:rPr>
        <w:t xml:space="preserve"> </w:t>
      </w:r>
    </w:p>
    <w:p w14:paraId="6291F6F3" w14:textId="28F9A463"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CD5B9B"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 xml:space="preserve"> a (ii)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(iii)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  <w:r w:rsidR="00DB1E1B" w:rsidRPr="009E0E60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  <w:r w:rsidR="00EA76F1" w:rsidRPr="00D249E1">
        <w:rPr>
          <w:rFonts w:ascii="Calibri" w:hAnsi="Calibri" w:cs="Calibri"/>
          <w:sz w:val="22"/>
          <w:szCs w:val="22"/>
        </w:rPr>
        <w:t xml:space="preserve"> </w:t>
      </w:r>
    </w:p>
    <w:p w14:paraId="0EED0025" w14:textId="0C243F89"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6B27B29" w14:textId="77777777"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18725321"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="004F6166" w:rsidRPr="000A3637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0974CD" w:rsidRPr="009E0E6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01F91D0D"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42E7FB14" w14:textId="25427B8F"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87738B" w:rsidRPr="009E0E60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760157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14:paraId="7E23E831" w14:textId="386B813B"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14:paraId="42FCB92B" w14:textId="14296983"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4398C97D" w:rsidR="002B2CF4" w:rsidRPr="009E0E60" w:rsidRDefault="00D824E3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 w:rsidR="00C00217">
        <w:rPr>
          <w:rFonts w:ascii="Calibri" w:hAnsi="Calibri" w:cs="Calibri"/>
          <w:sz w:val="22"/>
          <w:szCs w:val="22"/>
        </w:rPr>
        <w:t>Cena</w:t>
      </w:r>
      <w:r w:rsidR="00AB77E0">
        <w:rPr>
          <w:rFonts w:ascii="Calibri" w:hAnsi="Calibri" w:cs="Calibri"/>
          <w:sz w:val="22"/>
          <w:szCs w:val="22"/>
        </w:rPr>
        <w:t xml:space="preserve"> 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14:paraId="4D8EFD7C" w14:textId="76F98FAA"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00C00217">
        <w:rPr>
          <w:rFonts w:ascii="Calibri" w:hAnsi="Calibri" w:cs="Calibri"/>
          <w:sz w:val="22"/>
          <w:szCs w:val="22"/>
        </w:rPr>
        <w:t xml:space="preserve"> 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000654DC">
        <w:rPr>
          <w:rFonts w:ascii="Calibri" w:hAnsi="Calibri" w:cs="Calibri"/>
          <w:sz w:val="22"/>
          <w:szCs w:val="22"/>
        </w:rPr>
        <w:t xml:space="preserve"> 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="00A26A96" w:rsidRPr="009E0E60">
        <w:rPr>
          <w:rFonts w:ascii="Calibri" w:hAnsi="Calibri" w:cs="Calibri"/>
          <w:sz w:val="22"/>
          <w:szCs w:val="22"/>
        </w:rPr>
        <w:t>14.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019F66BA" w14:textId="378E0F2D"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</w:t>
      </w:r>
      <w:r w:rsidRPr="009E0E60">
        <w:rPr>
          <w:rFonts w:ascii="Calibri" w:hAnsi="Calibri" w:cs="Calibri"/>
          <w:sz w:val="22"/>
          <w:szCs w:val="22"/>
        </w:rPr>
        <w:lastRenderedPageBreak/>
        <w:t>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C125EA4" w14:textId="064E70EE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2C850586"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A26A96" w:rsidRPr="00E40C9E">
        <w:rPr>
          <w:rFonts w:ascii="Calibri" w:hAnsi="Calibri" w:cs="Calibri"/>
          <w:sz w:val="22"/>
          <w:szCs w:val="22"/>
        </w:rPr>
        <w:t xml:space="preserve">14.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13E3EB40" w14:textId="21871497"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39AB72A8" w14:textId="66D74109"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D8469C">
        <w:rPr>
          <w:rFonts w:ascii="Calibri" w:hAnsi="Calibri" w:cs="Calibri"/>
          <w:sz w:val="22"/>
          <w:szCs w:val="22"/>
        </w:rPr>
        <w:t xml:space="preserve"> 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65D27B61" w14:textId="584FADEA"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14:paraId="0D0C159C" w14:textId="77777777"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1C711F6B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682D85A6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="00C1733C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  <w:r w:rsidRPr="00AA614A">
        <w:rPr>
          <w:rFonts w:ascii="Calibri" w:hAnsi="Calibri" w:cs="Calibri"/>
          <w:sz w:val="22"/>
          <w:szCs w:val="22"/>
        </w:rPr>
        <w:t xml:space="preserve"> </w:t>
      </w:r>
    </w:p>
    <w:p w14:paraId="5A1B5C24" w14:textId="3F0DFB9A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40EC772F" w14:textId="21187492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 w:rsidR="00D8469C"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4AA51C8B" w14:textId="2EAD6F8F"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20DC3ED9" w14:textId="225BB53E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344BE8D" w14:textId="31136DCC" w:rsidR="00B82A20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5167E614" w14:textId="19F2653C" w:rsidR="00181CB6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03226BB8" w14:textId="5A8B18CE" w:rsidR="00181CB6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74D2CA3" w14:textId="77777777" w:rsidR="00181CB6" w:rsidRPr="000D7FDA" w:rsidRDefault="00181CB6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0B14F96D"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této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48D2FC87"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378C4F9C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="001A756F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uvedena jako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23BFD3E8" w14:textId="6C5F485D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11314340" w14:textId="16C6E0C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29EDAB2B" w14:textId="0F255D6D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1DCC5DF3" w14:textId="46DD598C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443CF823" w14:textId="26A43076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72082DC7" w14:textId="2C00A964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14:paraId="3ED12E0B" w14:textId="40D9E290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77397FE9"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294A66BE" w14:textId="1510BF46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  <w:r w:rsidR="2252B44E" w:rsidRPr="000D7FDA">
        <w:rPr>
          <w:rFonts w:ascii="Calibri" w:hAnsi="Calibri" w:cs="Calibri"/>
          <w:sz w:val="22"/>
          <w:szCs w:val="22"/>
        </w:rPr>
        <w:t xml:space="preserve"> </w:t>
      </w:r>
    </w:p>
    <w:p w14:paraId="26545DDE" w14:textId="284B3965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2741CC5D" w14:textId="3E86AC8F"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006C026F" w:rsidRPr="000D7FDA">
        <w:rPr>
          <w:rFonts w:ascii="Calibri" w:hAnsi="Calibri" w:cs="Calibri"/>
          <w:sz w:val="22"/>
          <w:szCs w:val="22"/>
        </w:rPr>
        <w:t xml:space="preserve"> 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3F94F9F1"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BC752A">
        <w:rPr>
          <w:rFonts w:ascii="Calibri" w:hAnsi="Calibri" w:cs="Calibri"/>
          <w:sz w:val="22"/>
          <w:szCs w:val="22"/>
        </w:rPr>
        <w:t xml:space="preserve"> 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147A37C5" w14:textId="77777777"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665DC399" w:rsidR="00887D50" w:rsidRPr="000D7FDA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se uzavírá na dobu</w:t>
      </w:r>
      <w:r w:rsidR="000D505E">
        <w:rPr>
          <w:rFonts w:ascii="Calibri" w:hAnsi="Calibri" w:cs="Calibri"/>
          <w:sz w:val="22"/>
          <w:szCs w:val="22"/>
        </w:rPr>
        <w:t xml:space="preserve"> neurčitou. </w:t>
      </w:r>
      <w:r w:rsidR="000D505E"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="000D505E" w:rsidRPr="00996246">
        <w:rPr>
          <w:rFonts w:ascii="Calibri" w:hAnsi="Calibri" w:cs="Calibri"/>
          <w:sz w:val="22"/>
          <w:szCs w:val="22"/>
        </w:rPr>
        <w:t>dnem</w:t>
      </w:r>
      <w:r w:rsidR="000D505E" w:rsidRPr="00A77622">
        <w:rPr>
          <w:rFonts w:ascii="Calibri" w:hAnsi="Calibri" w:cs="Calibri"/>
          <w:sz w:val="22"/>
          <w:szCs w:val="22"/>
        </w:rPr>
        <w:t xml:space="preserve"> </w:t>
      </w:r>
      <w:r w:rsidR="00B91466">
        <w:rPr>
          <w:rFonts w:ascii="Calibri" w:eastAsia="Calibri" w:hAnsi="Calibri" w:cs="Calibri"/>
          <w:sz w:val="22"/>
          <w:szCs w:val="22"/>
          <w:lang w:eastAsia="en-US"/>
        </w:rPr>
        <w:t>01</w:t>
      </w:r>
      <w:r w:rsidR="00181CB6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1856F9"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="00601DE9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="00181CB6">
        <w:rPr>
          <w:rFonts w:ascii="Calibri" w:eastAsia="Calibri" w:hAnsi="Calibri" w:cs="Calibri"/>
          <w:sz w:val="22"/>
          <w:szCs w:val="22"/>
          <w:lang w:eastAsia="en-US"/>
        </w:rPr>
        <w:t>.202</w:t>
      </w:r>
      <w:r w:rsidR="001856F9">
        <w:rPr>
          <w:rFonts w:ascii="Calibri" w:eastAsia="Calibri" w:hAnsi="Calibri" w:cs="Calibri"/>
          <w:sz w:val="22"/>
          <w:szCs w:val="22"/>
          <w:lang w:eastAsia="en-US"/>
        </w:rPr>
        <w:t>3.</w:t>
      </w:r>
    </w:p>
    <w:p w14:paraId="5C2A1F5E" w14:textId="5C2EE5E0"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66488CFD" w14:textId="77777777"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0855C19F" w14:textId="77777777"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3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4" w:name="_Hlk30526395"/>
      <w:bookmarkEnd w:id="3"/>
      <w:r w:rsidRPr="00432C91">
        <w:rPr>
          <w:rFonts w:ascii="Calibri" w:hAnsi="Calibri" w:cs="Calibri"/>
          <w:sz w:val="22"/>
          <w:szCs w:val="22"/>
        </w:rPr>
        <w:t>;</w:t>
      </w:r>
    </w:p>
    <w:p w14:paraId="3C92B134" w14:textId="3D384B35"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5" w:name="_Hlk54615789"/>
      <w:r w:rsidR="00A84CBF" w:rsidRPr="00A84CBF">
        <w:rPr>
          <w:rFonts w:ascii="Calibri" w:hAnsi="Calibri" w:cs="Calibri"/>
          <w:sz w:val="22"/>
          <w:szCs w:val="22"/>
        </w:rPr>
        <w:t xml:space="preserve">, tj. zejména, kdy u zhotovitele dojde ke zvýšení nákladů na poskytované služby (např. v souvislosti se změnou právním předpisem stanovené výše poplatku za ukládání odpadů na skládku nebo jakéhokoliv jiného poplatku stanoveného </w:t>
      </w:r>
      <w:r w:rsidR="00A84CBF" w:rsidRPr="00A84CBF">
        <w:rPr>
          <w:rFonts w:ascii="Calibri" w:hAnsi="Calibri" w:cs="Calibri"/>
          <w:sz w:val="22"/>
          <w:szCs w:val="22"/>
        </w:rPr>
        <w:lastRenderedPageBreak/>
        <w:t>právním předpisem v budoucnu), v důsledku čehož zhotovitel v souladu s touto smlouvou zvýší cenu poskytovaných služeb a objednatel bude rozporovat nebo zpochybňovat oprávněnost takového zvýšení ceny</w:t>
      </w:r>
      <w:bookmarkEnd w:id="4"/>
      <w:bookmarkEnd w:id="5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6" w:name="_Hlk30528496"/>
    </w:p>
    <w:p w14:paraId="566D93C9" w14:textId="275C273A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7" w:name="_Hlk54615874"/>
      <w:r w:rsidRPr="00A84CBF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6"/>
    <w:bookmarkEnd w:id="7"/>
    <w:p w14:paraId="6D7E3D3B" w14:textId="588A736E"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E8B7CDB"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612032F9" w14:textId="77777777"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12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0C28B1C6" w14:textId="76AADBC3"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 w:rsidR="00AB22D1">
        <w:rPr>
          <w:rFonts w:ascii="Calibri" w:hAnsi="Calibri" w:cs="Calibri"/>
          <w:sz w:val="22"/>
          <w:szCs w:val="22"/>
        </w:rPr>
        <w:t xml:space="preserve"> </w:t>
      </w:r>
      <w:bookmarkStart w:id="8" w:name="_Hlk54624879"/>
      <w:r w:rsidR="00AB22D1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8"/>
      <w:r w:rsidR="00760157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14:paraId="5B85C78A" w14:textId="5C84B380"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4F04C712" w14:textId="2F28FED6"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2E82B4D7" w:rsidR="004B67E7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1815545" w14:textId="4AECB7D1" w:rsidR="004B67E7" w:rsidRDefault="004B67E7" w:rsidP="004B67E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564D699D" w14:textId="72D98832"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14:paraId="482921F0" w14:textId="77777777"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28089E5" w14:textId="18726E12" w:rsidR="00B80613" w:rsidRDefault="00B80613" w:rsidP="00B80613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České Lípě dne </w:t>
      </w:r>
      <w:r w:rsidR="00B91466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</w:t>
      </w:r>
      <w:r w:rsidR="001856F9">
        <w:rPr>
          <w:rFonts w:ascii="Calibri" w:hAnsi="Calibri" w:cs="Calibri"/>
          <w:sz w:val="22"/>
          <w:szCs w:val="22"/>
        </w:rPr>
        <w:t>0</w:t>
      </w:r>
      <w:r w:rsidR="00601DE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.202</w:t>
      </w:r>
      <w:r w:rsidR="001856F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            V</w:t>
      </w:r>
      <w:r w:rsidR="001856F9">
        <w:rPr>
          <w:rFonts w:ascii="Calibri" w:hAnsi="Calibri" w:cs="Calibri"/>
          <w:sz w:val="22"/>
          <w:szCs w:val="22"/>
        </w:rPr>
        <w:t> </w:t>
      </w:r>
      <w:r w:rsidR="00A42021">
        <w:rPr>
          <w:rFonts w:ascii="Calibri" w:hAnsi="Calibri" w:cs="Calibri"/>
          <w:sz w:val="22"/>
          <w:szCs w:val="22"/>
        </w:rPr>
        <w:t>Praze</w:t>
      </w:r>
      <w:r>
        <w:rPr>
          <w:rFonts w:ascii="Calibri" w:hAnsi="Calibri" w:cs="Calibri"/>
          <w:sz w:val="22"/>
          <w:szCs w:val="22"/>
        </w:rPr>
        <w:t xml:space="preserve"> dne </w:t>
      </w:r>
      <w:r w:rsidR="00B91466">
        <w:rPr>
          <w:rFonts w:ascii="Calibri" w:hAnsi="Calibri" w:cs="Calibri"/>
          <w:sz w:val="22"/>
          <w:szCs w:val="22"/>
        </w:rPr>
        <w:t>01</w:t>
      </w:r>
      <w:r>
        <w:rPr>
          <w:rFonts w:ascii="Calibri" w:hAnsi="Calibri" w:cs="Calibri"/>
          <w:sz w:val="22"/>
          <w:szCs w:val="22"/>
        </w:rPr>
        <w:t>.</w:t>
      </w:r>
      <w:r w:rsidR="001856F9">
        <w:rPr>
          <w:rFonts w:ascii="Calibri" w:hAnsi="Calibri" w:cs="Calibri"/>
          <w:sz w:val="22"/>
          <w:szCs w:val="22"/>
        </w:rPr>
        <w:t>0</w:t>
      </w:r>
      <w:r w:rsidR="00601DE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.202</w:t>
      </w:r>
      <w:r w:rsidR="001856F9">
        <w:rPr>
          <w:rFonts w:ascii="Calibri" w:hAnsi="Calibri" w:cs="Calibri"/>
          <w:sz w:val="22"/>
          <w:szCs w:val="22"/>
        </w:rPr>
        <w:t>3</w:t>
      </w:r>
    </w:p>
    <w:p w14:paraId="0836DC67" w14:textId="77777777" w:rsidR="00B80613" w:rsidRDefault="00B80613" w:rsidP="00B80613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BB21676" w14:textId="77777777" w:rsidR="00B80613" w:rsidRDefault="00B80613" w:rsidP="00B80613">
      <w:pPr>
        <w:jc w:val="both"/>
        <w:rPr>
          <w:rFonts w:ascii="Calibri" w:hAnsi="Calibri" w:cs="Calibri"/>
          <w:sz w:val="22"/>
          <w:szCs w:val="22"/>
        </w:rPr>
      </w:pPr>
    </w:p>
    <w:p w14:paraId="3A148BCD" w14:textId="77777777" w:rsidR="00B80613" w:rsidRDefault="00B80613" w:rsidP="00B8061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414416A2" w14:textId="77777777" w:rsidR="00B80613" w:rsidRDefault="00B80613" w:rsidP="00B8061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C25128D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>________________________________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27E508B5" w14:textId="77777777" w:rsidR="00601DE9" w:rsidRDefault="00B80613" w:rsidP="00B80613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</w:t>
      </w:r>
      <w:r w:rsidR="00601D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Mateřská škola, Česká Lípa, Arbesova 411, </w:t>
      </w:r>
    </w:p>
    <w:p w14:paraId="47D88A60" w14:textId="7F0F2AE2" w:rsidR="001856F9" w:rsidRDefault="00601DE9" w:rsidP="00B80613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</w:t>
      </w:r>
      <w:r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>Linda Simurníková, ředitelka provozovny</w:t>
      </w:r>
      <w:r w:rsidRPr="00E22F80">
        <w:rPr>
          <w:rFonts w:ascii="Calibri" w:hAnsi="Calibri" w:cs="Calibri"/>
          <w:bCs/>
          <w:sz w:val="22"/>
          <w:szCs w:val="22"/>
        </w:rPr>
        <w:t xml:space="preserve">               </w:t>
      </w:r>
      <w:r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Příspěvková organizace </w:t>
      </w:r>
      <w:r w:rsidR="001856F9" w:rsidRPr="00EF219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654592EC" w14:textId="5C708777" w:rsidR="00B80613" w:rsidRPr="00DD11F2" w:rsidRDefault="001856F9" w:rsidP="00B80613">
      <w:pPr>
        <w:spacing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</w:t>
      </w:r>
      <w:r w:rsidR="00601D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601DE9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 w:rsidR="00601DE9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601D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                                                                 </w:t>
      </w:r>
      <w:r w:rsidR="00CD2E3F">
        <w:rPr>
          <w:rFonts w:ascii="Calibri" w:eastAsia="Calibri" w:hAnsi="Calibri" w:cs="Calibri"/>
          <w:bCs/>
          <w:sz w:val="22"/>
          <w:szCs w:val="22"/>
          <w:lang w:eastAsia="en-US"/>
        </w:rPr>
        <w:t>Bc. et Bc. Černá Pavlína</w:t>
      </w:r>
    </w:p>
    <w:p w14:paraId="20363CD0" w14:textId="40550B39" w:rsidR="00A42021" w:rsidRDefault="00B80613" w:rsidP="00A4202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22F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</w:t>
      </w:r>
      <w:r w:rsidR="00601D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 w:rsidR="00A42021">
        <w:rPr>
          <w:rFonts w:ascii="Calibri" w:hAnsi="Calibri" w:cs="Calibri"/>
          <w:b/>
          <w:bCs/>
          <w:sz w:val="22"/>
          <w:szCs w:val="22"/>
        </w:rPr>
        <w:t>objednatel</w:t>
      </w:r>
    </w:p>
    <w:p w14:paraId="5BC7AB09" w14:textId="77777777" w:rsidR="00A42021" w:rsidRDefault="00A42021" w:rsidP="00A42021">
      <w:pPr>
        <w:spacing w:line="276" w:lineRule="auto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3ADB041A" w14:textId="07DF651A" w:rsidR="00B80613" w:rsidRDefault="00B80613" w:rsidP="00A42021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7F391E73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D522D25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649AB895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</w:p>
    <w:p w14:paraId="1EA82BA9" w14:textId="77777777" w:rsidR="00B80613" w:rsidRDefault="00B80613" w:rsidP="00B80613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349FABB7" w14:textId="77777777" w:rsidR="00B80613" w:rsidRDefault="00B80613" w:rsidP="00B8061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</w:p>
    <w:p w14:paraId="6C8B6398" w14:textId="77777777" w:rsidR="00B80613" w:rsidRDefault="00B80613" w:rsidP="00B80613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Ing. Lucie Lhotková, poradce pro ekologii</w:t>
      </w:r>
    </w:p>
    <w:p w14:paraId="3A78AF70" w14:textId="77777777" w:rsidR="00B80613" w:rsidRDefault="00B80613" w:rsidP="00B80613">
      <w:pPr>
        <w:spacing w:after="200"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</w:p>
    <w:p w14:paraId="1CFE2FC6" w14:textId="77777777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  <w:sectPr w:rsidR="00E42C6A" w:rsidSect="00B42BD2">
          <w:headerReference w:type="default" r:id="rId13"/>
          <w:footerReference w:type="default" r:id="rId14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996"/>
        <w:gridCol w:w="804"/>
        <w:gridCol w:w="47"/>
        <w:gridCol w:w="851"/>
        <w:gridCol w:w="687"/>
        <w:gridCol w:w="342"/>
        <w:gridCol w:w="1027"/>
        <w:gridCol w:w="897"/>
        <w:gridCol w:w="36"/>
        <w:gridCol w:w="1716"/>
        <w:gridCol w:w="1248"/>
        <w:gridCol w:w="638"/>
        <w:gridCol w:w="136"/>
        <w:gridCol w:w="899"/>
        <w:gridCol w:w="993"/>
        <w:gridCol w:w="160"/>
        <w:gridCol w:w="207"/>
        <w:gridCol w:w="989"/>
        <w:gridCol w:w="61"/>
        <w:gridCol w:w="99"/>
      </w:tblGrid>
      <w:tr w:rsidR="00E42C6A" w:rsidRPr="00E42C6A" w14:paraId="0E634627" w14:textId="77777777" w:rsidTr="001856F9">
        <w:trPr>
          <w:gridAfter w:val="5"/>
          <w:wAfter w:w="1516" w:type="dxa"/>
          <w:trHeight w:val="304"/>
        </w:trPr>
        <w:tc>
          <w:tcPr>
            <w:tcW w:w="80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3CC" w14:textId="20A928B3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1856F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601DE9">
              <w:rPr>
                <w:rFonts w:ascii="Arial" w:eastAsia="Times New Roman" w:hAnsi="Arial" w:cs="Arial"/>
                <w:b/>
                <w:bCs/>
                <w:color w:val="000000"/>
              </w:rPr>
              <w:t>1377</w:t>
            </w:r>
            <w:r w:rsidR="00804104">
              <w:rPr>
                <w:rFonts w:ascii="Arial" w:eastAsia="Times New Roman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B1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388" w14:textId="77777777" w:rsidR="00E42C6A" w:rsidRPr="00E42C6A" w:rsidRDefault="00E42C6A" w:rsidP="00E42C6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48D83DB8" w14:textId="77777777" w:rsidTr="00A42021">
        <w:trPr>
          <w:gridAfter w:val="5"/>
          <w:wAfter w:w="1516" w:type="dxa"/>
          <w:trHeight w:val="304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ED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11658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2E2C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61C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A39CC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4512EB4A" w14:textId="77777777" w:rsidTr="00A42021">
        <w:trPr>
          <w:gridAfter w:val="5"/>
          <w:wAfter w:w="151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4AA4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5A8A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50636" w14:textId="2DE9B354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C07C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3460B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42C6A" w:rsidRPr="00E42C6A" w14:paraId="3BFF281D" w14:textId="77777777" w:rsidTr="00A42021">
        <w:trPr>
          <w:gridAfter w:val="5"/>
          <w:wAfter w:w="1516" w:type="dxa"/>
          <w:trHeight w:val="526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40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379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69E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Jednotková cena za Služby A (v CZK bez DPH)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10D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Fakturační období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85A1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E42C6A" w:rsidRPr="00E42C6A" w14:paraId="4B9F3754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3F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D37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14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2D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8BD1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A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27637C72" w14:textId="77777777" w:rsidTr="00601DE9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6F7A" w14:textId="737BF305" w:rsidR="00E42C6A" w:rsidRPr="00E42C6A" w:rsidRDefault="00601DE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 SKO,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6C9E" w14:textId="7BE21CB0" w:rsidR="00E42C6A" w:rsidRPr="00E42C6A" w:rsidRDefault="00601DE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AC64F" w14:textId="52EC3647" w:rsidR="00601DE9" w:rsidRPr="00E42C6A" w:rsidRDefault="00601DE9" w:rsidP="00601DE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A787" w14:textId="6D06C0A6" w:rsidR="00E42C6A" w:rsidRPr="00E42C6A" w:rsidRDefault="00601DE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Měsíčně předem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5D648" w14:textId="7CC24E1F" w:rsidR="00E42C6A" w:rsidRPr="00E42C6A" w:rsidRDefault="00E42C6A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B7A8C4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E554C" w:rsidRPr="00E42C6A" w14:paraId="72869EEB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79F8" w14:textId="100A6503" w:rsidR="001E554C" w:rsidRDefault="00601DE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 SKO, svoz 2xtýdně (104/rok)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A1508" w14:textId="5B522FE2" w:rsidR="001E554C" w:rsidRDefault="00601DE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AA26" w14:textId="181DB005" w:rsidR="001E554C" w:rsidRDefault="00601DE9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D5044" w14:textId="0B04FF6D" w:rsidR="001E554C" w:rsidRPr="00E42C6A" w:rsidRDefault="00601DE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2016" w14:textId="77777777" w:rsidR="001E554C" w:rsidRPr="00E42C6A" w:rsidRDefault="001E554C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0A54CE9A" w14:textId="77777777" w:rsidR="001E554C" w:rsidRPr="00E42C6A" w:rsidRDefault="001E554C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74E6F" w:rsidRPr="00E42C6A" w14:paraId="7C091B7C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6E570" w14:textId="5BDFCF97" w:rsidR="00D74E6F" w:rsidRDefault="00601DE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černé SKO, svoz 1xtýdně (52/rok), při odběru 20ks a víc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CD4BA" w14:textId="23505E20" w:rsidR="00D74E6F" w:rsidRDefault="00601DE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JV/ks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B1A5" w14:textId="5EFF2776" w:rsidR="00D74E6F" w:rsidRDefault="00601DE9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0EB1F" w14:textId="39B872DC" w:rsidR="00D74E6F" w:rsidRPr="00E42C6A" w:rsidRDefault="00601DE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8D87C" w14:textId="77777777" w:rsidR="00D74E6F" w:rsidRPr="00E42C6A" w:rsidRDefault="00D74E6F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AE5C6D2" w14:textId="77777777" w:rsidR="00D74E6F" w:rsidRPr="00E42C6A" w:rsidRDefault="00D74E6F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1DE9" w:rsidRPr="00E42C6A" w14:paraId="28179636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C74C" w14:textId="0353F449" w:rsidR="00601DE9" w:rsidRDefault="00601DE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černé SKO, svoz 1xtýdně (52/rok), při odběru méně než 20 ks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78A4" w14:textId="6AA8CB6A" w:rsidR="00601DE9" w:rsidRDefault="00601DE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JV/ks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F0BD" w14:textId="4F23F58F" w:rsidR="00601DE9" w:rsidRDefault="00601DE9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4F3D" w14:textId="741B2CD9" w:rsidR="00601DE9" w:rsidRPr="00E42C6A" w:rsidRDefault="00601DE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4A30F" w14:textId="77777777" w:rsidR="00601DE9" w:rsidRPr="00E42C6A" w:rsidRDefault="00601DE9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44076BA" w14:textId="77777777" w:rsidR="00601DE9" w:rsidRPr="00E42C6A" w:rsidRDefault="00601DE9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01DE9" w:rsidRPr="00E42C6A" w14:paraId="7B1DCD56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72E80" w14:textId="25C09033" w:rsidR="00601DE9" w:rsidRDefault="00601DE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240 L PAPÍR, </w:t>
            </w:r>
            <w:r w:rsidR="000E26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AA7C" w14:textId="434D81E3" w:rsidR="00601DE9" w:rsidRDefault="000E262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238D" w14:textId="35112C38" w:rsidR="00601DE9" w:rsidRDefault="000E2629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9D29" w14:textId="73DB9D86" w:rsidR="00601DE9" w:rsidRDefault="000E262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5E591" w14:textId="77777777" w:rsidR="00601DE9" w:rsidRPr="00E42C6A" w:rsidRDefault="00601DE9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A44C3F1" w14:textId="77777777" w:rsidR="00601DE9" w:rsidRPr="00E42C6A" w:rsidRDefault="00601DE9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E2629" w:rsidRPr="00E42C6A" w14:paraId="41858C49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AA37" w14:textId="0A1D6FC3" w:rsidR="000E2629" w:rsidRDefault="000E262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 PLAST,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AC91C" w14:textId="24ADEC58" w:rsidR="000E2629" w:rsidRDefault="000E262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1BCD" w14:textId="07F7780D" w:rsidR="000E2629" w:rsidRDefault="000E2629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5F23" w14:textId="65175702" w:rsidR="000E2629" w:rsidRDefault="000E262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AF7D" w14:textId="77777777" w:rsidR="000E2629" w:rsidRPr="00E42C6A" w:rsidRDefault="000E2629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27805DC" w14:textId="77777777" w:rsidR="000E2629" w:rsidRPr="00E42C6A" w:rsidRDefault="000E2629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E2629" w:rsidRPr="00E42C6A" w14:paraId="6DE7D080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2BAD" w14:textId="5B238864" w:rsidR="000E2629" w:rsidRDefault="000E262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oranžové NK,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3A27" w14:textId="0BF70A35" w:rsidR="000E2629" w:rsidRDefault="000E262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JV/ks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DCDC0" w14:textId="79184197" w:rsidR="000E2629" w:rsidRDefault="000E2629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B01A9" w14:textId="21C997E7" w:rsidR="000E2629" w:rsidRDefault="000E2629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9219" w14:textId="77777777" w:rsidR="000E2629" w:rsidRPr="00E42C6A" w:rsidRDefault="000E2629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380C3E4" w14:textId="77777777" w:rsidR="000E2629" w:rsidRPr="00E42C6A" w:rsidRDefault="000E2629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E2629" w:rsidRPr="00E42C6A" w14:paraId="16B27467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44A7" w14:textId="38D8C002" w:rsidR="000E2629" w:rsidRDefault="000E262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 soudek na BIO,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A54A" w14:textId="2D34C1AC" w:rsidR="000E2629" w:rsidRDefault="000E2629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F3EE" w14:textId="6D3C7E27" w:rsidR="000E2629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C873" w14:textId="4DD092C7" w:rsidR="000E2629" w:rsidRDefault="00450DC3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0DF90" w14:textId="77777777" w:rsidR="000E2629" w:rsidRPr="00E42C6A" w:rsidRDefault="000E2629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D9D4D7B" w14:textId="77777777" w:rsidR="000E2629" w:rsidRPr="00E42C6A" w:rsidRDefault="000E2629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50DC3" w:rsidRPr="00E42C6A" w14:paraId="2A0DB689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3E929" w14:textId="533A7288" w:rsidR="00450DC3" w:rsidRDefault="00450DC3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 soudek na BIO, svoz 2xtýdně (104/rok)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B4F8" w14:textId="2C82D042" w:rsidR="00450DC3" w:rsidRDefault="00450DC3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5739" w14:textId="41AC78DA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20A57" w14:textId="39FB3009" w:rsidR="00450DC3" w:rsidRDefault="00450DC3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35CE8" w14:textId="77777777" w:rsidR="00450DC3" w:rsidRPr="00E42C6A" w:rsidRDefault="00450DC3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0C801E0E" w14:textId="77777777" w:rsidR="00450DC3" w:rsidRPr="00E42C6A" w:rsidRDefault="00450DC3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50DC3" w:rsidRPr="00E42C6A" w14:paraId="300E4671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BE80" w14:textId="4A9E2A6E" w:rsidR="00450DC3" w:rsidRDefault="00450DC3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 soudek na Jedlé oleje a tuky,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EEFFE" w14:textId="0990EF60" w:rsidR="00450DC3" w:rsidRDefault="00450DC3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9C5A7" w14:textId="74874562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8477" w14:textId="0C560A60" w:rsidR="00450DC3" w:rsidRDefault="00450DC3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6992E" w14:textId="77777777" w:rsidR="00450DC3" w:rsidRPr="00E42C6A" w:rsidRDefault="00450DC3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0AF4C49" w14:textId="77777777" w:rsidR="00450DC3" w:rsidRPr="00E42C6A" w:rsidRDefault="00450DC3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50DC3" w:rsidRPr="00E42C6A" w14:paraId="63201FD4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FE51" w14:textId="4DC3FF7C" w:rsidR="00450DC3" w:rsidRDefault="00450DC3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 soudek na Jedlé oleje a tuky, svoz 2xtýdně (104/rok)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2D8A" w14:textId="652A7D1B" w:rsidR="00450DC3" w:rsidRDefault="00450DC3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9BEE2" w14:textId="6A7C3846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C9CF8" w14:textId="168A6944" w:rsidR="00450DC3" w:rsidRDefault="00450DC3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D120" w14:textId="77777777" w:rsidR="00450DC3" w:rsidRPr="00E42C6A" w:rsidRDefault="00450DC3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EE99C5A" w14:textId="77777777" w:rsidR="00450DC3" w:rsidRPr="00E42C6A" w:rsidRDefault="00450DC3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50DC3" w:rsidRPr="00E42C6A" w14:paraId="4C216D9D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4230" w14:textId="0F5C39BA" w:rsidR="00450DC3" w:rsidRDefault="00450DC3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 PLENY, svoz 1xtýdně (52/rok)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9F95D" w14:textId="02416C9D" w:rsidR="00450DC3" w:rsidRDefault="00450DC3" w:rsidP="001472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JV/svoz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3B08" w14:textId="55BE5501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55802" w14:textId="4AADF9FD" w:rsidR="00450DC3" w:rsidRDefault="00450DC3" w:rsidP="00E42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Měsíčně předem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DFDC0" w14:textId="77777777" w:rsidR="00450DC3" w:rsidRPr="00E42C6A" w:rsidRDefault="00450DC3" w:rsidP="00E42C6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C7C6AFD" w14:textId="77777777" w:rsidR="00450DC3" w:rsidRPr="00E42C6A" w:rsidRDefault="00450DC3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57C3F79C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DE1AF" w14:textId="77777777" w:rsidR="00F4612E" w:rsidRPr="00E42C6A" w:rsidRDefault="00F4612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7B9EF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4EAFB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75B0E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CE096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708C5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42D98DFE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0300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DCFC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7C0D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C3A8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E210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6A27E7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6A252708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140E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1B33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39E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A6A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B35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EA63AA9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12BAB32B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73C3E" w14:textId="6046C13C" w:rsidR="00F4612E" w:rsidRPr="00E42C6A" w:rsidRDefault="00F4612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EE44C" w14:textId="2A38CE15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92647" w14:textId="7ADDCE1B" w:rsidR="00F4612E" w:rsidRPr="00E42C6A" w:rsidRDefault="00F4612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5680" w14:textId="14C5947A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924C5" w14:textId="453BFF10" w:rsidR="00F4612E" w:rsidRPr="00E42C6A" w:rsidRDefault="00F4612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BD48338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672FF" w:rsidRPr="00E42C6A" w14:paraId="10420564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2B1F" w14:textId="77777777" w:rsidR="00F672FF" w:rsidRPr="00E42C6A" w:rsidRDefault="00F672FF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64BF4" w14:textId="77777777" w:rsidR="00F672FF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CE0B" w14:textId="77777777" w:rsidR="00F672FF" w:rsidRPr="00E42C6A" w:rsidRDefault="00F672FF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96653" w14:textId="77777777" w:rsidR="00F672FF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727F7" w14:textId="77777777" w:rsidR="00F672FF" w:rsidRPr="00E42C6A" w:rsidRDefault="00F672FF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A14EFD7" w14:textId="77777777" w:rsidR="00F672FF" w:rsidRPr="00E42C6A" w:rsidRDefault="00F672FF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166DFF1E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C2085" w14:textId="77777777" w:rsidR="00F4612E" w:rsidRDefault="00F4612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B464AE" w14:textId="77777777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FCEB3A" w14:textId="77777777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2B8992F" w14:textId="77777777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A6B7DA1" w14:textId="77777777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F1CB82" w14:textId="2ED9890D" w:rsidR="00450DC3" w:rsidRPr="00E42C6A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8F306" w14:textId="77777777" w:rsidR="00F4612E" w:rsidRPr="00E42C6A" w:rsidRDefault="00F4612E" w:rsidP="00F4612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FFAE2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717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4BE83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506D915A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0CF0E456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D813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– nakládání s odpadem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10E5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D950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nakládání s odpadem (v CZK bez DPH) </w:t>
            </w:r>
          </w:p>
        </w:tc>
        <w:tc>
          <w:tcPr>
            <w:tcW w:w="3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ADC7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Fakturační období 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6B5B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3D56782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638A94E1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F42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A4D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E613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222C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BF76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FBAB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12E" w:rsidRPr="00E42C6A" w14:paraId="09515617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59B3" w14:textId="3D676168" w:rsidR="00F4612E" w:rsidRPr="00E42C6A" w:rsidRDefault="00F4612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 Směsný komunální odpad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F953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C210" w14:textId="5E286E46" w:rsidR="00F4612E" w:rsidRPr="00E42C6A" w:rsidRDefault="00F4612E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C2A4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Dle skutečnosti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FDE5" w14:textId="64CBEFA1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3BD1EC0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E554C" w:rsidRPr="00E42C6A" w14:paraId="1E23D1E0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0894" w14:textId="0D5AF3A4" w:rsidR="001E554C" w:rsidRPr="00E42C6A" w:rsidRDefault="00F672FF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200139 Plast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CFFC" w14:textId="645EE749" w:rsidR="001E554C" w:rsidRPr="00F672FF" w:rsidRDefault="00F672FF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58D" w14:textId="5593E19F" w:rsidR="001E554C" w:rsidRDefault="00F672FF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8EB8" w14:textId="1DA50C6D" w:rsidR="001E554C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CC24" w14:textId="77777777" w:rsidR="001E554C" w:rsidRPr="00E42C6A" w:rsidRDefault="001E554C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65D2365" w14:textId="77777777" w:rsidR="001E554C" w:rsidRPr="00E42C6A" w:rsidRDefault="001E554C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52C9D" w:rsidRPr="00E42C6A" w14:paraId="2B86500E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0A0F5" w14:textId="4F3C1B9B" w:rsidR="00552C9D" w:rsidRDefault="00552C9D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200125 Jedlý olej a tuk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ABFA" w14:textId="7CE2C6E4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488C" w14:textId="40F68FFE" w:rsidR="00552C9D" w:rsidRDefault="00552C9D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FB93" w14:textId="2B839E7F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12A4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034FE810" w14:textId="77777777" w:rsidR="00552C9D" w:rsidRPr="00E42C6A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52C9D" w:rsidRPr="00E42C6A" w14:paraId="11D1C535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04B5" w14:textId="095D4BF6" w:rsidR="00552C9D" w:rsidRDefault="00552C9D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200108 Biologicky rozložitelný odpad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A6534" w14:textId="22F51224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94060" w14:textId="4DFEE08F" w:rsidR="00552C9D" w:rsidRDefault="00552C9D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77D77" w14:textId="73643158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508DC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851B678" w14:textId="77777777" w:rsidR="00552C9D" w:rsidRPr="00E42C6A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E554C" w:rsidRPr="00E42C6A" w14:paraId="1FA4E936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8870F" w14:textId="5BA14580" w:rsidR="001E554C" w:rsidRPr="00E42C6A" w:rsidRDefault="00F672FF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200101 Papír a lepenka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123B" w14:textId="27DBD129" w:rsidR="001E554C" w:rsidRPr="00F672FF" w:rsidRDefault="00F672FF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23BB9" w14:textId="254380B5" w:rsidR="001E554C" w:rsidRDefault="00F672FF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FD53" w14:textId="5FDA7A5A" w:rsidR="001E554C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8402D" w14:textId="77777777" w:rsidR="001E554C" w:rsidRPr="00E42C6A" w:rsidRDefault="001E554C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DA2F52E" w14:textId="77777777" w:rsidR="001E554C" w:rsidRPr="00E42C6A" w:rsidRDefault="001E554C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50DC3" w:rsidRPr="00E42C6A" w14:paraId="1C40A9DF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E0AD" w14:textId="61D7368B" w:rsidR="00450DC3" w:rsidRDefault="00450DC3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 (NK) Nápojový karton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C09EA" w14:textId="3A4DEEB1" w:rsidR="00450DC3" w:rsidRPr="00E42C6A" w:rsidRDefault="00450DC3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53145" w14:textId="7607FD61" w:rsidR="00450DC3" w:rsidRDefault="00450DC3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0070D" w14:textId="30FFEACA" w:rsidR="00450DC3" w:rsidRPr="00E42C6A" w:rsidRDefault="00450DC3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B2F2D" w14:textId="77777777" w:rsidR="00450DC3" w:rsidRPr="00E42C6A" w:rsidRDefault="00450DC3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38DA6B0" w14:textId="77777777" w:rsidR="00450DC3" w:rsidRPr="00E42C6A" w:rsidRDefault="00450DC3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52C9D" w:rsidRPr="00E42C6A" w14:paraId="30256CF2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2AE94" w14:textId="42506610" w:rsidR="00552C9D" w:rsidRDefault="00552C9D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180104 (0) – Pleny </w:t>
            </w:r>
            <w:r w:rsidRPr="00552C9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Potvrzení o bezinf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e</w:t>
            </w:r>
            <w:r w:rsidRPr="00552C9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kčnosti 1xměsíčně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1E22" w14:textId="7FC678BA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T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EB4C" w14:textId="007AD3E6" w:rsidR="00552C9D" w:rsidRDefault="00552C9D" w:rsidP="00F4612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A0A4" w14:textId="77A7B01F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skutečnosti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B236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97B7432" w14:textId="77777777" w:rsidR="00552C9D" w:rsidRPr="00E42C6A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6B169A58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2702" w14:textId="721182F2" w:rsidR="0090643E" w:rsidRDefault="0090643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D97B92" w14:textId="46665B0B" w:rsidR="00274261" w:rsidRDefault="00274261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BF8804" w14:textId="77777777" w:rsidR="00274261" w:rsidRDefault="00274261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751490" w14:textId="435E3911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Vysvětlivky pro účely této přílohy: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1FF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CE0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0406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489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D3AFD5C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0CF72888" w14:textId="77777777" w:rsidTr="00A42021">
        <w:trPr>
          <w:gridAfter w:val="4"/>
          <w:wAfter w:w="1356" w:type="dxa"/>
          <w:trHeight w:val="29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1FB2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 se rozumí měrná jednotka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814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6C5" w14:textId="57263B84" w:rsidR="00F4612E" w:rsidRPr="006039C9" w:rsidRDefault="00F4612E" w:rsidP="00F4612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se rozumí 1 litr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38D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15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2802C2C8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0C8F38B5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3E4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JV se rozumí jednotka výkonu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412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0C2" w14:textId="1E867B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se rozumí 1 metr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5B9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3B2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7148AFDA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5EA0DE82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2AA1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měs. se rozumí 1 měsíc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924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BE39" w14:textId="0F71447E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se rozumí 1 tuna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9E0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6FB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056D7C8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19464AC2" w14:textId="77777777" w:rsidTr="001856F9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0CAC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kvartál se rozumí 3 po sobě jdoucí měsíce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E74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6E88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A95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22ED24A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04DAB55F" w14:textId="77777777" w:rsidTr="001856F9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C134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pol. se rozumí 6 po sobě jdoucích měsíců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C1BB" w14:textId="77777777" w:rsidR="00F4612E" w:rsidRPr="00E42C6A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F49C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7B3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3EBA1C4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7C082167" w14:textId="77777777" w:rsidTr="001856F9">
        <w:trPr>
          <w:gridAfter w:val="4"/>
          <w:wAfter w:w="1356" w:type="dxa"/>
          <w:trHeight w:val="304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65ED" w14:textId="70C608EC" w:rsidR="00097C27" w:rsidRDefault="00F4612E" w:rsidP="001E554C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rok se rozumí 12 po sobě jdoucích měsíců</w:t>
            </w:r>
          </w:p>
          <w:p w14:paraId="78513AFE" w14:textId="5F512CD0" w:rsidR="006039C9" w:rsidRDefault="006039C9" w:rsidP="001E554C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312238" w14:textId="77777777" w:rsidR="006039C9" w:rsidRDefault="006039C9" w:rsidP="001E554C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6CA320" w14:textId="31255A28" w:rsidR="00B412CE" w:rsidRPr="00E42C6A" w:rsidRDefault="00B412C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425A" w14:textId="77777777" w:rsidR="00F4612E" w:rsidRDefault="00F4612E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3BAE382" w14:textId="57500010" w:rsidR="00F8344D" w:rsidRPr="00E42C6A" w:rsidRDefault="00F8344D" w:rsidP="00F4612E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6BE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308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252AF510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2C2D91C5" w14:textId="77777777" w:rsidTr="00A42021">
        <w:trPr>
          <w:gridAfter w:val="4"/>
          <w:wAfter w:w="1356" w:type="dxa"/>
          <w:trHeight w:val="30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B72E" w14:textId="77777777" w:rsidR="00274261" w:rsidRDefault="00274261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8AA9683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20D54CC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86B9072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B1D9ED5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616DC34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BB5E641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5EEE733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ADE352C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1C0FB2C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468FE4B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2F07DFF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3B33A9E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FF5CD1A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27BDC0F" w14:textId="77777777" w:rsidR="00552C9D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017C01F" w14:textId="43CA49BE" w:rsidR="00552C9D" w:rsidRPr="00E42C6A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A02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A2B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4156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3C55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4B0F7CA5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612E" w:rsidRPr="00E42C6A" w14:paraId="5A7BD19D" w14:textId="77777777" w:rsidTr="001856F9">
        <w:trPr>
          <w:gridAfter w:val="1"/>
          <w:wAfter w:w="99" w:type="dxa"/>
          <w:trHeight w:val="313"/>
        </w:trPr>
        <w:tc>
          <w:tcPr>
            <w:tcW w:w="151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CF2" w14:textId="5F37431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9" w:name="RANGE!A1"/>
            <w:r w:rsidRPr="00E42C6A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Příloha č. 2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1856F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552C9D">
              <w:rPr>
                <w:rFonts w:ascii="Arial" w:eastAsia="Times New Roman" w:hAnsi="Arial" w:cs="Arial"/>
                <w:b/>
                <w:bCs/>
                <w:color w:val="000000"/>
              </w:rPr>
              <w:t>1377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  <w:bookmarkEnd w:id="9"/>
          </w:p>
        </w:tc>
      </w:tr>
      <w:tr w:rsidR="001856F9" w:rsidRPr="00E42C6A" w14:paraId="6FD931E5" w14:textId="77777777" w:rsidTr="00F672FF">
        <w:trPr>
          <w:gridAfter w:val="2"/>
          <w:wAfter w:w="160" w:type="dxa"/>
          <w:trHeight w:val="29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5E0F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01D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A2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6CC6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A46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12D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C47C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82B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2A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1D1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D4FD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9B04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FA0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856F9" w:rsidRPr="00E42C6A" w14:paraId="0ED2AF1F" w14:textId="77777777" w:rsidTr="00F672FF">
        <w:trPr>
          <w:gridAfter w:val="2"/>
          <w:wAfter w:w="160" w:type="dxa"/>
          <w:trHeight w:val="3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194C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3633C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2BA8E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B78D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4728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FA671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11FE1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EAFC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37CC5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6663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1856F9" w:rsidRPr="00E42C6A" w14:paraId="6A3963D5" w14:textId="77777777" w:rsidTr="00F672FF">
        <w:trPr>
          <w:gridAfter w:val="2"/>
          <w:wAfter w:w="160" w:type="dxa"/>
          <w:trHeight w:val="526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F2DB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70C" w14:textId="7EF5D27D" w:rsidR="00F4612E" w:rsidRPr="00E42C6A" w:rsidRDefault="001856F9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6C57">
              <w:rPr>
                <w:rFonts w:ascii="Calibri" w:eastAsia="Times New Roman" w:hAnsi="Calibri" w:cs="Calibri"/>
                <w:b/>
                <w:bCs/>
                <w:color w:val="000000"/>
              </w:rPr>
              <w:t>Číslo popisné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8E1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418D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BB0E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D316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EC61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029A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514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891F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6A05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E9C1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1856F9" w:rsidRPr="00E42C6A" w14:paraId="7BBF644B" w14:textId="77777777" w:rsidTr="00F672FF">
        <w:trPr>
          <w:trHeight w:val="4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D099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D7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2F1B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FD9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54C9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B67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13B9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115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CA6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D55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7A1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57B" w14:textId="77777777" w:rsidR="00F4612E" w:rsidRPr="00E42C6A" w:rsidRDefault="00F4612E" w:rsidP="00F461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C026" w14:textId="77777777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56F9" w:rsidRPr="00E42C6A" w14:paraId="2B542FE7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D374" w14:textId="1FFDCEB4" w:rsidR="00F4612E" w:rsidRPr="00552C9D" w:rsidRDefault="00552C9D" w:rsidP="00F4612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MŠ Arbesova, Česká Lípa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BA25" w14:textId="7522332D" w:rsidR="00F4612E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8EF56" w14:textId="02DA391C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2A489" w14:textId="464C9418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03FF" w14:textId="224577F1" w:rsidR="00F4612E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1A96" w14:textId="5ACF0B13" w:rsidR="00F4612E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DB3C" w14:textId="321034D6" w:rsidR="00F4612E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789F" w14:textId="0C408FB8" w:rsidR="00F4612E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2DEC" w14:textId="51051DA6" w:rsidR="00F672FF" w:rsidRPr="00F672FF" w:rsidRDefault="00552C9D" w:rsidP="00552C9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PO+ČT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E9F7B" w14:textId="60052D2E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2F56" w14:textId="668B6146" w:rsidR="00F4612E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E79D" w14:textId="720658C4" w:rsidR="00F4612E" w:rsidRPr="00E42C6A" w:rsidRDefault="00F4612E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9A71EC4" w14:textId="77777777" w:rsidR="00F4612E" w:rsidRPr="00E42C6A" w:rsidRDefault="00F4612E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54DBA35C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8BDB" w14:textId="4D24A97C" w:rsidR="000816C4" w:rsidRDefault="000816C4" w:rsidP="00F4612E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MŠ Arbesova,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8FF8A" w14:textId="52525EC2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26B3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8B81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98B9B" w14:textId="7DDB1B46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DBEE8" w14:textId="788C864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9F06" w14:textId="3E80DB7C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E93BA" w14:textId="1403E0D9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2BCD" w14:textId="67E71657" w:rsidR="000816C4" w:rsidRDefault="000816C4" w:rsidP="00552C9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B1A3C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A4391" w14:textId="6DAC0D50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EE5C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B5B33B6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66CA7FFF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612F0" w14:textId="1286DCA8" w:rsidR="000816C4" w:rsidRDefault="000816C4" w:rsidP="00F4612E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MŠ Arbesova,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16BBD" w14:textId="3D0A0E32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EF05F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86DFD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057F4" w14:textId="277ABCE1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0BB3" w14:textId="37E05D1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CA69E" w14:textId="2C1A8AEF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FE5F" w14:textId="5EDA8034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6FD6" w14:textId="4CE681E8" w:rsidR="000816C4" w:rsidRDefault="000816C4" w:rsidP="00552C9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E18BE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0D1C" w14:textId="0B5FD1E3" w:rsidR="000816C4" w:rsidRDefault="000816C4" w:rsidP="000816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BCE14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EADA61C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10DE9" w:rsidRPr="00E42C6A" w14:paraId="43093B61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5E1C1" w14:textId="59A47A3C" w:rsidR="00A10DE9" w:rsidRDefault="00A10DE9" w:rsidP="00F4612E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MŠ Arbesova,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93D0" w14:textId="6034B158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D5F37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A93DA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6E7FD" w14:textId="521D28D6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EADED" w14:textId="501A3B85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2ED7" w14:textId="03E6C4FB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F4D4" w14:textId="3BDFB5F3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3344" w14:textId="42FC7D2C" w:rsidR="00A10DE9" w:rsidRPr="00A10DE9" w:rsidRDefault="00A10DE9" w:rsidP="00A10DE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ST+PÁ 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B821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0B0B6" w14:textId="7A73F2DD" w:rsidR="00A10DE9" w:rsidRDefault="00A10DE9" w:rsidP="000816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83786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A96B778" w14:textId="77777777" w:rsidR="00A10DE9" w:rsidRPr="00E42C6A" w:rsidRDefault="00A10DE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10DE9" w:rsidRPr="00E42C6A" w14:paraId="79C54DD0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3A09D" w14:textId="21471242" w:rsidR="00A10DE9" w:rsidRDefault="00A10DE9" w:rsidP="00F4612E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MŠ Arbesova,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9C4C" w14:textId="4273793C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F3B7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80BA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6A30" w14:textId="00F8203A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08EC6" w14:textId="43CDF8ED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2BE1" w14:textId="49014F8E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2A70" w14:textId="2D52F10D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A0B" w14:textId="2F7A49FC" w:rsidR="00A10DE9" w:rsidRDefault="00A10DE9" w:rsidP="00552C9D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ST+PÁ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0A0A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1DDD" w14:textId="5ACC22B7" w:rsidR="00A10DE9" w:rsidRDefault="00A10DE9" w:rsidP="000816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200125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876C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AC3EF6E" w14:textId="77777777" w:rsidR="00A10DE9" w:rsidRPr="00E42C6A" w:rsidRDefault="00A10DE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672FF" w:rsidRPr="00E42C6A" w14:paraId="434A6CE7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BB00C" w14:textId="156FDF85" w:rsidR="00F672FF" w:rsidRPr="00552C9D" w:rsidRDefault="00552C9D" w:rsidP="00F461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MŠ Roháče z Dubé, Česká Lípa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D7D65" w14:textId="4BC26E67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7F01" w14:textId="77777777" w:rsidR="00F672FF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82F" w14:textId="77777777" w:rsidR="00F672FF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F5A" w14:textId="421141A1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A6617" w14:textId="3FB8712F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4464" w14:textId="5FC09486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B877A" w14:textId="23CEC85E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900F3" w14:textId="6D14D4A8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ČT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65BDF" w14:textId="77777777" w:rsidR="00F672FF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F3B92" w14:textId="0202FF0B" w:rsidR="00F672FF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4DC5" w14:textId="77777777" w:rsidR="00F672FF" w:rsidRPr="00E42C6A" w:rsidRDefault="00F672F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583D509D" w14:textId="77777777" w:rsidR="00F672FF" w:rsidRPr="00E42C6A" w:rsidRDefault="00F672FF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1D0CDBC7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8186" w14:textId="0E6CF549" w:rsidR="000816C4" w:rsidRDefault="000816C4" w:rsidP="00F4612E">
            <w:pPr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MŠ Roháče z Dubé,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BD6F" w14:textId="0F8AC97E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174D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C5DB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13715" w14:textId="4F8FADDA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ACFE8" w14:textId="42AF862E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6E8B9" w14:textId="62EB9F73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ADB58" w14:textId="2EB23EA1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AC84" w14:textId="768E1D02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0D02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FE364" w14:textId="36C5DFAD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28C1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57F3B26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1904D543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CFC" w14:textId="050AB662" w:rsidR="000816C4" w:rsidRDefault="000816C4" w:rsidP="00F4612E">
            <w:pPr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MŠ Roháče z Dubé,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4BEE6" w14:textId="66CAF1E4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C3EBD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FD9E9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A639" w14:textId="56FAC428" w:rsidR="000816C4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A5BC" w14:textId="7B3DDD55" w:rsidR="000816C4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2ECA5" w14:textId="122E4127" w:rsidR="000816C4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D5D7E" w14:textId="4E5423CB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85CF" w14:textId="164C39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24AA4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338B" w14:textId="5D3B354F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3DA7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6CE078F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10DE9" w:rsidRPr="00E42C6A" w14:paraId="62099DEE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76D31" w14:textId="53111A34" w:rsidR="00A10DE9" w:rsidRDefault="00A10DE9" w:rsidP="00F4612E">
            <w:pPr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MŠ Roháče z Dubé,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92E5" w14:textId="241CF6C0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2779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AFCFD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39F2" w14:textId="00B80C4B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DB8E" w14:textId="47DE67C9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AB19F" w14:textId="12A6733C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D1534" w14:textId="36290F21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329DB" w14:textId="1840E8CA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PÁ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998B7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47C5F" w14:textId="3A723DCD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24D4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AE58419" w14:textId="77777777" w:rsidR="00A10DE9" w:rsidRPr="00E42C6A" w:rsidRDefault="00A10DE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10DE9" w:rsidRPr="00E42C6A" w14:paraId="038DB251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C4B39" w14:textId="52272EEE" w:rsidR="00A10DE9" w:rsidRDefault="00A10DE9" w:rsidP="00F4612E">
            <w:pPr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MŠ Roháče z Dubé,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EA617" w14:textId="0632D6A1" w:rsidR="00A10DE9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BF22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6214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2744D" w14:textId="0DFF2082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4A26A" w14:textId="1B114F5A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7A79" w14:textId="2AABBB5A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561D" w14:textId="2639C58C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6E6C" w14:textId="1B6C729D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PÁ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F27E9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AE718" w14:textId="65208451" w:rsidR="00A10DE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200125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4834" w14:textId="77777777" w:rsidR="00A10DE9" w:rsidRPr="00E42C6A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92ECD7B" w14:textId="77777777" w:rsidR="00A10DE9" w:rsidRPr="00E42C6A" w:rsidRDefault="00A10DE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52C9D" w:rsidRPr="00E42C6A" w14:paraId="33759A53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BE8FC" w14:textId="569234F4" w:rsidR="00552C9D" w:rsidRPr="00552C9D" w:rsidRDefault="00552C9D" w:rsidP="00F461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6139D" w14:textId="7EAABCC6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68D8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1F525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65BA3" w14:textId="120B5816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7C31" w14:textId="60615541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746EE" w14:textId="348FBBD0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FE36" w14:textId="670F0420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D5116" w14:textId="103048F3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ČT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68F3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EF59" w14:textId="34E420DF" w:rsidR="00552C9D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DE3C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66E6069" w14:textId="77777777" w:rsidR="00552C9D" w:rsidRPr="00E42C6A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04DDF" w:rsidRPr="00E42C6A" w14:paraId="01E62642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7B067" w14:textId="5C5DE460" w:rsidR="00F04DDF" w:rsidRDefault="00F04DDF" w:rsidP="00F4612E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3AC1" w14:textId="1A24D90A" w:rsidR="00F04DDF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E811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8181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92DF1" w14:textId="208F1646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6EF7" w14:textId="5A7EBEFC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1A94F" w14:textId="082E20EA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2A7" w14:textId="6C5D3B3C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2A2D" w14:textId="212D9108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5BB18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74AC8" w14:textId="63CB3D86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CB24D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F41299B" w14:textId="77777777" w:rsidR="00F04DDF" w:rsidRPr="00E42C6A" w:rsidRDefault="00F04DDF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04DDF" w:rsidRPr="00E42C6A" w14:paraId="0C107D76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CE764" w14:textId="190F1D3B" w:rsidR="00F04DDF" w:rsidRDefault="00F04DDF" w:rsidP="00F4612E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A7C5" w14:textId="297CB3EA" w:rsidR="00F04DDF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1EC23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BDB3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64B4" w14:textId="0432945F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21DB7" w14:textId="1198D053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240 L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AC488" w14:textId="64B1082B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6116" w14:textId="08D95FA7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4E00" w14:textId="62B56924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43B01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8084" w14:textId="53D734FA" w:rsidR="00F04DDF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6F1B1" w14:textId="77777777" w:rsidR="00F04DDF" w:rsidRPr="00E42C6A" w:rsidRDefault="00F04DDF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382CD73" w14:textId="77777777" w:rsidR="00F04DDF" w:rsidRPr="00E42C6A" w:rsidRDefault="00F04DDF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07949" w:rsidRPr="00E42C6A" w14:paraId="0DD8604C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E95E" w14:textId="6A37C09C" w:rsidR="00907949" w:rsidRDefault="00907949" w:rsidP="00F4612E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6209" w14:textId="4EE4F1B5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ED786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0ADF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0C2AA" w14:textId="11663258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A954" w14:textId="28EF9964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F6D8" w14:textId="3D15B681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EBBEC" w14:textId="029DD802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C2587" w14:textId="1B8D508F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PÁ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68E2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C92D2" w14:textId="5B020832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971B5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A6C0A6A" w14:textId="77777777" w:rsidR="00907949" w:rsidRPr="00E42C6A" w:rsidRDefault="0090794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07949" w:rsidRPr="00E42C6A" w14:paraId="5A50B98E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C782" w14:textId="77E503F3" w:rsidR="00907949" w:rsidRDefault="00907949" w:rsidP="00F4612E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CDFF" w14:textId="0AFF8281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B8E93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95633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B03B" w14:textId="15DCECBA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188C6" w14:textId="1F950E9E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D665" w14:textId="6A243718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59897" w14:textId="7F425F66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9FA9" w14:textId="73AF2EEE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PÁ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0930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23467" w14:textId="464E2AF1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200125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3593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351204C" w14:textId="77777777" w:rsidR="00907949" w:rsidRPr="00E42C6A" w:rsidRDefault="0090794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07949" w:rsidRPr="00E42C6A" w14:paraId="13562FD4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7C9D" w14:textId="0BA73140" w:rsidR="00907949" w:rsidRDefault="00907949" w:rsidP="00F4612E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Libchava, Česká Lípa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5B45" w14:textId="7C162E63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B1D70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3471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BC53" w14:textId="31A1D6C4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9DDD" w14:textId="3499CCE6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 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D55D" w14:textId="2F12264F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445D4" w14:textId="4EDE2FF7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77F00" w14:textId="693F6231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ČT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00A8E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19E1D" w14:textId="251E7CAC" w:rsidR="00907949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180104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7EAC" w14:textId="77777777" w:rsidR="00907949" w:rsidRPr="00E42C6A" w:rsidRDefault="0090794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62778E7" w14:textId="77777777" w:rsidR="00907949" w:rsidRPr="00E42C6A" w:rsidRDefault="00907949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52C9D" w:rsidRPr="00E42C6A" w14:paraId="4B31890D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6856" w14:textId="10E0612B" w:rsidR="00552C9D" w:rsidRPr="00552C9D" w:rsidRDefault="00552C9D" w:rsidP="00F461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lastRenderedPageBreak/>
              <w:t>1.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3.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MŠ Arbesova + Roháče z Dubé + </w:t>
            </w:r>
            <w:r w:rsidR="000816C4">
              <w:rPr>
                <w:rFonts w:ascii="Arial" w:eastAsia="Times New Roman" w:hAnsi="Arial" w:cs="Arial"/>
                <w:sz w:val="20"/>
                <w:szCs w:val="20"/>
              </w:rPr>
              <w:t xml:space="preserve">Dolní Libchava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7606" w14:textId="534AFDBE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411+2513+107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B824B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6757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4442" w14:textId="5EC18D67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potřeby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4EAD" w14:textId="20480506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(černé)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D0D40" w14:textId="7EE7BDD7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2383F" w14:textId="6B026B85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CD96" w14:textId="7A75EE79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ČT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C158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91C3F" w14:textId="78DCCF0C" w:rsidR="00552C9D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571C" w14:textId="77777777" w:rsidR="00552C9D" w:rsidRPr="00E42C6A" w:rsidRDefault="00552C9D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D0385D1" w14:textId="77777777" w:rsidR="00552C9D" w:rsidRPr="00E42C6A" w:rsidRDefault="00552C9D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6E8C0101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D0A7" w14:textId="454279AA" w:rsidR="000816C4" w:rsidRDefault="00A10DE9" w:rsidP="00F4612E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3.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Arbesova + Roháče z Dubé + Dolní Libchava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712F" w14:textId="65E2A4DA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411+2513+107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DBBB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A95F5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D01D" w14:textId="7EE7A321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potřeby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C8F7" w14:textId="2C088928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Pytle (ORANŽOVÉ))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A32B" w14:textId="54187478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170A0" w14:textId="283C1AB7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A9951" w14:textId="43B25A0C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ÚT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8A78C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067A6" w14:textId="6980F660" w:rsidR="000816C4" w:rsidRDefault="00A10DE9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200101 (NK)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51137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5823085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6E69E130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5D1D" w14:textId="7C84F90C" w:rsidR="000816C4" w:rsidRDefault="000816C4" w:rsidP="00F4612E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027E" w14:textId="1154C7E3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7742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16DC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FE7BE" w14:textId="6B3CAA0E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1434" w14:textId="13277192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E0DC" w14:textId="3071A72F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04D2F" w14:textId="5896E8E6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E840" w14:textId="6C501DDF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D9E8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8076" w14:textId="49235A68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E6FE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AD953A0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1CDB5786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0B49" w14:textId="1338F8FD" w:rsidR="000816C4" w:rsidRDefault="000816C4" w:rsidP="00F4612E">
            <w:pPr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C769" w14:textId="0AF92624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E375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D0F4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E521" w14:textId="10F7BC22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D737" w14:textId="3554CAE0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239B" w14:textId="2D58738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EE37" w14:textId="3461F749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B85F3" w14:textId="57F02FAD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EB08B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8250" w14:textId="14533A4C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0B47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330A94B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2645522F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45B15" w14:textId="0BB4C772" w:rsidR="000816C4" w:rsidRDefault="000816C4" w:rsidP="00F4612E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03C0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D5C2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05ABB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57718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D8A4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1EE69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FC07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4FC3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E706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A7DE" w14:textId="77777777" w:rsidR="000816C4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F5EC" w14:textId="77777777" w:rsidR="000816C4" w:rsidRPr="00E42C6A" w:rsidRDefault="000816C4" w:rsidP="00F46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6362564" w14:textId="77777777" w:rsidR="000816C4" w:rsidRPr="00E42C6A" w:rsidRDefault="000816C4" w:rsidP="00F4612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3C57388A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9DB" w14:textId="31542978" w:rsidR="000816C4" w:rsidRDefault="000816C4" w:rsidP="000816C4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A7D1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7CDED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BE23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11AB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9581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03B2B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E180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AF28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1928E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049B2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1219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EEB1A28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119E21AF" w14:textId="77777777" w:rsidTr="00F672FF">
        <w:trPr>
          <w:trHeight w:val="293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55C18" w14:textId="04C7BE42" w:rsidR="000816C4" w:rsidRDefault="000816C4" w:rsidP="000816C4">
            <w:pPr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DD5C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E7B1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73FE7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4926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148B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D4E4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F1BE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7C15E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0798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20E4" w14:textId="77777777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C064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CED95F2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1828D360" w14:textId="77777777" w:rsidTr="00F672FF">
        <w:trPr>
          <w:trHeight w:val="31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7D92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1CE9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EC6F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5DB4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9423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312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A02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ADB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BC03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B1BB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953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F8D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DB5E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13936225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2157A678" w14:textId="77777777" w:rsidTr="00F672FF">
        <w:trPr>
          <w:trHeight w:val="31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CA9C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C07B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E143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21D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D60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EC0C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89D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7FA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BC9A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1E0F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158A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524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994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95AF437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32A3D76E" w14:textId="77777777" w:rsidTr="00F672FF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FDD2" w14:textId="77777777" w:rsidR="000816C4" w:rsidRPr="00E42C6A" w:rsidRDefault="000816C4" w:rsidP="000816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2BEB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0ACEB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5EFA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9217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F2ABD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58D9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3B8C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144F9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FD980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E390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98C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61B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D438721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0A56409F" w14:textId="77777777" w:rsidTr="00F672FF">
        <w:trPr>
          <w:trHeight w:val="792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53A7" w14:textId="77777777" w:rsidR="000816C4" w:rsidRPr="00E42C6A" w:rsidRDefault="000816C4" w:rsidP="000816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pro nepravidelný svoz odpadu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0C73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8F5C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B8BA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9E99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240F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0A13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3E57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555D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AEBF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 / objednávky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A6AE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47C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ECCBE1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3BC85342" w14:textId="77777777" w:rsidTr="00F672FF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5A94" w14:textId="24AD7D26" w:rsidR="000816C4" w:rsidRPr="00E42C6A" w:rsidRDefault="000816C4" w:rsidP="000816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9CFC" w14:textId="093DD8A9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E3263" w14:textId="373E1FFE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FB457" w14:textId="1C5C9DFE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462C" w14:textId="49A63B4D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ED448" w14:textId="791C318F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2C73D" w14:textId="74082FBC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5D61" w14:textId="1F394B3D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337F" w14:textId="7F9A71CD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6022" w14:textId="21FB3D9E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DFC0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BC10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89CA08E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3DDDAD5F" w14:textId="77777777" w:rsidTr="00F672FF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AD755" w14:textId="69E59D3A" w:rsidR="000816C4" w:rsidRDefault="000816C4" w:rsidP="000816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3B3D0" w14:textId="3E47F743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2DE6" w14:textId="35AA6359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836E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DF99D" w14:textId="067E81D8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E708" w14:textId="51D8D55F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066E" w14:textId="3C638B03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92B5" w14:textId="0216B67D" w:rsidR="000816C4" w:rsidRPr="009966E6" w:rsidRDefault="000816C4" w:rsidP="000816C4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D2769" w14:textId="15B2A954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B226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82ED3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3862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1DB4D860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816C4" w:rsidRPr="00E42C6A" w14:paraId="61503896" w14:textId="77777777" w:rsidTr="00F672FF">
        <w:trPr>
          <w:trHeight w:val="29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D22F" w14:textId="41E67E96" w:rsidR="000816C4" w:rsidRDefault="000816C4" w:rsidP="000816C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12147" w14:textId="4BEC4381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7037" w14:textId="618DEDEC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DC80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F144" w14:textId="0CBD0EC5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A494" w14:textId="1840E5D0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AABE" w14:textId="512F223A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300DB" w14:textId="77CEBCD5" w:rsidR="000816C4" w:rsidRPr="009966E6" w:rsidRDefault="000816C4" w:rsidP="000816C4">
            <w:pPr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B67D" w14:textId="28CDBCBF" w:rsidR="000816C4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A696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A5C7" w14:textId="77777777" w:rsidR="000816C4" w:rsidRPr="00E42C6A" w:rsidRDefault="000816C4" w:rsidP="000816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A29B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6B66C995" w14:textId="77777777" w:rsidR="000816C4" w:rsidRPr="00E42C6A" w:rsidRDefault="000816C4" w:rsidP="000816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0132BC3" w14:textId="39F4C6A6" w:rsidR="00E42C6A" w:rsidRDefault="00E42C6A" w:rsidP="002C4334">
      <w:pPr>
        <w:pStyle w:val="Zpat"/>
        <w:rPr>
          <w:rFonts w:ascii="Calibri" w:hAnsi="Calibri" w:cs="Calibri"/>
          <w:sz w:val="22"/>
          <w:szCs w:val="22"/>
        </w:rPr>
      </w:pPr>
    </w:p>
    <w:p w14:paraId="7E75A0A6" w14:textId="77777777" w:rsidR="00E42C6A" w:rsidRDefault="00E42C6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15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236"/>
        <w:gridCol w:w="1559"/>
        <w:gridCol w:w="1781"/>
        <w:gridCol w:w="763"/>
        <w:gridCol w:w="763"/>
        <w:gridCol w:w="763"/>
        <w:gridCol w:w="1171"/>
        <w:gridCol w:w="1171"/>
        <w:gridCol w:w="851"/>
        <w:gridCol w:w="1384"/>
        <w:gridCol w:w="1384"/>
        <w:gridCol w:w="1384"/>
        <w:gridCol w:w="146"/>
      </w:tblGrid>
      <w:tr w:rsidR="00E42C6A" w:rsidRPr="00E42C6A" w14:paraId="4AC96793" w14:textId="77777777" w:rsidTr="00E42C6A">
        <w:trPr>
          <w:gridAfter w:val="1"/>
          <w:wAfter w:w="146" w:type="dxa"/>
          <w:trHeight w:val="319"/>
        </w:trPr>
        <w:tc>
          <w:tcPr>
            <w:tcW w:w="153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0D3A" w14:textId="3CA87B36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Pr="00E42C6A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S/C10/05005320/202</w:t>
            </w:r>
            <w:r w:rsidR="001856F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="00907949">
              <w:rPr>
                <w:rFonts w:ascii="Arial" w:eastAsia="Times New Roman" w:hAnsi="Arial" w:cs="Arial"/>
                <w:b/>
                <w:bCs/>
                <w:color w:val="000000"/>
              </w:rPr>
              <w:t>1377</w:t>
            </w:r>
            <w:r w:rsidR="00814CA5">
              <w:rPr>
                <w:rFonts w:ascii="Arial" w:eastAsia="Times New Roman" w:hAnsi="Arial" w:cs="Arial"/>
                <w:b/>
                <w:bCs/>
                <w:color w:val="000000"/>
              </w:rPr>
              <w:t>/01</w:t>
            </w:r>
          </w:p>
        </w:tc>
      </w:tr>
      <w:tr w:rsidR="00E42C6A" w:rsidRPr="00E42C6A" w14:paraId="0A176873" w14:textId="77777777" w:rsidTr="00035320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55C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7C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B7A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29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572D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385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DEA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59B9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7D1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F3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FBF0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F9CE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48F2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42C6A" w:rsidRPr="00E42C6A" w14:paraId="2C61F210" w14:textId="77777777" w:rsidTr="00E42C6A">
        <w:trPr>
          <w:gridAfter w:val="1"/>
          <w:wAfter w:w="146" w:type="dxa"/>
          <w:trHeight w:val="280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30F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8118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54209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30C83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F51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B57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94D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DAF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E7D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84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B686FE5" w14:textId="77777777" w:rsidTr="00035320">
        <w:trPr>
          <w:gridAfter w:val="1"/>
          <w:wAfter w:w="146" w:type="dxa"/>
          <w:trHeight w:val="28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0922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B3577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F0772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8BD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B630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7AF5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0DA4C" w14:textId="77777777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98E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F8E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6B2B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280F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CBA4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1DBA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E42C6A" w:rsidRPr="00E42C6A" w14:paraId="1C12AFD1" w14:textId="77777777" w:rsidTr="00035320">
        <w:trPr>
          <w:gridAfter w:val="1"/>
          <w:wAfter w:w="146" w:type="dxa"/>
          <w:trHeight w:val="517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5978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09B0" w14:textId="7AC6A6A6" w:rsidR="00E42C6A" w:rsidRPr="00E42C6A" w:rsidRDefault="001E554C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8E83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0EC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F29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F812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BA7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5996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BA1E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D695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E91F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1FAD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2C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E42C6A" w:rsidRPr="00E42C6A" w14:paraId="3D4F618E" w14:textId="77777777" w:rsidTr="00907949">
        <w:trPr>
          <w:trHeight w:val="2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405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50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DC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3D0A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1FC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2D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F24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9F0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7DD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4A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760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0B69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AAB" w14:textId="77777777" w:rsidR="00E42C6A" w:rsidRPr="00E42C6A" w:rsidRDefault="00E42C6A" w:rsidP="00E42C6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850" w14:textId="77777777" w:rsidR="00E42C6A" w:rsidRPr="00E42C6A" w:rsidRDefault="00E42C6A" w:rsidP="00E42C6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6A" w:rsidRPr="00E42C6A" w14:paraId="59A07D6A" w14:textId="77777777" w:rsidTr="00907949">
        <w:trPr>
          <w:trHeight w:val="72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4E3E" w14:textId="356FC791" w:rsidR="00E42C6A" w:rsidRPr="00E42C6A" w:rsidRDefault="00E42C6A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6935" w14:textId="5CB12C34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709 82 104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CD114" w14:textId="361B3720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MŠ Arbesova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8FEF" w14:textId="0A849293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Arbesova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88FD" w14:textId="408C61D9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EF820" w14:textId="3A7B3A12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AF87" w14:textId="0DF6CF68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BEF6" w14:textId="75A98625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B305" w14:textId="28BA94E9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17D85" w14:textId="3E00A475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B5C" w14:textId="45377E4D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FBA0F" w14:textId="7CF52623" w:rsidR="00E42C6A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AFC9" w14:textId="77777777" w:rsidR="00E42C6A" w:rsidRPr="00E42C6A" w:rsidRDefault="00E42C6A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  <w:hideMark/>
          </w:tcPr>
          <w:p w14:paraId="28517FCC" w14:textId="77777777" w:rsidR="00E42C6A" w:rsidRPr="00E42C6A" w:rsidRDefault="00E42C6A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07949" w:rsidRPr="00E42C6A" w14:paraId="44A2DB46" w14:textId="77777777" w:rsidTr="00907949">
        <w:trPr>
          <w:trHeight w:val="72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309AD" w14:textId="77777777" w:rsidR="00907949" w:rsidRPr="00E42C6A" w:rsidRDefault="00907949" w:rsidP="00E42C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0099" w14:textId="5EB89224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709 82 104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C3C0" w14:textId="72D6045F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MŠ Roháče z Dubé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723F" w14:textId="0553739C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Roháče z Dubé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39807" w14:textId="4A225819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26C7" w14:textId="77777777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58CB" w14:textId="77777777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31594" w14:textId="39DF5FB6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F7A3A" w14:textId="77777777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0C409" w14:textId="2B002615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5340" w14:textId="359F2B7A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B11F" w14:textId="3653BAF1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90D6" w14:textId="6C8A3C09" w:rsidR="00907949" w:rsidRPr="00E42C6A" w:rsidRDefault="00907949" w:rsidP="001F6E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</w:tcPr>
          <w:p w14:paraId="7273196A" w14:textId="77777777" w:rsidR="00907949" w:rsidRPr="00E42C6A" w:rsidRDefault="00907949" w:rsidP="00E42C6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07949" w:rsidRPr="00E42C6A" w14:paraId="64C0584B" w14:textId="77777777" w:rsidTr="00907949">
        <w:trPr>
          <w:trHeight w:val="72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20E4" w14:textId="77777777" w:rsidR="00907949" w:rsidRPr="00E42C6A" w:rsidRDefault="00907949" w:rsidP="009079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95FC" w14:textId="69CB5D72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709 82 104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19F24" w14:textId="7CA7E6A8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MŠ Dolní Libchava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0391" w14:textId="2FF35470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Dolní Libchava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CA332" w14:textId="1A7CEBC2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A6FB" w14:textId="77777777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BC1A7" w14:textId="77777777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0EEAC" w14:textId="0B4896B1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Česká Lípa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0F82" w14:textId="77777777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CAB98" w14:textId="66796BB5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470 01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B6FD" w14:textId="3E9EB80B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C00C6" w14:textId="6A075044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5EE2" w14:textId="0E2E131E" w:rsidR="00907949" w:rsidRPr="00E42C6A" w:rsidRDefault="00907949" w:rsidP="009079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2C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CZA00385</w:t>
            </w:r>
          </w:p>
        </w:tc>
        <w:tc>
          <w:tcPr>
            <w:tcW w:w="146" w:type="dxa"/>
            <w:vAlign w:val="center"/>
          </w:tcPr>
          <w:p w14:paraId="7082CB5B" w14:textId="77777777" w:rsidR="00907949" w:rsidRPr="00E42C6A" w:rsidRDefault="00907949" w:rsidP="0090794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6CCCD82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</w:p>
    <w:sectPr w:rsidR="005773E6" w:rsidRPr="002A4128" w:rsidSect="00E42C6A">
      <w:headerReference w:type="default" r:id="rId15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DAA2" w14:textId="77777777" w:rsidR="006C2C44" w:rsidRDefault="006C2C44" w:rsidP="00DE214A">
      <w:r>
        <w:separator/>
      </w:r>
    </w:p>
  </w:endnote>
  <w:endnote w:type="continuationSeparator" w:id="0">
    <w:p w14:paraId="6E28AAA7" w14:textId="77777777" w:rsidR="006C2C44" w:rsidRDefault="006C2C44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Content>
          <w:p w14:paraId="4326BA70" w14:textId="21610A3E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7676" w14:textId="77777777" w:rsidR="006C2C44" w:rsidRDefault="006C2C44" w:rsidP="00DE214A">
      <w:r>
        <w:separator/>
      </w:r>
    </w:p>
  </w:footnote>
  <w:footnote w:type="continuationSeparator" w:id="0">
    <w:p w14:paraId="03D4B1B9" w14:textId="77777777" w:rsidR="006C2C44" w:rsidRDefault="006C2C44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5690" w14:textId="5DB8A722" w:rsidR="00F74B26" w:rsidRPr="00F74B26" w:rsidRDefault="00F74B26" w:rsidP="00F74B26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Smlouva o nakládání s odpadem – </w:t>
    </w:r>
    <w:r w:rsidR="006112E2">
      <w:rPr>
        <w:rFonts w:ascii="Calibri" w:hAnsi="Calibri" w:cs="Calibri"/>
        <w:sz w:val="20"/>
        <w:szCs w:val="20"/>
      </w:rPr>
      <w:t>1377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09A8" w14:textId="53AE4F17" w:rsidR="00F74B26" w:rsidRPr="00F74B26" w:rsidRDefault="00F74B26" w:rsidP="00F74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56845">
    <w:abstractNumId w:val="17"/>
  </w:num>
  <w:num w:numId="2" w16cid:durableId="353582573">
    <w:abstractNumId w:val="18"/>
  </w:num>
  <w:num w:numId="3" w16cid:durableId="1050149695">
    <w:abstractNumId w:val="5"/>
  </w:num>
  <w:num w:numId="4" w16cid:durableId="324406672">
    <w:abstractNumId w:val="6"/>
  </w:num>
  <w:num w:numId="5" w16cid:durableId="1803767013">
    <w:abstractNumId w:val="31"/>
  </w:num>
  <w:num w:numId="6" w16cid:durableId="831338241">
    <w:abstractNumId w:val="29"/>
  </w:num>
  <w:num w:numId="7" w16cid:durableId="748578513">
    <w:abstractNumId w:val="28"/>
  </w:num>
  <w:num w:numId="8" w16cid:durableId="467935732">
    <w:abstractNumId w:val="3"/>
  </w:num>
  <w:num w:numId="9" w16cid:durableId="1768620137">
    <w:abstractNumId w:val="22"/>
  </w:num>
  <w:num w:numId="10" w16cid:durableId="337974141">
    <w:abstractNumId w:val="14"/>
  </w:num>
  <w:num w:numId="11" w16cid:durableId="416052820">
    <w:abstractNumId w:val="16"/>
  </w:num>
  <w:num w:numId="12" w16cid:durableId="1342001181">
    <w:abstractNumId w:val="19"/>
  </w:num>
  <w:num w:numId="13" w16cid:durableId="1813908916">
    <w:abstractNumId w:val="9"/>
  </w:num>
  <w:num w:numId="14" w16cid:durableId="365641363">
    <w:abstractNumId w:val="15"/>
  </w:num>
  <w:num w:numId="15" w16cid:durableId="993484171">
    <w:abstractNumId w:val="23"/>
  </w:num>
  <w:num w:numId="16" w16cid:durableId="1487280479">
    <w:abstractNumId w:val="11"/>
  </w:num>
  <w:num w:numId="17" w16cid:durableId="787431286">
    <w:abstractNumId w:val="2"/>
  </w:num>
  <w:num w:numId="18" w16cid:durableId="1435635420">
    <w:abstractNumId w:val="0"/>
  </w:num>
  <w:num w:numId="19" w16cid:durableId="1544246774">
    <w:abstractNumId w:val="1"/>
  </w:num>
  <w:num w:numId="20" w16cid:durableId="523521289">
    <w:abstractNumId w:val="25"/>
  </w:num>
  <w:num w:numId="21" w16cid:durableId="1663654849">
    <w:abstractNumId w:val="30"/>
  </w:num>
  <w:num w:numId="22" w16cid:durableId="1092092990">
    <w:abstractNumId w:val="8"/>
  </w:num>
  <w:num w:numId="23" w16cid:durableId="1788304917">
    <w:abstractNumId w:val="24"/>
  </w:num>
  <w:num w:numId="24" w16cid:durableId="1370687872">
    <w:abstractNumId w:val="7"/>
  </w:num>
  <w:num w:numId="25" w16cid:durableId="1995571961">
    <w:abstractNumId w:val="27"/>
  </w:num>
  <w:num w:numId="26" w16cid:durableId="1393429821">
    <w:abstractNumId w:val="21"/>
  </w:num>
  <w:num w:numId="27" w16cid:durableId="688526749">
    <w:abstractNumId w:val="26"/>
  </w:num>
  <w:num w:numId="28" w16cid:durableId="1446775727">
    <w:abstractNumId w:val="4"/>
  </w:num>
  <w:num w:numId="29" w16cid:durableId="812403698">
    <w:abstractNumId w:val="20"/>
  </w:num>
  <w:num w:numId="30" w16cid:durableId="184710004">
    <w:abstractNumId w:val="12"/>
  </w:num>
  <w:num w:numId="31" w16cid:durableId="38743920">
    <w:abstractNumId w:val="13"/>
  </w:num>
  <w:num w:numId="32" w16cid:durableId="1038169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35320"/>
    <w:rsid w:val="00040549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9F6"/>
    <w:rsid w:val="00066B09"/>
    <w:rsid w:val="00080F46"/>
    <w:rsid w:val="000816C4"/>
    <w:rsid w:val="0008680A"/>
    <w:rsid w:val="000928C0"/>
    <w:rsid w:val="00096155"/>
    <w:rsid w:val="00097107"/>
    <w:rsid w:val="000974CD"/>
    <w:rsid w:val="00097C27"/>
    <w:rsid w:val="000A00ED"/>
    <w:rsid w:val="000A03B9"/>
    <w:rsid w:val="000A3637"/>
    <w:rsid w:val="000C038D"/>
    <w:rsid w:val="000C06BF"/>
    <w:rsid w:val="000C2418"/>
    <w:rsid w:val="000C4F72"/>
    <w:rsid w:val="000C61E1"/>
    <w:rsid w:val="000D20AC"/>
    <w:rsid w:val="000D505E"/>
    <w:rsid w:val="000D6616"/>
    <w:rsid w:val="000D66B7"/>
    <w:rsid w:val="000D7FDA"/>
    <w:rsid w:val="000E2629"/>
    <w:rsid w:val="000E39CD"/>
    <w:rsid w:val="000E6FC1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40DE"/>
    <w:rsid w:val="00146297"/>
    <w:rsid w:val="001472E8"/>
    <w:rsid w:val="00160A91"/>
    <w:rsid w:val="00160B11"/>
    <w:rsid w:val="00163512"/>
    <w:rsid w:val="0016460B"/>
    <w:rsid w:val="00165EC3"/>
    <w:rsid w:val="00166593"/>
    <w:rsid w:val="001801C1"/>
    <w:rsid w:val="00181269"/>
    <w:rsid w:val="00181CB6"/>
    <w:rsid w:val="001824BE"/>
    <w:rsid w:val="00182E07"/>
    <w:rsid w:val="001856F9"/>
    <w:rsid w:val="00187ACD"/>
    <w:rsid w:val="00190142"/>
    <w:rsid w:val="001A03D7"/>
    <w:rsid w:val="001A56F4"/>
    <w:rsid w:val="001A756F"/>
    <w:rsid w:val="001B05DA"/>
    <w:rsid w:val="001B1000"/>
    <w:rsid w:val="001B1DBE"/>
    <w:rsid w:val="001B3F38"/>
    <w:rsid w:val="001B64FA"/>
    <w:rsid w:val="001D7C5A"/>
    <w:rsid w:val="001E22C6"/>
    <w:rsid w:val="001E554C"/>
    <w:rsid w:val="001F25CA"/>
    <w:rsid w:val="001F2C5C"/>
    <w:rsid w:val="001F485E"/>
    <w:rsid w:val="001F5CF3"/>
    <w:rsid w:val="001F6069"/>
    <w:rsid w:val="001F6E1F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73F5"/>
    <w:rsid w:val="002726F5"/>
    <w:rsid w:val="00274261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026E"/>
    <w:rsid w:val="00301F64"/>
    <w:rsid w:val="0030296E"/>
    <w:rsid w:val="00310E97"/>
    <w:rsid w:val="00315B0A"/>
    <w:rsid w:val="00320C6B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D49"/>
    <w:rsid w:val="004241AF"/>
    <w:rsid w:val="0042568A"/>
    <w:rsid w:val="00426F5C"/>
    <w:rsid w:val="00427128"/>
    <w:rsid w:val="004402C8"/>
    <w:rsid w:val="004414C5"/>
    <w:rsid w:val="0045017E"/>
    <w:rsid w:val="00450DC3"/>
    <w:rsid w:val="004521F2"/>
    <w:rsid w:val="004553A6"/>
    <w:rsid w:val="004601E5"/>
    <w:rsid w:val="00464A5C"/>
    <w:rsid w:val="0047767C"/>
    <w:rsid w:val="00495533"/>
    <w:rsid w:val="0049575C"/>
    <w:rsid w:val="004A057C"/>
    <w:rsid w:val="004A3822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4038"/>
    <w:rsid w:val="004D6DB8"/>
    <w:rsid w:val="004E0407"/>
    <w:rsid w:val="004E2006"/>
    <w:rsid w:val="004E2C56"/>
    <w:rsid w:val="004E2DE7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415E8"/>
    <w:rsid w:val="00545CC9"/>
    <w:rsid w:val="00551E5A"/>
    <w:rsid w:val="00552C9D"/>
    <w:rsid w:val="005559B3"/>
    <w:rsid w:val="00556ADB"/>
    <w:rsid w:val="00564B34"/>
    <w:rsid w:val="00571EBB"/>
    <w:rsid w:val="00574D0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01DE9"/>
    <w:rsid w:val="006039C9"/>
    <w:rsid w:val="006112E2"/>
    <w:rsid w:val="00614488"/>
    <w:rsid w:val="00616DE9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423B"/>
    <w:rsid w:val="0068648A"/>
    <w:rsid w:val="00686BAD"/>
    <w:rsid w:val="006934B1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2C44"/>
    <w:rsid w:val="006C6D24"/>
    <w:rsid w:val="006C75DA"/>
    <w:rsid w:val="006D34B8"/>
    <w:rsid w:val="006E1B2A"/>
    <w:rsid w:val="006E5B9F"/>
    <w:rsid w:val="006E7CE7"/>
    <w:rsid w:val="006F289F"/>
    <w:rsid w:val="006F49C0"/>
    <w:rsid w:val="00707DB1"/>
    <w:rsid w:val="00733895"/>
    <w:rsid w:val="00733AEE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4104"/>
    <w:rsid w:val="008077CC"/>
    <w:rsid w:val="00814CA5"/>
    <w:rsid w:val="008163EF"/>
    <w:rsid w:val="00822A90"/>
    <w:rsid w:val="00823879"/>
    <w:rsid w:val="00837DCA"/>
    <w:rsid w:val="00840178"/>
    <w:rsid w:val="0084376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292C"/>
    <w:rsid w:val="008E365F"/>
    <w:rsid w:val="008F334A"/>
    <w:rsid w:val="008F33C9"/>
    <w:rsid w:val="00902C9E"/>
    <w:rsid w:val="0090643E"/>
    <w:rsid w:val="009065A1"/>
    <w:rsid w:val="0090783A"/>
    <w:rsid w:val="00907949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66DBB"/>
    <w:rsid w:val="009735CF"/>
    <w:rsid w:val="00976B13"/>
    <w:rsid w:val="00981F1E"/>
    <w:rsid w:val="0099072C"/>
    <w:rsid w:val="00992B89"/>
    <w:rsid w:val="009966E6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4223"/>
    <w:rsid w:val="00A066DF"/>
    <w:rsid w:val="00A06EEA"/>
    <w:rsid w:val="00A071FE"/>
    <w:rsid w:val="00A10DE9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364DC"/>
    <w:rsid w:val="00A42021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A1AFD"/>
    <w:rsid w:val="00AA3FAC"/>
    <w:rsid w:val="00AA614A"/>
    <w:rsid w:val="00AA6696"/>
    <w:rsid w:val="00AA7B4A"/>
    <w:rsid w:val="00AB22D1"/>
    <w:rsid w:val="00AB77E0"/>
    <w:rsid w:val="00AC212B"/>
    <w:rsid w:val="00AC4E1E"/>
    <w:rsid w:val="00AC7774"/>
    <w:rsid w:val="00AD631C"/>
    <w:rsid w:val="00AD6FCE"/>
    <w:rsid w:val="00AE5B5B"/>
    <w:rsid w:val="00AE7CB9"/>
    <w:rsid w:val="00AF116C"/>
    <w:rsid w:val="00AF17F7"/>
    <w:rsid w:val="00AF3FFD"/>
    <w:rsid w:val="00B049B6"/>
    <w:rsid w:val="00B04C13"/>
    <w:rsid w:val="00B04D84"/>
    <w:rsid w:val="00B167EA"/>
    <w:rsid w:val="00B16D15"/>
    <w:rsid w:val="00B26258"/>
    <w:rsid w:val="00B2722D"/>
    <w:rsid w:val="00B27F4F"/>
    <w:rsid w:val="00B412CE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0613"/>
    <w:rsid w:val="00B82A20"/>
    <w:rsid w:val="00B82CF4"/>
    <w:rsid w:val="00B82D1C"/>
    <w:rsid w:val="00B91466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2F90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C2F72"/>
    <w:rsid w:val="00CC3B6D"/>
    <w:rsid w:val="00CC5F83"/>
    <w:rsid w:val="00CD2E3F"/>
    <w:rsid w:val="00CD3A15"/>
    <w:rsid w:val="00CD5B9B"/>
    <w:rsid w:val="00CE0648"/>
    <w:rsid w:val="00CE0D18"/>
    <w:rsid w:val="00CE1223"/>
    <w:rsid w:val="00CE2728"/>
    <w:rsid w:val="00CE33EF"/>
    <w:rsid w:val="00CE5AE7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9A2"/>
    <w:rsid w:val="00D67E6E"/>
    <w:rsid w:val="00D74D0F"/>
    <w:rsid w:val="00D74E6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C5442"/>
    <w:rsid w:val="00DC6EDE"/>
    <w:rsid w:val="00DD0434"/>
    <w:rsid w:val="00DE214A"/>
    <w:rsid w:val="00DF29FA"/>
    <w:rsid w:val="00DF3494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57AB5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4DDF"/>
    <w:rsid w:val="00F16E9C"/>
    <w:rsid w:val="00F2278C"/>
    <w:rsid w:val="00F23D89"/>
    <w:rsid w:val="00F2415D"/>
    <w:rsid w:val="00F363B6"/>
    <w:rsid w:val="00F42805"/>
    <w:rsid w:val="00F4612E"/>
    <w:rsid w:val="00F562B2"/>
    <w:rsid w:val="00F66CFA"/>
    <w:rsid w:val="00F672FF"/>
    <w:rsid w:val="00F74B26"/>
    <w:rsid w:val="00F75120"/>
    <w:rsid w:val="00F80EAC"/>
    <w:rsid w:val="00F8267F"/>
    <w:rsid w:val="00F8344D"/>
    <w:rsid w:val="00F87F10"/>
    <w:rsid w:val="00F90179"/>
    <w:rsid w:val="00F90A29"/>
    <w:rsid w:val="00F9596D"/>
    <w:rsid w:val="00FB444F"/>
    <w:rsid w:val="00FB5C0D"/>
    <w:rsid w:val="00FB66D4"/>
    <w:rsid w:val="00FC5654"/>
    <w:rsid w:val="00FC5B4B"/>
    <w:rsid w:val="00FD0BE1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616D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ve.cz/cs/ochrana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cekcl@gmail.com%20zusm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F3130-3CE2-4FBB-BCD2-CD072104EB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3882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2022-09-27T06:52:00Z</dcterms:created>
  <dcterms:modified xsi:type="dcterms:W3CDTF">2023-03-02T12:25:00Z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