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1F4B58B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03E58691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17681FD3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1099AF82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72EEB722" w14:textId="77777777" w:rsidR="00403385" w:rsidRPr="00B50E10" w:rsidRDefault="00403385" w:rsidP="00403385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4AF49A4C" w14:textId="41A18AE4" w:rsidR="00403385" w:rsidRPr="00B50E10" w:rsidRDefault="00403385" w:rsidP="004033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81C55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4F36E6">
        <w:rPr>
          <w:rFonts w:asciiTheme="minorHAnsi" w:hAnsiTheme="minorHAnsi" w:cstheme="minorHAnsi"/>
          <w:sz w:val="22"/>
          <w:szCs w:val="22"/>
        </w:rPr>
        <w:t xml:space="preserve">, </w:t>
      </w:r>
      <w:r w:rsidR="00EA6186">
        <w:rPr>
          <w:rFonts w:asciiTheme="minorHAnsi" w:hAnsiTheme="minorHAnsi" w:cstheme="minorHAnsi"/>
          <w:sz w:val="22"/>
          <w:szCs w:val="22"/>
        </w:rPr>
        <w:t xml:space="preserve">vedoucí odboru PP – Personální práce a odměňování </w:t>
      </w:r>
    </w:p>
    <w:p w14:paraId="24D034B2" w14:textId="77777777" w:rsidR="00403385" w:rsidRPr="00B50E10" w:rsidRDefault="00403385" w:rsidP="00403385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13A847D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0CF96BCE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57A980BF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1CBD0118" w14:textId="77777777" w:rsidR="00232BF1" w:rsidRPr="00B50E10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19DFCA2A" w14:textId="77777777" w:rsidR="00232BF1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395B7BEF" w14:textId="77777777" w:rsidR="00232BF1" w:rsidRDefault="00232BF1" w:rsidP="00232BF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05AE4F07" w14:textId="77777777" w:rsidR="00232BF1" w:rsidRPr="00B50E10" w:rsidRDefault="00232BF1" w:rsidP="00232BF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0B1A72CC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0B2B8E1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336B4F21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54843806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232BF1">
        <w:rPr>
          <w:rFonts w:asciiTheme="minorHAnsi" w:hAnsiTheme="minorHAnsi" w:cstheme="minorHAnsi"/>
          <w:sz w:val="22"/>
          <w:szCs w:val="22"/>
        </w:rPr>
        <w:tab/>
      </w:r>
      <w:r w:rsidR="004F36E6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E082BDE" w14:textId="77777777" w:rsidR="00232BF1" w:rsidRPr="00B50E10" w:rsidRDefault="00232BF1" w:rsidP="00232BF1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4C411D">
        <w:rPr>
          <w:rStyle w:val="Tun-Znak"/>
          <w:rFonts w:asciiTheme="minorHAnsi" w:hAnsiTheme="minorHAnsi" w:cstheme="minorHAnsi"/>
          <w:sz w:val="22"/>
          <w:szCs w:val="22"/>
        </w:rPr>
        <w:t>problémy dýchacích cest a pohybové problémy s využitím přírodní minerální vody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789BE805" w14:textId="3B967F04" w:rsidR="00BA7175" w:rsidRPr="00232BF1" w:rsidRDefault="00BA7175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32BF1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</w:p>
    <w:p w14:paraId="44C47060" w14:textId="5A2704E6" w:rsidR="00723302" w:rsidRPr="001839C8" w:rsidRDefault="00723302" w:rsidP="00723302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32BF1">
        <w:rPr>
          <w:rStyle w:val="Tun-Znak"/>
          <w:rFonts w:asciiTheme="minorHAnsi" w:hAnsiTheme="minorHAnsi" w:cstheme="minorHAnsi"/>
          <w:b/>
          <w:sz w:val="22"/>
          <w:szCs w:val="22"/>
        </w:rPr>
        <w:tab/>
      </w:r>
      <w:r w:rsidRPr="001839C8">
        <w:rPr>
          <w:rStyle w:val="Tun-Znak"/>
          <w:rFonts w:asciiTheme="minorHAnsi" w:hAnsiTheme="minorHAnsi" w:cstheme="minorHAnsi"/>
          <w:sz w:val="22"/>
          <w:szCs w:val="22"/>
        </w:rPr>
        <w:t>- turnus 10 denní: pobyt 10 dnů, 9 nocí (dále jen 10 denní pobyt)</w:t>
      </w:r>
      <w:r w:rsidRPr="001839C8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33064429" w:rsidR="00BA7175" w:rsidRPr="00232BF1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232BF1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B2418D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5A7E64">
        <w:rPr>
          <w:rStyle w:val="Tun-Znak"/>
          <w:rFonts w:asciiTheme="minorHAnsi" w:hAnsiTheme="minorHAnsi" w:cstheme="minorHAnsi"/>
          <w:sz w:val="22"/>
          <w:szCs w:val="22"/>
        </w:rPr>
        <w:t>68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1F5321D" w14:textId="2D5BB98F" w:rsidR="00971A6D" w:rsidRPr="00232BF1" w:rsidRDefault="00971A6D" w:rsidP="00971A6D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32BF1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10 denní pobyt: do </w:t>
      </w:r>
      <w:r w:rsidR="005A7E64">
        <w:rPr>
          <w:rStyle w:val="Tun-Znak"/>
          <w:rFonts w:asciiTheme="minorHAnsi" w:hAnsiTheme="minorHAnsi" w:cstheme="minorHAnsi"/>
          <w:sz w:val="22"/>
          <w:szCs w:val="22"/>
        </w:rPr>
        <w:t>390</w:t>
      </w:r>
      <w:r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026B5A4D" w14:textId="6671FDB2" w:rsidR="00B03E61" w:rsidRPr="00B2418D" w:rsidRDefault="00B03E61" w:rsidP="00B03E61">
      <w:pPr>
        <w:pStyle w:val="NazevSmernice"/>
        <w:tabs>
          <w:tab w:val="left" w:pos="284"/>
        </w:tabs>
        <w:spacing w:after="0"/>
        <w:jc w:val="both"/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5A7E64">
        <w:rPr>
          <w:rStyle w:val="Tun-Znak"/>
          <w:rFonts w:asciiTheme="minorHAnsi" w:hAnsiTheme="minorHAnsi" w:cstheme="minorHAnsi"/>
          <w:sz w:val="22"/>
          <w:szCs w:val="22"/>
        </w:rPr>
        <w:t xml:space="preserve">5 784 000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>Kč</w:t>
      </w:r>
    </w:p>
    <w:p w14:paraId="030B02D7" w14:textId="6346BD3F" w:rsidR="00BC0F81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08D3001" w14:textId="77777777" w:rsidR="00232BF1" w:rsidRDefault="00EA2CA7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232BF1"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32BF1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nemoci, správný životní styl a </w:t>
      </w:r>
    </w:p>
    <w:p w14:paraId="13775994" w14:textId="77777777" w:rsidR="00232BF1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64B4339E" w14:textId="77777777" w:rsidR="00232BF1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</w:t>
      </w:r>
    </w:p>
    <w:p w14:paraId="702D1EB8" w14:textId="77777777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</w:t>
      </w:r>
    </w:p>
    <w:p w14:paraId="0E006F62" w14:textId="77777777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41BDC3DD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280FD725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 </w:t>
      </w:r>
    </w:p>
    <w:p w14:paraId="02BD6277" w14:textId="0A6C40F2" w:rsidR="00232BF1" w:rsidRPr="00125DDE" w:rsidRDefault="00232BF1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>minimálně jednoho kulturní</w:t>
      </w:r>
      <w:r w:rsidR="001C3837">
        <w:rPr>
          <w:rStyle w:val="Tun-Znak"/>
          <w:rFonts w:asciiTheme="minorHAnsi" w:hAnsiTheme="minorHAnsi" w:cstheme="minorHAnsi"/>
          <w:sz w:val="22"/>
          <w:szCs w:val="22"/>
        </w:rPr>
        <w:t>ho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programu (např. divadelní vystoupení, společenský večer) za pobyt </w:t>
      </w:r>
    </w:p>
    <w:p w14:paraId="36770F4D" w14:textId="77777777" w:rsidR="00232BF1" w:rsidRDefault="00232BF1" w:rsidP="00232BF1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v průběhu    </w:t>
      </w:r>
    </w:p>
    <w:p w14:paraId="6ACC634E" w14:textId="3E0AA4EB" w:rsidR="00232BF1" w:rsidRDefault="00232BF1" w:rsidP="00B2418D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</w:t>
      </w:r>
    </w:p>
    <w:p w14:paraId="1974D886" w14:textId="77777777" w:rsidR="001C3837" w:rsidRDefault="00D3377E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2418D"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425E53" w:rsidRPr="00B2418D">
        <w:rPr>
          <w:rStyle w:val="Tun-Znak"/>
          <w:rFonts w:asciiTheme="minorHAnsi" w:hAnsiTheme="minorHAnsi" w:cstheme="minorHAnsi"/>
          <w:sz w:val="22"/>
          <w:szCs w:val="22"/>
        </w:rPr>
        <w:t>)</w:t>
      </w:r>
      <w:r w:rsidR="005B4CEC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>Příspěvek dle této dohody budou</w:t>
      </w:r>
      <w:r w:rsidR="004B43F5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kromě organizace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čerpat i dceřiné </w:t>
      </w:r>
      <w:r w:rsidR="00971A6D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společnosti organizace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a další majetkově </w:t>
      </w:r>
    </w:p>
    <w:p w14:paraId="3137C931" w14:textId="71B94D36" w:rsidR="00BA2D2F" w:rsidRPr="00B50E10" w:rsidRDefault="001C3837" w:rsidP="00232BF1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   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propojené společnosti organizace. </w:t>
      </w:r>
      <w:r w:rsidR="005B4CEC" w:rsidRPr="00B2418D">
        <w:rPr>
          <w:rStyle w:val="Tun-Znak"/>
          <w:rFonts w:asciiTheme="minorHAnsi" w:hAnsiTheme="minorHAnsi" w:cstheme="minorHAnsi"/>
          <w:sz w:val="22"/>
          <w:szCs w:val="22"/>
        </w:rPr>
        <w:t>Dceřiné a další majetkově propojené společnosti organizace</w:t>
      </w:r>
      <w:r w:rsidR="00B47B9E" w:rsidRPr="00B2418D">
        <w:rPr>
          <w:rStyle w:val="Tun-Znak"/>
          <w:rFonts w:asciiTheme="minorHAnsi" w:hAnsiTheme="minorHAnsi" w:cstheme="minorHAnsi"/>
          <w:sz w:val="22"/>
          <w:szCs w:val="22"/>
        </w:rPr>
        <w:t xml:space="preserve"> jsou tyto</w:t>
      </w:r>
      <w:r w:rsidR="00C468F3" w:rsidRPr="00B2418D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53D36A8A" w14:textId="77777777" w:rsidR="00403385" w:rsidRDefault="00C468F3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 w:rsidRPr="00AE7107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 xml:space="preserve">TŘINECKÉ ŽELEZÁRNY, a.s. 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 w:rsidR="00403385"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70AB0ADE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Strojírny a stavby Třinec,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47674539</w:t>
      </w:r>
    </w:p>
    <w:p w14:paraId="6CCCE593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29400066</w:t>
      </w:r>
    </w:p>
    <w:p w14:paraId="0B902D38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25830716</w:t>
      </w:r>
    </w:p>
    <w:p w14:paraId="352377B7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47675896</w:t>
      </w:r>
    </w:p>
    <w:p w14:paraId="2CB46E10" w14:textId="68C16683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Třinecké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gastroslužby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25838148</w:t>
      </w:r>
    </w:p>
    <w:p w14:paraId="5E86ACA5" w14:textId="1208A215" w:rsidR="00A520BA" w:rsidRDefault="00A520BA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Šroubárna Kyjov, spol. s 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3F7F93">
        <w:rPr>
          <w:rStyle w:val="Tun-Znak"/>
          <w:rFonts w:asciiTheme="minorHAnsi" w:hAnsiTheme="minorHAnsi" w:cstheme="minorHAnsi"/>
          <w:sz w:val="22"/>
          <w:szCs w:val="22"/>
        </w:rPr>
        <w:t>42293588</w:t>
      </w:r>
    </w:p>
    <w:p w14:paraId="20EF39B3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Security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27835481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1485525C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TRIALFA,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25839888</w:t>
      </w:r>
    </w:p>
    <w:p w14:paraId="59B54E17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47672081</w:t>
      </w:r>
    </w:p>
    <w:p w14:paraId="1B81AAD0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REFRASIL,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48395862</w:t>
      </w:r>
    </w:p>
    <w:p w14:paraId="5882BAF6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VÚHŽ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27768953</w:t>
      </w:r>
    </w:p>
    <w:p w14:paraId="2A4B618F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HŽP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26955342</w:t>
      </w:r>
    </w:p>
    <w:p w14:paraId="28EA7DE6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Doprava TŽ,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25398083</w:t>
      </w:r>
    </w:p>
    <w:p w14:paraId="46EC96F4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MATERIALOVÝ A METALURGICKÝ VÝZKUM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25870807</w:t>
      </w:r>
    </w:p>
    <w:p w14:paraId="7D67E388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TŘINECKÁ PROJEKCE,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47677741</w:t>
      </w:r>
    </w:p>
    <w:p w14:paraId="1590D0E5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63474808</w:t>
      </w:r>
    </w:p>
    <w:p w14:paraId="6FAA97A9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BOHEMIA RINGS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49685643</w:t>
      </w:r>
    </w:p>
    <w:p w14:paraId="7E89309E" w14:textId="77777777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Kovárna VIVA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46978496</w:t>
      </w:r>
    </w:p>
    <w:p w14:paraId="701B11E9" w14:textId="36303DB5" w:rsidR="00403385" w:rsidRDefault="00403385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ALPER a.s. (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DSp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Kovárny VIVA)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27126226</w:t>
      </w:r>
    </w:p>
    <w:p w14:paraId="73BC1F85" w14:textId="139E8CD1" w:rsidR="00DC3C9C" w:rsidRDefault="00DC3C9C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SV servisní,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60725974</w:t>
      </w:r>
    </w:p>
    <w:p w14:paraId="598B02DE" w14:textId="77777777" w:rsidR="00403385" w:rsidRDefault="00403385" w:rsidP="00403385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4F9D5CA" w14:textId="77777777" w:rsidR="00403385" w:rsidRDefault="00403385" w:rsidP="00403385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0"/>
          <w:szCs w:val="20"/>
        </w:rPr>
      </w:pPr>
      <w:r>
        <w:rPr>
          <w:rStyle w:val="Tun-Znak"/>
          <w:rFonts w:asciiTheme="minorHAnsi" w:hAnsiTheme="minorHAnsi" w:cstheme="minorHAnsi"/>
          <w:b w:val="0"/>
          <w:sz w:val="20"/>
          <w:szCs w:val="20"/>
        </w:rPr>
        <w:br w:type="page"/>
      </w:r>
    </w:p>
    <w:p w14:paraId="6859A199" w14:textId="0D821F91" w:rsidR="00D3377E" w:rsidRDefault="00D3377E" w:rsidP="0040338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  <w:szCs w:val="20"/>
        </w:rPr>
      </w:pPr>
    </w:p>
    <w:p w14:paraId="174C39A8" w14:textId="0A11CFB2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71187DFB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4F36E6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71FC124F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uhradit lázním</w:t>
      </w:r>
      <w:r w:rsidR="003F7F93">
        <w:rPr>
          <w:rFonts w:asciiTheme="minorHAnsi" w:hAnsiTheme="minorHAnsi" w:cstheme="minorHAnsi"/>
          <w:sz w:val="20"/>
          <w:szCs w:val="20"/>
        </w:rPr>
        <w:t xml:space="preserve"> (resp. zajistit úhradu od dceřiných a dalších majetkově propojených společností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09E15813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</w:t>
      </w:r>
      <w:r w:rsidR="00D560BA">
        <w:rPr>
          <w:rFonts w:asciiTheme="minorHAnsi" w:hAnsiTheme="minorHAnsi" w:cstheme="minorHAnsi"/>
          <w:sz w:val="20"/>
          <w:szCs w:val="20"/>
        </w:rPr>
        <w:t xml:space="preserve">(resp. dceřinými a dalšími majetkově propojenými společnostmi organizace, pokud jsou tyto společnosti specifikovány a vyjmenovány v preambuli této dohody) </w:t>
      </w:r>
      <w:r w:rsidRPr="004D6BF2">
        <w:rPr>
          <w:rFonts w:asciiTheme="minorHAnsi" w:hAnsiTheme="minorHAnsi" w:cstheme="minorHAnsi"/>
          <w:sz w:val="20"/>
          <w:szCs w:val="20"/>
        </w:rPr>
        <w:t>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1B5D13A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3118BD">
        <w:rPr>
          <w:rFonts w:asciiTheme="minorHAnsi" w:hAnsiTheme="minorHAnsi" w:cstheme="minorHAnsi"/>
          <w:sz w:val="20"/>
          <w:szCs w:val="20"/>
        </w:rPr>
        <w:t xml:space="preserve"> </w:t>
      </w:r>
      <w:r w:rsidR="00403385">
        <w:rPr>
          <w:rFonts w:asciiTheme="minorHAnsi" w:hAnsiTheme="minorHAnsi" w:cstheme="minorHAnsi"/>
          <w:sz w:val="20"/>
          <w:szCs w:val="20"/>
        </w:rPr>
        <w:t xml:space="preserve">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53A5F9F2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4F36E6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lastRenderedPageBreak/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2172AB2F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4F36E6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471DDDA0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4F36E6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2E02EF39" w:rsidR="003B544E" w:rsidRPr="00B50E10" w:rsidRDefault="00081C55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Třinci, dne 22.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44AF1E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483DC612" w14:textId="38DEFA49" w:rsidR="00403385" w:rsidRPr="00EA6186" w:rsidRDefault="00081C55" w:rsidP="00403385">
      <w:pPr>
        <w:pStyle w:val="Odstavec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xxxxxx</w:t>
      </w:r>
      <w:proofErr w:type="spellEnd"/>
    </w:p>
    <w:p w14:paraId="04E4859F" w14:textId="77777777" w:rsidR="00403385" w:rsidRPr="00B50E10" w:rsidRDefault="00403385" w:rsidP="00403385">
      <w:pPr>
        <w:pStyle w:val="Odstavec"/>
        <w:rPr>
          <w:rFonts w:asciiTheme="minorHAnsi" w:hAnsiTheme="minorHAnsi" w:cstheme="minorHAnsi"/>
        </w:rPr>
      </w:pPr>
      <w:r w:rsidRPr="00EA6186">
        <w:rPr>
          <w:rFonts w:asciiTheme="minorHAnsi" w:hAnsiTheme="minorHAnsi" w:cstheme="minorHAnsi"/>
        </w:rPr>
        <w:t>vedoucí odboru PP – Personální práce a odměňování</w:t>
      </w:r>
    </w:p>
    <w:p w14:paraId="4DE6D983" w14:textId="77777777" w:rsidR="00403385" w:rsidRDefault="00403385" w:rsidP="00403385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TŘINECKÉ ŽELEZÁRNY, a.s. </w:t>
      </w:r>
    </w:p>
    <w:p w14:paraId="2C334BA3" w14:textId="77777777" w:rsidR="00403385" w:rsidRDefault="00403385" w:rsidP="00403385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3FCC6DC6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209C1ED9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</w:p>
    <w:p w14:paraId="6F619070" w14:textId="5D348BA6" w:rsidR="007A5451" w:rsidRPr="00B50E10" w:rsidRDefault="00081C55" w:rsidP="007A5451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 Luhačovicích, dne 27. 2. 2023</w:t>
      </w:r>
    </w:p>
    <w:p w14:paraId="0CEF0DA7" w14:textId="77777777" w:rsidR="007A5451" w:rsidRPr="00B50E10" w:rsidRDefault="007A5451" w:rsidP="007A545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9EB87F9" w14:textId="77777777" w:rsidR="007A5451" w:rsidRPr="00B50E10" w:rsidRDefault="007A5451" w:rsidP="007A545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CC4029" w14:textId="77777777" w:rsidR="007A5451" w:rsidRPr="00B50E10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5C64388" w14:textId="77777777" w:rsidR="007A5451" w:rsidRPr="004C411D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4C411D">
        <w:rPr>
          <w:rFonts w:asciiTheme="minorHAnsi" w:hAnsiTheme="minorHAnsi" w:cstheme="minorHAnsi"/>
          <w:sz w:val="20"/>
          <w:szCs w:val="20"/>
        </w:rPr>
        <w:t>Anna Kneblová</w:t>
      </w:r>
    </w:p>
    <w:p w14:paraId="72197BC4" w14:textId="77777777" w:rsidR="007A5451" w:rsidRPr="00B50E10" w:rsidRDefault="007A5451" w:rsidP="007A545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</w:t>
      </w:r>
      <w:r w:rsidRPr="004C411D">
        <w:rPr>
          <w:rFonts w:asciiTheme="minorHAnsi" w:hAnsiTheme="minorHAnsi" w:cstheme="minorHAnsi"/>
          <w:sz w:val="20"/>
          <w:szCs w:val="20"/>
        </w:rPr>
        <w:t xml:space="preserve">ednatelka </w:t>
      </w:r>
    </w:p>
    <w:p w14:paraId="56ADF35B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6A5DCC4A" w14:textId="77777777" w:rsidR="007A5451" w:rsidRPr="00B50E10" w:rsidRDefault="007A5451" w:rsidP="007A5451">
      <w:pPr>
        <w:pStyle w:val="Odstavec"/>
        <w:rPr>
          <w:rFonts w:asciiTheme="minorHAnsi" w:hAnsiTheme="minorHAnsi" w:cstheme="minorHAnsi"/>
        </w:rPr>
      </w:pP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40E0FF7E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637618">
        <w:rPr>
          <w:rFonts w:asciiTheme="minorHAnsi" w:hAnsiTheme="minorHAnsi" w:cstheme="minorHAnsi"/>
          <w:sz w:val="20"/>
          <w:szCs w:val="20"/>
        </w:rPr>
        <w:t xml:space="preserve">dne </w:t>
      </w:r>
      <w:r w:rsidR="00081C55">
        <w:rPr>
          <w:rFonts w:asciiTheme="minorHAnsi" w:hAnsiTheme="minorHAnsi" w:cstheme="minorHAnsi"/>
          <w:sz w:val="20"/>
          <w:szCs w:val="20"/>
        </w:rPr>
        <w:t>14. 2. 2023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FDB7A6C" w:rsidR="00A3626A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1F47201" w14:textId="77777777" w:rsidR="00637618" w:rsidRPr="00B50E10" w:rsidRDefault="00637618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7C36D2F8" w:rsidR="0005550D" w:rsidRPr="00B50E10" w:rsidRDefault="00637618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27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  <w:gridCol w:w="1276"/>
      </w:tblGrid>
      <w:tr w:rsidR="00880CE1" w:rsidRPr="00CD69B7" w14:paraId="35CBAA51" w14:textId="78963D95" w:rsidTr="00880CE1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vAlign w:val="center"/>
          </w:tcPr>
          <w:p w14:paraId="0F291307" w14:textId="3ED4DC4A" w:rsidR="00880CE1" w:rsidRPr="00880CE1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  <w:tc>
          <w:tcPr>
            <w:tcW w:w="1276" w:type="dxa"/>
            <w:vAlign w:val="center"/>
          </w:tcPr>
          <w:p w14:paraId="465A8AA9" w14:textId="638674FB" w:rsidR="00880CE1" w:rsidRPr="00B2418D" w:rsidRDefault="00880CE1" w:rsidP="00CD69B7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 denní</w:t>
            </w:r>
          </w:p>
        </w:tc>
      </w:tr>
      <w:tr w:rsidR="00880CE1" w:rsidRPr="00CD69B7" w14:paraId="73E02F9E" w14:textId="4EC835D5" w:rsidTr="00880CE1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880CE1" w:rsidRPr="00CD69B7" w:rsidRDefault="00880CE1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E487D96" w:rsidR="00880CE1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829</w:t>
            </w:r>
          </w:p>
        </w:tc>
        <w:tc>
          <w:tcPr>
            <w:tcW w:w="1276" w:type="dxa"/>
            <w:vAlign w:val="center"/>
          </w:tcPr>
          <w:p w14:paraId="2F552E8E" w14:textId="1E06C952" w:rsidR="00880CE1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829</w:t>
            </w:r>
          </w:p>
        </w:tc>
      </w:tr>
      <w:tr w:rsidR="00880CE1" w:rsidRPr="00CD69B7" w14:paraId="4D974E7A" w14:textId="5719EACC" w:rsidTr="00880CE1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056622DD" w:rsidR="00880CE1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1276" w:type="dxa"/>
            <w:vAlign w:val="center"/>
          </w:tcPr>
          <w:p w14:paraId="630FE6FF" w14:textId="3A54241E" w:rsidR="00880CE1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</w:tr>
      <w:tr w:rsidR="00880CE1" w:rsidRPr="00CD69B7" w14:paraId="0DAB9080" w14:textId="0733121C" w:rsidTr="00880CE1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48FA76B4" w:rsidR="00880CE1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357</w:t>
            </w:r>
          </w:p>
        </w:tc>
        <w:tc>
          <w:tcPr>
            <w:tcW w:w="1276" w:type="dxa"/>
            <w:vAlign w:val="center"/>
          </w:tcPr>
          <w:p w14:paraId="32355EE3" w14:textId="4BA8AF22" w:rsidR="00880CE1" w:rsidRPr="00B2418D" w:rsidRDefault="00880CE1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37618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</w:tr>
      <w:tr w:rsidR="00880CE1" w:rsidRPr="00CD69B7" w14:paraId="2B8ECF50" w14:textId="39821DCF" w:rsidTr="00880CE1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215379BB" w:rsidR="00880CE1" w:rsidRPr="00B2418D" w:rsidRDefault="00880CE1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637618">
              <w:rPr>
                <w:rFonts w:asciiTheme="minorHAnsi" w:hAnsiTheme="minorHAnsi" w:cstheme="minorHAnsi"/>
                <w:sz w:val="20"/>
                <w:szCs w:val="20"/>
              </w:rPr>
              <w:t>658</w:t>
            </w:r>
          </w:p>
        </w:tc>
        <w:tc>
          <w:tcPr>
            <w:tcW w:w="1276" w:type="dxa"/>
            <w:vAlign w:val="center"/>
          </w:tcPr>
          <w:p w14:paraId="617497A1" w14:textId="1A71AE43" w:rsidR="00880CE1" w:rsidRPr="00B2418D" w:rsidRDefault="00880CE1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r w:rsidR="00637618">
              <w:rPr>
                <w:rFonts w:asciiTheme="minorHAnsi" w:hAnsiTheme="minorHAnsi" w:cstheme="minorHAnsi"/>
                <w:sz w:val="20"/>
                <w:szCs w:val="20"/>
              </w:rPr>
              <w:t>658</w:t>
            </w:r>
          </w:p>
        </w:tc>
      </w:tr>
      <w:tr w:rsidR="00880CE1" w:rsidRPr="00CD69B7" w14:paraId="1BFD70E6" w14:textId="5470F2E9" w:rsidTr="00880CE1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880CE1" w:rsidRPr="00CD69B7" w:rsidRDefault="00880CE1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57A42E88" w:rsidR="00880CE1" w:rsidRPr="00B2418D" w:rsidRDefault="00880CE1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37618">
              <w:rPr>
                <w:rFonts w:asciiTheme="minorHAnsi" w:hAnsiTheme="minorHAnsi" w:cstheme="minorHAnsi"/>
                <w:sz w:val="20"/>
                <w:szCs w:val="20"/>
              </w:rPr>
              <w:t>1 606</w:t>
            </w:r>
          </w:p>
        </w:tc>
        <w:tc>
          <w:tcPr>
            <w:tcW w:w="1276" w:type="dxa"/>
            <w:vAlign w:val="center"/>
          </w:tcPr>
          <w:p w14:paraId="3AF0CC68" w14:textId="40AE42AF" w:rsidR="00880CE1" w:rsidRPr="00B2418D" w:rsidRDefault="0063761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14 922</w:t>
            </w:r>
          </w:p>
        </w:tc>
      </w:tr>
      <w:tr w:rsidR="00880CE1" w:rsidRPr="00CD69B7" w14:paraId="57C9BE65" w14:textId="51650BA6" w:rsidTr="00880CE1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880CE1" w:rsidRPr="00CD69B7" w:rsidRDefault="00880CE1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78410265" w:rsidR="00880CE1" w:rsidRPr="00B2418D" w:rsidRDefault="0063761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10 155</w:t>
            </w:r>
          </w:p>
        </w:tc>
        <w:tc>
          <w:tcPr>
            <w:tcW w:w="1276" w:type="dxa"/>
            <w:vAlign w:val="center"/>
          </w:tcPr>
          <w:p w14:paraId="369991F8" w14:textId="77777777" w:rsidR="00637618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53FD92" w14:textId="7105E030" w:rsidR="00880CE1" w:rsidRDefault="00880CE1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18D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37618">
              <w:rPr>
                <w:rFonts w:asciiTheme="minorHAnsi" w:hAnsiTheme="minorHAnsi" w:cstheme="minorHAnsi"/>
                <w:sz w:val="20"/>
                <w:szCs w:val="20"/>
              </w:rPr>
              <w:t>3 057</w:t>
            </w:r>
          </w:p>
          <w:p w14:paraId="6BBF458A" w14:textId="39A72570" w:rsidR="00637618" w:rsidRPr="00B2418D" w:rsidRDefault="00637618" w:rsidP="00716046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80CE1" w:rsidRPr="00CD69B7" w14:paraId="114E9DF2" w14:textId="46BDDEC9" w:rsidTr="00880CE1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880CE1" w:rsidRPr="00CD69B7" w:rsidRDefault="00880CE1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09768940" w:rsidR="00880CE1" w:rsidRPr="00B2418D" w:rsidRDefault="0063761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1 451</w:t>
            </w:r>
          </w:p>
        </w:tc>
        <w:tc>
          <w:tcPr>
            <w:tcW w:w="1276" w:type="dxa"/>
            <w:vAlign w:val="center"/>
          </w:tcPr>
          <w:p w14:paraId="3D56F9DF" w14:textId="237C20D0" w:rsidR="00880CE1" w:rsidRPr="00B2418D" w:rsidRDefault="00637618" w:rsidP="00CD69B7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1 865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6C0386C1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637618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09A1F5CD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3385">
        <w:rPr>
          <w:noProof/>
        </w:rPr>
        <w:drawing>
          <wp:inline distT="0" distB="0" distL="0" distR="0" wp14:anchorId="255F78DD" wp14:editId="5AAC8363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F2266" w14:textId="1FD95DA4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8D870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255B5C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5E5586FC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637618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1C55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54ABF"/>
    <w:rsid w:val="00164942"/>
    <w:rsid w:val="001839C8"/>
    <w:rsid w:val="001871C4"/>
    <w:rsid w:val="00191F91"/>
    <w:rsid w:val="001A162F"/>
    <w:rsid w:val="001A17CE"/>
    <w:rsid w:val="001A41B5"/>
    <w:rsid w:val="001A443E"/>
    <w:rsid w:val="001A486C"/>
    <w:rsid w:val="001B45D0"/>
    <w:rsid w:val="001C3837"/>
    <w:rsid w:val="001C5025"/>
    <w:rsid w:val="001C7942"/>
    <w:rsid w:val="001E39F5"/>
    <w:rsid w:val="001F567B"/>
    <w:rsid w:val="00223018"/>
    <w:rsid w:val="00232BF1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3F7F93"/>
    <w:rsid w:val="004026A7"/>
    <w:rsid w:val="00403385"/>
    <w:rsid w:val="00406C4A"/>
    <w:rsid w:val="004121E3"/>
    <w:rsid w:val="00417748"/>
    <w:rsid w:val="004220B3"/>
    <w:rsid w:val="00425399"/>
    <w:rsid w:val="00425E53"/>
    <w:rsid w:val="00427401"/>
    <w:rsid w:val="004411C2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4F36E6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A7E64"/>
    <w:rsid w:val="005B05AE"/>
    <w:rsid w:val="005B4CEC"/>
    <w:rsid w:val="005C6C71"/>
    <w:rsid w:val="005D2196"/>
    <w:rsid w:val="005E46B3"/>
    <w:rsid w:val="005F151B"/>
    <w:rsid w:val="00600373"/>
    <w:rsid w:val="00611B99"/>
    <w:rsid w:val="00621035"/>
    <w:rsid w:val="00630507"/>
    <w:rsid w:val="00630F8A"/>
    <w:rsid w:val="00637618"/>
    <w:rsid w:val="00641787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046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451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2914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0CE1"/>
    <w:rsid w:val="00882725"/>
    <w:rsid w:val="00884161"/>
    <w:rsid w:val="008A4A2D"/>
    <w:rsid w:val="008C5FBB"/>
    <w:rsid w:val="008E735E"/>
    <w:rsid w:val="008F3E23"/>
    <w:rsid w:val="008F5A18"/>
    <w:rsid w:val="00923BEB"/>
    <w:rsid w:val="0093480B"/>
    <w:rsid w:val="00936839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51223"/>
    <w:rsid w:val="00A520BA"/>
    <w:rsid w:val="00A63BAD"/>
    <w:rsid w:val="00A65FF3"/>
    <w:rsid w:val="00A74A28"/>
    <w:rsid w:val="00A75B0A"/>
    <w:rsid w:val="00A76E30"/>
    <w:rsid w:val="00A92D3B"/>
    <w:rsid w:val="00AA22E2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2418D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560BA"/>
    <w:rsid w:val="00D66711"/>
    <w:rsid w:val="00D76953"/>
    <w:rsid w:val="00D90BC0"/>
    <w:rsid w:val="00D94D33"/>
    <w:rsid w:val="00D96C3A"/>
    <w:rsid w:val="00DB31C6"/>
    <w:rsid w:val="00DB4510"/>
    <w:rsid w:val="00DB66B9"/>
    <w:rsid w:val="00DC3C9C"/>
    <w:rsid w:val="00DC59DA"/>
    <w:rsid w:val="00DC5E3E"/>
    <w:rsid w:val="00DE2FFE"/>
    <w:rsid w:val="00DE32C8"/>
    <w:rsid w:val="00DE5D41"/>
    <w:rsid w:val="00DF1C32"/>
    <w:rsid w:val="00DF3526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186"/>
    <w:rsid w:val="00EA6827"/>
    <w:rsid w:val="00EB7B18"/>
    <w:rsid w:val="00ED0824"/>
    <w:rsid w:val="00EE267D"/>
    <w:rsid w:val="00EE553A"/>
    <w:rsid w:val="00F024F2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  <w:style w:type="paragraph" w:styleId="Revize">
    <w:name w:val="Revision"/>
    <w:hidden/>
    <w:uiPriority w:val="99"/>
    <w:semiHidden/>
    <w:rsid w:val="004220B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A6B91500A6BB7300048B69AC12583A7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5904-B611-4090-A7EF-A334A397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2999</Words>
  <Characters>17695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9</cp:revision>
  <cp:lastPrinted>2019-12-18T08:53:00Z</cp:lastPrinted>
  <dcterms:created xsi:type="dcterms:W3CDTF">2023-01-31T16:50:00Z</dcterms:created>
  <dcterms:modified xsi:type="dcterms:W3CDTF">2023-03-02T08:07:00Z</dcterms:modified>
</cp:coreProperties>
</file>