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02EDB83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190B38" w:rsidRPr="004F78D0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0CF52394" w:rsidR="00005867" w:rsidRPr="00781562" w:rsidRDefault="007A3A72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A3A72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</w:t>
      </w:r>
    </w:p>
    <w:p w14:paraId="3353B428" w14:textId="4F953D9D" w:rsidR="00997E47" w:rsidRPr="00940E63" w:rsidRDefault="00940E63" w:rsidP="00940E63">
      <w:pPr>
        <w:spacing w:before="12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940E63">
        <w:rPr>
          <w:rFonts w:asciiTheme="minorHAnsi" w:hAnsiTheme="minorHAnsi" w:cstheme="minorHAnsi"/>
          <w:sz w:val="24"/>
          <w:szCs w:val="24"/>
        </w:rPr>
        <w:t>uzavřený níže uvedeného dne mezi</w:t>
      </w:r>
    </w:p>
    <w:p w14:paraId="2987A7CD" w14:textId="77777777" w:rsidR="00940E63" w:rsidRDefault="00940E6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14:paraId="2D695828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9951F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RBP, zdravotní pojišťovna</w:t>
      </w:r>
    </w:p>
    <w:p w14:paraId="3D67C295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952B8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Michálkovická 967/108, 710 00 Ostrava – Slezská Ostrava</w:t>
      </w:r>
    </w:p>
    <w:p w14:paraId="50A0B5FB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CB6D4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Ing. Antonínem Klimšou, MBA, výkonným ředitelem</w:t>
      </w:r>
    </w:p>
    <w:p w14:paraId="40722E95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476 73 036</w:t>
      </w:r>
    </w:p>
    <w:p w14:paraId="7771E025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CZ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47673036</w:t>
      </w:r>
    </w:p>
    <w:p w14:paraId="66B0D95C" w14:textId="77777777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76683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 Krajského soudu v Ostravě, oddíl AXIV, vložka 554</w:t>
      </w:r>
    </w:p>
    <w:p w14:paraId="298F8A3F" w14:textId="2378E3D2" w:rsidR="009135CD" w:rsidRPr="00781562" w:rsidRDefault="009135CD" w:rsidP="009135C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Pr="009135CD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</w:p>
    <w:p w14:paraId="2CF8F037" w14:textId="66B7D499" w:rsidR="00997E47" w:rsidRPr="00781562" w:rsidRDefault="009135CD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Číslo účtu: </w:t>
      </w:r>
      <w:proofErr w:type="spellStart"/>
      <w:r w:rsidRPr="009135CD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4A2742D1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190B3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190B38">
        <w:rPr>
          <w:rFonts w:asciiTheme="minorHAnsi" w:hAnsiTheme="minorHAnsi" w:cstheme="minorBidi"/>
          <w:b/>
          <w:bCs/>
          <w:sz w:val="24"/>
          <w:szCs w:val="24"/>
        </w:rPr>
        <w:tab/>
        <w:t>Bayer AG</w:t>
      </w:r>
    </w:p>
    <w:p w14:paraId="6C618C4D" w14:textId="3EB5E841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190B3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190B3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190B38"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Kaiser Wilhelm </w:t>
      </w:r>
      <w:proofErr w:type="spellStart"/>
      <w:r w:rsidR="00190B38" w:rsidRPr="00190B38">
        <w:rPr>
          <w:rFonts w:asciiTheme="minorHAnsi" w:hAnsiTheme="minorHAnsi" w:cstheme="minorBidi"/>
          <w:b/>
          <w:bCs/>
          <w:sz w:val="24"/>
          <w:szCs w:val="24"/>
        </w:rPr>
        <w:t>Allee</w:t>
      </w:r>
      <w:proofErr w:type="spellEnd"/>
      <w:r w:rsidR="00190B38"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 1, </w:t>
      </w:r>
      <w:proofErr w:type="spellStart"/>
      <w:r w:rsidR="00190B38" w:rsidRPr="00190B38">
        <w:rPr>
          <w:rFonts w:asciiTheme="minorHAnsi" w:hAnsiTheme="minorHAnsi" w:cstheme="minorBidi"/>
          <w:b/>
          <w:bCs/>
          <w:sz w:val="24"/>
          <w:szCs w:val="24"/>
        </w:rPr>
        <w:t>Leverkusen</w:t>
      </w:r>
      <w:proofErr w:type="spellEnd"/>
      <w:r w:rsidR="00190B38" w:rsidRPr="00190B38">
        <w:rPr>
          <w:rFonts w:asciiTheme="minorHAnsi" w:hAnsiTheme="minorHAnsi" w:cstheme="minorBidi"/>
          <w:b/>
          <w:bCs/>
          <w:sz w:val="24"/>
          <w:szCs w:val="24"/>
        </w:rPr>
        <w:t>, Spolková republika Německo</w:t>
      </w:r>
    </w:p>
    <w:p w14:paraId="70625D31" w14:textId="1B43FD50" w:rsidR="00190B38" w:rsidRDefault="612DF656" w:rsidP="3288EF0E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288EF0E">
        <w:rPr>
          <w:rFonts w:asciiTheme="minorHAnsi" w:hAnsiTheme="minorHAnsi" w:cstheme="minorBidi"/>
          <w:b/>
          <w:bCs/>
          <w:sz w:val="24"/>
          <w:szCs w:val="24"/>
        </w:rPr>
        <w:t xml:space="preserve">Zapsaný v obchodním rejstříku vedeném u Okresního soudu </w:t>
      </w:r>
      <w:proofErr w:type="spellStart"/>
      <w:r w:rsidRPr="3288EF0E">
        <w:rPr>
          <w:rFonts w:asciiTheme="minorHAnsi" w:hAnsiTheme="minorHAnsi" w:cstheme="minorBidi"/>
          <w:b/>
          <w:bCs/>
          <w:sz w:val="24"/>
          <w:szCs w:val="24"/>
        </w:rPr>
        <w:t>Köln</w:t>
      </w:r>
      <w:proofErr w:type="spellEnd"/>
      <w:r w:rsidRPr="3288EF0E">
        <w:rPr>
          <w:rFonts w:asciiTheme="minorHAnsi" w:hAnsiTheme="minorHAnsi" w:cstheme="minorBidi"/>
          <w:b/>
          <w:bCs/>
          <w:sz w:val="24"/>
          <w:szCs w:val="24"/>
        </w:rPr>
        <w:t xml:space="preserve"> pod </w:t>
      </w:r>
      <w:proofErr w:type="spellStart"/>
      <w:r w:rsidRPr="3288EF0E">
        <w:rPr>
          <w:rFonts w:asciiTheme="minorHAnsi" w:hAnsiTheme="minorHAnsi" w:cstheme="minorBidi"/>
          <w:b/>
          <w:bCs/>
          <w:sz w:val="24"/>
          <w:szCs w:val="24"/>
        </w:rPr>
        <w:t>reg</w:t>
      </w:r>
      <w:proofErr w:type="spellEnd"/>
      <w:r w:rsidRPr="3288EF0E">
        <w:rPr>
          <w:rFonts w:asciiTheme="minorHAnsi" w:hAnsiTheme="minorHAnsi" w:cstheme="minorBidi"/>
          <w:b/>
          <w:bCs/>
          <w:sz w:val="24"/>
          <w:szCs w:val="24"/>
        </w:rPr>
        <w:t xml:space="preserve">. č. HRB 48248 Zastoupený na základě plné moci </w:t>
      </w:r>
      <w:r w:rsidR="6A6106B8" w:rsidRPr="3288EF0E">
        <w:rPr>
          <w:rFonts w:asciiTheme="minorHAnsi" w:hAnsiTheme="minorHAnsi" w:cstheme="minorBidi"/>
          <w:b/>
          <w:bCs/>
          <w:sz w:val="24"/>
          <w:szCs w:val="24"/>
        </w:rPr>
        <w:t xml:space="preserve">ze dne </w:t>
      </w:r>
      <w:r w:rsidR="006E2055">
        <w:rPr>
          <w:rFonts w:asciiTheme="minorHAnsi" w:hAnsiTheme="minorHAnsi" w:cstheme="minorBidi"/>
          <w:b/>
          <w:bCs/>
          <w:sz w:val="24"/>
          <w:szCs w:val="24"/>
        </w:rPr>
        <w:t>26. 8. 2018</w:t>
      </w:r>
    </w:p>
    <w:p w14:paraId="6FFA8FB3" w14:textId="0D0DE2AF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Zástupcem: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190B38">
        <w:rPr>
          <w:rFonts w:asciiTheme="minorHAnsi" w:hAnsiTheme="minorHAnsi" w:cstheme="minorBidi"/>
          <w:b/>
          <w:bCs/>
          <w:sz w:val="24"/>
          <w:szCs w:val="24"/>
        </w:rPr>
        <w:t>BAYER s.r.o.</w:t>
      </w:r>
    </w:p>
    <w:p w14:paraId="7A67ABED" w14:textId="1858EE17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Sídlo: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proofErr w:type="spellStart"/>
      <w:r w:rsidRPr="00190B38">
        <w:rPr>
          <w:rFonts w:asciiTheme="minorHAnsi" w:hAnsiTheme="minorHAnsi" w:cstheme="minorBidi"/>
          <w:b/>
          <w:bCs/>
          <w:sz w:val="24"/>
          <w:szCs w:val="24"/>
        </w:rPr>
        <w:t>Siemensova</w:t>
      </w:r>
      <w:proofErr w:type="spellEnd"/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 2717/4, 155 00 Praha 5</w:t>
      </w:r>
    </w:p>
    <w:p w14:paraId="763BA47F" w14:textId="10265C99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Zapsaná: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Městský soud v Praze, </w:t>
      </w:r>
      <w:proofErr w:type="spellStart"/>
      <w:r w:rsidRPr="00190B38">
        <w:rPr>
          <w:rFonts w:asciiTheme="minorHAnsi" w:hAnsiTheme="minorHAnsi" w:cstheme="minorBidi"/>
          <w:b/>
          <w:bCs/>
          <w:sz w:val="24"/>
          <w:szCs w:val="24"/>
        </w:rPr>
        <w:t>sp</w:t>
      </w:r>
      <w:proofErr w:type="spellEnd"/>
      <w:r w:rsidRPr="00190B38">
        <w:rPr>
          <w:rFonts w:asciiTheme="minorHAnsi" w:hAnsiTheme="minorHAnsi" w:cstheme="minorBidi"/>
          <w:b/>
          <w:bCs/>
          <w:sz w:val="24"/>
          <w:szCs w:val="24"/>
        </w:rPr>
        <w:t>. zn. C 391 00565474</w:t>
      </w:r>
    </w:p>
    <w:p w14:paraId="692290A6" w14:textId="547A9E9C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IČO: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  <w:t>00565474</w:t>
      </w:r>
    </w:p>
    <w:p w14:paraId="6E141B86" w14:textId="16261FCD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DIČ: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190B38">
        <w:rPr>
          <w:rFonts w:asciiTheme="minorHAnsi" w:hAnsiTheme="minorHAnsi" w:cstheme="minorBidi"/>
          <w:b/>
          <w:bCs/>
          <w:sz w:val="24"/>
          <w:szCs w:val="24"/>
        </w:rPr>
        <w:t>CZ00565474</w:t>
      </w:r>
    </w:p>
    <w:p w14:paraId="14251B06" w14:textId="61B89E4A" w:rsid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Zastoupeným: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MUDr. Jiří </w:t>
      </w:r>
      <w:proofErr w:type="spellStart"/>
      <w:r w:rsidRPr="00190B38">
        <w:rPr>
          <w:rFonts w:asciiTheme="minorHAnsi" w:hAnsiTheme="minorHAnsi" w:cstheme="minorBidi"/>
          <w:b/>
          <w:bCs/>
          <w:sz w:val="24"/>
          <w:szCs w:val="24"/>
        </w:rPr>
        <w:t>Hostýnek</w:t>
      </w:r>
      <w:proofErr w:type="spellEnd"/>
      <w:r w:rsidRPr="00190B38">
        <w:rPr>
          <w:rFonts w:asciiTheme="minorHAnsi" w:hAnsiTheme="minorHAnsi" w:cstheme="minorBidi"/>
          <w:b/>
          <w:bCs/>
          <w:sz w:val="24"/>
          <w:szCs w:val="24"/>
        </w:rPr>
        <w:t>, prokurista</w:t>
      </w:r>
    </w:p>
    <w:p w14:paraId="6B1191FC" w14:textId="33628FED" w:rsid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Bankovní spojení: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A3A72" w:rsidRPr="007A3A72">
        <w:rPr>
          <w:rFonts w:asciiTheme="minorHAnsi" w:hAnsiTheme="minorHAnsi" w:cstheme="minorBidi"/>
          <w:b/>
          <w:bCs/>
          <w:sz w:val="24"/>
          <w:szCs w:val="24"/>
          <w:highlight w:val="black"/>
        </w:rPr>
        <w:t>XXXXXXXXXXXX</w:t>
      </w:r>
    </w:p>
    <w:p w14:paraId="1470E11D" w14:textId="6738428C" w:rsidR="00190B38" w:rsidRPr="00190B38" w:rsidRDefault="00190B38" w:rsidP="00190B3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 xml:space="preserve">Číslo účtu: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="00272B52" w:rsidRPr="00272B52">
        <w:rPr>
          <w:rFonts w:asciiTheme="minorHAnsi" w:hAnsiTheme="minorHAnsi" w:cstheme="minorBidi"/>
          <w:b/>
          <w:bCs/>
          <w:sz w:val="24"/>
          <w:szCs w:val="24"/>
          <w:highlight w:val="black"/>
        </w:rPr>
        <w:t>XXXXXXXXXXXX</w:t>
      </w:r>
    </w:p>
    <w:p w14:paraId="61266851" w14:textId="10FDD595" w:rsidR="00E4237A" w:rsidRPr="00781562" w:rsidRDefault="00190B38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190B38">
        <w:rPr>
          <w:rFonts w:asciiTheme="minorHAnsi" w:hAnsiTheme="minorHAnsi" w:cstheme="minorBidi"/>
          <w:b/>
          <w:bCs/>
          <w:sz w:val="24"/>
          <w:szCs w:val="24"/>
        </w:rPr>
        <w:t>(dále jen „Držitel“)</w:t>
      </w: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6CDE006" w:rsidR="00E358D5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31847A8" w14:textId="6581CD13" w:rsidR="00C36D09" w:rsidRDefault="00C36D09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FA531F6" w14:textId="77777777" w:rsidR="00C36D09" w:rsidRPr="00781562" w:rsidRDefault="00C36D09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05BA8A2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31286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17.8.2022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proofErr w:type="spellStart"/>
      <w:r w:rsidR="009135CD" w:rsidRPr="009135CD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  <w:r w:rsidR="009135CD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3F7A7EF6" w:rsidR="00997E47" w:rsidRPr="00C36D09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57AC4A71" w14:textId="77777777" w:rsidR="00C36D09" w:rsidRPr="00781562" w:rsidRDefault="00C36D09" w:rsidP="00C36D09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202B13F0" w:rsidR="00997E47" w:rsidRPr="004B78C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90B38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190B38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90B38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="00190B38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4B78C2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8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Pr="004B78C2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1"/>
      <w:r w:rsidRPr="004B78C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10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190B38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="00E4237A" w:rsidRPr="004B78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7658B25C" w14:textId="52762919" w:rsidR="000B2019" w:rsidRPr="00C71517" w:rsidRDefault="000B2019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71517">
        <w:rPr>
          <w:rFonts w:asciiTheme="minorHAnsi" w:hAnsiTheme="minorHAnsi" w:cstheme="minorHAnsi"/>
          <w:color w:val="000000"/>
          <w:sz w:val="24"/>
          <w:szCs w:val="24"/>
        </w:rPr>
        <w:t xml:space="preserve">Ustanovení Článku V. odst. 6 Smlouvy </w:t>
      </w:r>
      <w:r w:rsidR="00C71517" w:rsidRPr="00C71517">
        <w:rPr>
          <w:rFonts w:asciiTheme="minorHAnsi" w:hAnsiTheme="minorHAnsi" w:cstheme="minorHAnsi"/>
          <w:color w:val="000000"/>
          <w:sz w:val="24"/>
          <w:szCs w:val="24"/>
        </w:rPr>
        <w:t>nově zní:</w:t>
      </w:r>
    </w:p>
    <w:p w14:paraId="1A139048" w14:textId="463EDAD5" w:rsidR="00C71517" w:rsidRPr="00C71517" w:rsidRDefault="00C71517" w:rsidP="00C71517">
      <w:pPr>
        <w:spacing w:before="120" w:after="120" w:line="300" w:lineRule="atLeast"/>
        <w:ind w:left="1418" w:hanging="567"/>
        <w:jc w:val="both"/>
        <w:outlineLvl w:val="2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„6.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</w:r>
      <w:r w:rsidRPr="00C7151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od 1.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11</w:t>
      </w:r>
      <w:r w:rsidRPr="00C71517">
        <w:rPr>
          <w:rFonts w:asciiTheme="minorHAnsi" w:hAnsiTheme="minorHAnsi" w:cstheme="minorHAnsi"/>
          <w:i/>
          <w:iCs/>
          <w:color w:val="000000"/>
          <w:sz w:val="24"/>
          <w:szCs w:val="24"/>
        </w:rPr>
        <w:t>. 2022.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</w:p>
    <w:p w14:paraId="4285F9D3" w14:textId="7A4D15D6" w:rsidR="00997E47" w:rsidRPr="00EA30A0" w:rsidRDefault="008E4705" w:rsidP="53EDC16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875EA9E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</w:t>
      </w:r>
      <w:r w:rsidR="00925113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které se stává</w:t>
      </w:r>
      <w:r w:rsidR="00EA30A0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nedílnou součást</w:t>
      </w:r>
      <w:r w:rsidR="00943C7D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í</w:t>
      </w:r>
      <w:r w:rsidR="00EA30A0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Smlouvy jako její </w:t>
      </w:r>
      <w:r w:rsidR="0516104A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A30A0"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říloha č. 1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E01DB85" w14:textId="443C89C0" w:rsidR="00C36D09" w:rsidRDefault="00EA30A0" w:rsidP="53EDC16F">
      <w:pPr>
        <w:pStyle w:val="CMSANHeading2"/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</w:pPr>
      <w:r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Znění </w:t>
      </w:r>
      <w:r w:rsidR="2321805A"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P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řílohy č. 2 Smlouvy se ruší a plně nahrazuje zněním, které tvoří přílohu č. 2 tohoto Dodatku a které se stává nedílnou součást</w:t>
      </w:r>
      <w:r w:rsidR="00943C7D"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í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 Smlouvy jako její </w:t>
      </w:r>
      <w:r w:rsidR="06F35CB1"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P</w:t>
      </w:r>
      <w:r w:rsidRPr="53EDC16F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říloha č. 2.</w:t>
      </w:r>
    </w:p>
    <w:p w14:paraId="6F001822" w14:textId="71AACBE8" w:rsidR="00C36D09" w:rsidRDefault="00C36D09" w:rsidP="00C36D09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</w:pPr>
    </w:p>
    <w:p w14:paraId="405D715A" w14:textId="77777777" w:rsidR="00C36D09" w:rsidRPr="00C36D09" w:rsidRDefault="00C36D09" w:rsidP="00C36D09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</w:pP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2283F26A" w14:textId="2CAC81C5" w:rsidR="00A5224E" w:rsidRDefault="00A5224E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Smluvní strany výslovně potvrzují, že </w:t>
      </w:r>
      <w:r w:rsidR="00AA5636">
        <w:rPr>
          <w:rFonts w:asciiTheme="minorHAnsi" w:hAnsiTheme="minorHAnsi" w:cstheme="minorBidi"/>
          <w:sz w:val="24"/>
          <w:szCs w:val="24"/>
        </w:rPr>
        <w:t xml:space="preserve">ustanovení Článku VII. odst. 3 Smlouvy </w:t>
      </w:r>
      <w:r w:rsidR="00A83FD3">
        <w:rPr>
          <w:rFonts w:asciiTheme="minorHAnsi" w:hAnsiTheme="minorHAnsi" w:cstheme="minorBidi"/>
          <w:sz w:val="24"/>
          <w:szCs w:val="24"/>
        </w:rPr>
        <w:t>není tímto Dodatkem nijak dotčeno a je závazné i pro tento Dodatek.</w:t>
      </w:r>
    </w:p>
    <w:p w14:paraId="5AFACAF3" w14:textId="3227235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5BD25D17" w:rsidR="00997E47" w:rsidRPr="00C36D09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304A1B91" w14:textId="77777777" w:rsidR="00C36D09" w:rsidRPr="00781562" w:rsidRDefault="00C36D09" w:rsidP="0031286D">
      <w:pPr>
        <w:pStyle w:val="CMSANHeading1"/>
        <w:numPr>
          <w:ilvl w:val="0"/>
          <w:numId w:val="0"/>
        </w:numPr>
        <w:ind w:left="851"/>
      </w:pP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4BB1F415" w:rsidR="00997E47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04EDA678" w14:textId="7FCB7A55" w:rsidR="0039713C" w:rsidRPr="00781562" w:rsidRDefault="0039713C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>
        <w:rPr>
          <w:rFonts w:asciiTheme="minorHAnsi" w:hAnsiTheme="minorHAnsi" w:cstheme="minorBidi"/>
          <w:sz w:val="24"/>
          <w:szCs w:val="24"/>
          <w:lang w:val="cs-CZ"/>
        </w:rPr>
        <w:t>příloha č. 2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4D258755" w:rsidR="00781562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33C5A2D8" w14:textId="4004FF93" w:rsidR="00C36D09" w:rsidRDefault="00C36D09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ACD92B5" w14:textId="77777777" w:rsidR="00C36D09" w:rsidRPr="003E471F" w:rsidRDefault="00C36D09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2FC87AA1" w14:textId="77777777" w:rsidR="00F05CC8" w:rsidRPr="00090DBC" w:rsidRDefault="00F05CC8" w:rsidP="00F05CC8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0D7FB13" w14:textId="77777777" w:rsidR="00B904E0" w:rsidRPr="00537A15" w:rsidRDefault="00B904E0" w:rsidP="00B904E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V Ostravě, dne</w:t>
      </w:r>
      <w:r>
        <w:rPr>
          <w:rFonts w:asciiTheme="minorHAnsi" w:hAnsiTheme="minorHAnsi" w:cstheme="minorHAnsi"/>
          <w:sz w:val="24"/>
          <w:szCs w:val="24"/>
        </w:rPr>
        <w:t xml:space="preserve"> 3.2.2023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>V Praze, dne</w:t>
      </w:r>
      <w:r>
        <w:rPr>
          <w:rFonts w:asciiTheme="minorHAnsi" w:hAnsiTheme="minorHAnsi" w:cstheme="minorHAnsi"/>
          <w:sz w:val="24"/>
          <w:szCs w:val="24"/>
        </w:rPr>
        <w:t xml:space="preserve"> 20.2.2023</w:t>
      </w:r>
    </w:p>
    <w:p w14:paraId="7D07B342" w14:textId="77777777" w:rsidR="00F05CC8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B74EEA1" w14:textId="77777777" w:rsidR="00F05CC8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F34F82" w14:textId="77777777" w:rsidR="00F05CC8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3E10D4" w14:textId="77777777" w:rsidR="00F05CC8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1896B8" w14:textId="77777777" w:rsidR="00F05CC8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65AD482" w14:textId="77777777" w:rsidR="00F05CC8" w:rsidRPr="00090DBC" w:rsidRDefault="00F05CC8" w:rsidP="00F05CC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973388" w14:textId="77777777" w:rsidR="00F05CC8" w:rsidRPr="00090DBC" w:rsidRDefault="00F05CC8" w:rsidP="00F05C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4A093A5" w14:textId="77777777" w:rsidR="00F05CC8" w:rsidRPr="00090DBC" w:rsidRDefault="00F05CC8" w:rsidP="00F05C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MUDr. Jiří </w:t>
      </w:r>
      <w:proofErr w:type="spellStart"/>
      <w:r>
        <w:rPr>
          <w:rFonts w:asciiTheme="minorHAnsi" w:hAnsiTheme="minorHAnsi" w:cstheme="minorHAnsi"/>
          <w:sz w:val="24"/>
          <w:szCs w:val="24"/>
        </w:rPr>
        <w:t>Hostýnek</w:t>
      </w:r>
      <w:proofErr w:type="spellEnd"/>
    </w:p>
    <w:p w14:paraId="6F4CCCFF" w14:textId="77777777" w:rsidR="00F05CC8" w:rsidRPr="00090DBC" w:rsidRDefault="00F05CC8" w:rsidP="00F05C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Prokurista BAYER s.r.o.</w:t>
      </w:r>
    </w:p>
    <w:p w14:paraId="5B374C07" w14:textId="70614B58" w:rsidR="001D5E80" w:rsidRDefault="00F05CC8" w:rsidP="00F05CC8">
      <w:pPr>
        <w:spacing w:after="0" w:line="240" w:lineRule="auto"/>
        <w:ind w:left="2836" w:hanging="28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1D5E80">
        <w:rPr>
          <w:rFonts w:asciiTheme="minorHAnsi" w:hAnsiTheme="minorHAnsi" w:cstheme="minorHAnsi"/>
          <w:sz w:val="24"/>
          <w:szCs w:val="24"/>
        </w:rPr>
        <w:t xml:space="preserve">za BAYER AG na základě plné moci udělené </w:t>
      </w:r>
    </w:p>
    <w:p w14:paraId="101073B4" w14:textId="2571393C" w:rsidR="00781562" w:rsidRPr="00090DBC" w:rsidRDefault="001D5E80" w:rsidP="004F78D0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společnosti  BAYER s.r.o.</w:t>
      </w: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43C05269" w14:textId="0E835202" w:rsidR="00E60931" w:rsidRPr="00B72AD1" w:rsidRDefault="00E60931" w:rsidP="00E60931">
      <w:pPr>
        <w:pStyle w:val="Zkladntext"/>
        <w:spacing w:before="0" w:after="4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0931">
        <w:rPr>
          <w:rFonts w:asciiTheme="minorHAnsi" w:hAnsiTheme="minorHAnsi"/>
          <w:bCs/>
          <w:color w:val="000000" w:themeColor="text1"/>
        </w:rPr>
        <w:lastRenderedPageBreak/>
        <w:t xml:space="preserve"> </w:t>
      </w:r>
      <w:r w:rsidRPr="00B72A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PŘÍLOHA Č. </w:t>
      </w:r>
      <w:r w:rsidRPr="00B72AD1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1 SMLOUVY </w:t>
      </w:r>
      <w:r w:rsidRPr="00B72AD1">
        <w:rPr>
          <w:rFonts w:asciiTheme="minorHAnsi" w:hAnsiTheme="minorHAnsi"/>
          <w:color w:val="000000" w:themeColor="text1"/>
          <w:sz w:val="22"/>
          <w:szCs w:val="22"/>
        </w:rPr>
        <w:t>O LIMITACI NÁKLADŮ</w:t>
      </w:r>
    </w:p>
    <w:p w14:paraId="442663CE" w14:textId="77777777" w:rsidR="00E60931" w:rsidRPr="00B72AD1" w:rsidRDefault="00E60931" w:rsidP="00E60931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72AD1">
        <w:rPr>
          <w:rFonts w:asciiTheme="minorHAnsi" w:hAnsiTheme="minorHAnsi" w:cstheme="minorBidi"/>
          <w:b w:val="0"/>
          <w:color w:val="000000" w:themeColor="text1"/>
          <w:sz w:val="22"/>
          <w:szCs w:val="22"/>
        </w:rPr>
        <w:t>spojených s hrazením léčivého přípravku</w:t>
      </w:r>
    </w:p>
    <w:p w14:paraId="0FCFB1A0" w14:textId="79918253" w:rsidR="00E60931" w:rsidRPr="00B72AD1" w:rsidRDefault="00F05CC8" w:rsidP="00E60931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A3A27">
        <w:rPr>
          <w:rFonts w:asciiTheme="minorHAnsi" w:hAnsiTheme="minorHAnsi"/>
          <w:color w:val="000000" w:themeColor="text1"/>
          <w:szCs w:val="18"/>
          <w:highlight w:val="black"/>
        </w:rPr>
        <w:t>XXXXXXX</w:t>
      </w:r>
    </w:p>
    <w:p w14:paraId="2DDE0E29" w14:textId="77777777" w:rsidR="00E60931" w:rsidRPr="00B72AD1" w:rsidRDefault="00E60931" w:rsidP="00E60931">
      <w:pPr>
        <w:tabs>
          <w:tab w:val="left" w:pos="5245"/>
        </w:tabs>
        <w:spacing w:before="120" w:after="40"/>
        <w:jc w:val="center"/>
        <w:rPr>
          <w:rFonts w:asciiTheme="minorHAnsi" w:hAnsiTheme="minorHAnsi" w:cstheme="minorBidi"/>
          <w:b/>
          <w:bCs/>
          <w:color w:val="000000" w:themeColor="text1"/>
        </w:rPr>
      </w:pPr>
    </w:p>
    <w:p w14:paraId="3AD1F5DD" w14:textId="77777777" w:rsidR="00E60931" w:rsidRPr="00B72AD1" w:rsidRDefault="00E60931" w:rsidP="00E60931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  <w:color w:val="000000" w:themeColor="text1"/>
        </w:rPr>
      </w:pPr>
      <w:r w:rsidRPr="00B72AD1">
        <w:rPr>
          <w:rFonts w:asciiTheme="minorHAnsi" w:hAnsiTheme="minorHAnsi"/>
          <w:b/>
          <w:color w:val="000000" w:themeColor="text1"/>
        </w:rPr>
        <w:t>OBCHODNÍ TAJEMSTVÍ</w:t>
      </w:r>
    </w:p>
    <w:p w14:paraId="23D1F741" w14:textId="77777777" w:rsidR="00E60931" w:rsidRPr="00B72AD1" w:rsidRDefault="00E60931" w:rsidP="00E60931">
      <w:pPr>
        <w:pStyle w:val="Zkladntext"/>
        <w:spacing w:after="40" w:line="276" w:lineRule="auto"/>
        <w:rPr>
          <w:rFonts w:asciiTheme="minorHAnsi" w:hAnsiTheme="minorHAnsi"/>
          <w:b w:val="0"/>
          <w:color w:val="000000" w:themeColor="text1"/>
          <w:sz w:val="22"/>
        </w:rPr>
      </w:pPr>
    </w:p>
    <w:p w14:paraId="49073588" w14:textId="22B2F742" w:rsidR="00E60931" w:rsidRPr="00B72AD1" w:rsidRDefault="00E60931" w:rsidP="00E53A8A">
      <w:pPr>
        <w:pStyle w:val="Odstavecseseznamem"/>
        <w:numPr>
          <w:ilvl w:val="0"/>
          <w:numId w:val="6"/>
        </w:numPr>
        <w:tabs>
          <w:tab w:val="left" w:pos="5245"/>
        </w:tabs>
        <w:spacing w:before="120" w:after="40"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</w:rPr>
      </w:pPr>
      <w:r w:rsidRPr="00B72AD1">
        <w:rPr>
          <w:rFonts w:asciiTheme="minorHAnsi" w:hAnsiTheme="minorHAnsi"/>
          <w:color w:val="000000" w:themeColor="text1"/>
          <w:sz w:val="22"/>
        </w:rPr>
        <w:t xml:space="preserve">Přípravkem dle této Smlouvy se rozumí </w:t>
      </w:r>
      <w:r w:rsidR="00E53A8A">
        <w:rPr>
          <w:rFonts w:asciiTheme="minorHAnsi" w:hAnsiTheme="minorHAnsi"/>
          <w:color w:val="000000" w:themeColor="text1"/>
          <w:sz w:val="22"/>
        </w:rPr>
        <w:t xml:space="preserve">a </w:t>
      </w:r>
      <w:r w:rsidRPr="00B72AD1">
        <w:rPr>
          <w:rFonts w:asciiTheme="minorHAnsi" w:hAnsiTheme="minorHAnsi"/>
          <w:color w:val="000000" w:themeColor="text1"/>
          <w:sz w:val="22"/>
        </w:rPr>
        <w:t>dohodnutá Sleva platná pro balení Přípravku prokazatelně uhrazená Pojišťovnou Poskytovateli do 31. 12. 2022, nebo do naplnění Limitu pro 1. stanovené období dle Přílohy č. 2 této Smlouvy zdravotními pojišťovnami sdruženými ve Svazu zdravotních pojišťoven ČR, podle toho, která z okolností nastane dříve, činí:</w:t>
      </w:r>
    </w:p>
    <w:tbl>
      <w:tblPr>
        <w:tblW w:w="1057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78"/>
        <w:gridCol w:w="2552"/>
        <w:gridCol w:w="1701"/>
        <w:gridCol w:w="1701"/>
        <w:gridCol w:w="1701"/>
      </w:tblGrid>
      <w:tr w:rsidR="00E60931" w:rsidRPr="00B72AD1" w14:paraId="3A59009B" w14:textId="77777777" w:rsidTr="00A92ABE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349D6FBC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Kód SÚKL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6D44429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Název Přípravku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478999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Doplněk názvu Přípravku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768EF9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UHR1 (Kč)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579883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Sleva z UHR1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299F3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Sleva (Kč)</w:t>
            </w:r>
          </w:p>
        </w:tc>
      </w:tr>
      <w:tr w:rsidR="00E60931" w:rsidRPr="00B72AD1" w14:paraId="66A8B9A6" w14:textId="77777777" w:rsidTr="00A92ABE">
        <w:trPr>
          <w:trHeight w:val="266"/>
        </w:trPr>
        <w:tc>
          <w:tcPr>
            <w:tcW w:w="1242" w:type="dxa"/>
            <w:vAlign w:val="center"/>
          </w:tcPr>
          <w:p w14:paraId="03790192" w14:textId="5568073A" w:rsidR="00E60931" w:rsidRPr="00B72AD1" w:rsidRDefault="006A3A27" w:rsidP="00A92AB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543DE78C" w14:textId="12EA1517" w:rsidR="00E60931" w:rsidRPr="00B72AD1" w:rsidRDefault="006A3A27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  <w:vAlign w:val="center"/>
          </w:tcPr>
          <w:p w14:paraId="65E8D7D3" w14:textId="3937D5BE" w:rsidR="00E60931" w:rsidRPr="00B72AD1" w:rsidRDefault="006A3A27" w:rsidP="00A92AB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30AC9E0F" w14:textId="2E0FB151" w:rsidR="00E60931" w:rsidRPr="00B72AD1" w:rsidRDefault="006A3A27" w:rsidP="00A92ABE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69386835" w14:textId="2B123B5B" w:rsidR="00E60931" w:rsidRPr="00B72AD1" w:rsidRDefault="006A3A27" w:rsidP="00A92ABE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3402B363" w14:textId="757BDE1C" w:rsidR="00E60931" w:rsidRPr="00B72AD1" w:rsidRDefault="006A3A27" w:rsidP="00A92ABE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E2055" w:rsidRPr="00B72AD1" w14:paraId="701FD15E" w14:textId="77777777" w:rsidTr="00A92ABE">
        <w:trPr>
          <w:trHeight w:val="266"/>
        </w:trPr>
        <w:tc>
          <w:tcPr>
            <w:tcW w:w="1242" w:type="dxa"/>
            <w:vAlign w:val="center"/>
          </w:tcPr>
          <w:p w14:paraId="3D7FD86A" w14:textId="2C04C006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6C9E1CAB" w14:textId="216EBD3D" w:rsidR="006E2055" w:rsidRPr="00B72AD1" w:rsidRDefault="006A3A27" w:rsidP="006E2055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  <w:vAlign w:val="center"/>
          </w:tcPr>
          <w:p w14:paraId="08BEB4E0" w14:textId="3537765A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172DA675" w14:textId="2BC430A4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-Italic" w:hAnsi="Calibri-Italic" w:cs="Calibri-Italic"/>
                <w:color w:val="000000" w:themeColor="text1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4D578901" w14:textId="208AC42B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322FD58A" w14:textId="06946F21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E2055" w:rsidRPr="00B72AD1" w14:paraId="42B21488" w14:textId="77777777" w:rsidTr="00A92ABE">
        <w:trPr>
          <w:trHeight w:val="266"/>
        </w:trPr>
        <w:tc>
          <w:tcPr>
            <w:tcW w:w="1242" w:type="dxa"/>
            <w:vAlign w:val="center"/>
          </w:tcPr>
          <w:p w14:paraId="71E70997" w14:textId="0777FFBC" w:rsidR="006E2055" w:rsidRPr="00B72AD1" w:rsidDel="001F704E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4767E276" w14:textId="219A925C" w:rsidR="006E2055" w:rsidRPr="00B72AD1" w:rsidDel="001F704E" w:rsidRDefault="006A3A27" w:rsidP="006E2055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  <w:vAlign w:val="center"/>
          </w:tcPr>
          <w:p w14:paraId="7767A567" w14:textId="41ED9CB4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5E4146C5" w14:textId="53A17198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0944D234" w14:textId="738FA3A4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3040D82D" w14:textId="6885B918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E2055" w:rsidRPr="00B72AD1" w14:paraId="0F177EF6" w14:textId="77777777" w:rsidTr="00A92ABE">
        <w:trPr>
          <w:trHeight w:val="266"/>
        </w:trPr>
        <w:tc>
          <w:tcPr>
            <w:tcW w:w="1242" w:type="dxa"/>
            <w:vAlign w:val="center"/>
          </w:tcPr>
          <w:p w14:paraId="44CA8B9C" w14:textId="6D1ACAEC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295AB039" w14:textId="37E7AD95" w:rsidR="006E2055" w:rsidRPr="00B72AD1" w:rsidDel="001F704E" w:rsidRDefault="006A3A27" w:rsidP="006E2055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  <w:vAlign w:val="center"/>
          </w:tcPr>
          <w:p w14:paraId="1727384D" w14:textId="2E30D8D7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  <w:r w:rsidRPr="00B72AD1" w:rsidDel="006A3A27">
              <w:rPr>
                <w:rFonts w:ascii="Calibri" w:hAnsi="Calibri" w:cs="Calibri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A7A149" w14:textId="22FB8D65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77E35A03" w14:textId="276C14A4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680125E4" w14:textId="78608CD9" w:rsidR="006E2055" w:rsidRPr="00B72AD1" w:rsidRDefault="006A3A27" w:rsidP="006E2055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</w:tbl>
    <w:p w14:paraId="136E62C2" w14:textId="77777777" w:rsidR="00E60931" w:rsidRPr="00B72AD1" w:rsidRDefault="00E60931" w:rsidP="00E60931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0CCF7995" w14:textId="26DB5C5E" w:rsidR="00E60931" w:rsidRDefault="00E60931" w:rsidP="0013371E">
      <w:pPr>
        <w:tabs>
          <w:tab w:val="left" w:pos="5245"/>
        </w:tabs>
        <w:spacing w:before="120" w:after="40"/>
        <w:jc w:val="both"/>
        <w:rPr>
          <w:rFonts w:asciiTheme="minorHAnsi" w:hAnsiTheme="minorHAnsi"/>
          <w:color w:val="000000" w:themeColor="text1"/>
        </w:rPr>
      </w:pPr>
      <w:r w:rsidRPr="00B72AD1">
        <w:rPr>
          <w:rFonts w:asciiTheme="minorHAnsi" w:hAnsiTheme="minorHAnsi"/>
          <w:color w:val="000000" w:themeColor="text1"/>
        </w:rPr>
        <w:t>Aniž by bylo dotčeno ustanovení čl. IV. odst. 3 této Smlouvy, okamžikem naplnění Limitu uvedeného pro 1. období stanovené v Příloze č. 2 této Smlouvy zdravotními pojišťovnami sdruženými ve Svazu zdravotních pojišťoven ČR zaniká právo Pojišťovny na Slevu a s ní související Zpětnou platbu ve vztahu k balením Přípravku hrazeným Pojišťovnou Poskytovateli v rámci 1. období po naplnění Limitu zdravotními pojišťovnami sdruženými ve Svazu zdravotních pojišťoven ČR</w:t>
      </w:r>
    </w:p>
    <w:p w14:paraId="48734715" w14:textId="77777777" w:rsidR="0013371E" w:rsidRPr="00B72AD1" w:rsidRDefault="0013371E" w:rsidP="0013371E">
      <w:pPr>
        <w:tabs>
          <w:tab w:val="left" w:pos="5245"/>
        </w:tabs>
        <w:spacing w:before="120" w:after="40"/>
        <w:jc w:val="both"/>
        <w:rPr>
          <w:rFonts w:asciiTheme="minorHAnsi" w:hAnsiTheme="minorHAnsi"/>
          <w:color w:val="000000" w:themeColor="text1"/>
        </w:rPr>
      </w:pPr>
    </w:p>
    <w:p w14:paraId="185E3990" w14:textId="77777777" w:rsidR="001B58F3" w:rsidRPr="00090DBC" w:rsidRDefault="001B58F3" w:rsidP="001B58F3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6B3AF49F" w14:textId="77777777" w:rsidR="00B904E0" w:rsidRPr="00537A15" w:rsidRDefault="00B904E0" w:rsidP="00B904E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V Ostravě, dne</w:t>
      </w:r>
      <w:r>
        <w:rPr>
          <w:rFonts w:asciiTheme="minorHAnsi" w:hAnsiTheme="minorHAnsi" w:cstheme="minorHAnsi"/>
          <w:sz w:val="24"/>
          <w:szCs w:val="24"/>
        </w:rPr>
        <w:t xml:space="preserve"> 3.2.2023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>V Praze, dne</w:t>
      </w:r>
      <w:r>
        <w:rPr>
          <w:rFonts w:asciiTheme="minorHAnsi" w:hAnsiTheme="minorHAnsi" w:cstheme="minorHAnsi"/>
          <w:sz w:val="24"/>
          <w:szCs w:val="24"/>
        </w:rPr>
        <w:t xml:space="preserve"> 20.2.2023</w:t>
      </w:r>
    </w:p>
    <w:p w14:paraId="4521CF99" w14:textId="77777777" w:rsidR="001B58F3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260A28" w14:textId="77777777" w:rsidR="001B58F3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6077BF" w14:textId="77777777" w:rsidR="001B58F3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DEC4B6" w14:textId="77777777" w:rsidR="001B58F3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2D4A5D" w14:textId="77777777" w:rsidR="001B58F3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8AC03A" w14:textId="77777777" w:rsidR="001B58F3" w:rsidRPr="00090DBC" w:rsidRDefault="001B58F3" w:rsidP="001B58F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FD673B" w14:textId="77777777" w:rsidR="001B58F3" w:rsidRPr="00090DBC" w:rsidRDefault="001B58F3" w:rsidP="001B58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246E2D6F" w14:textId="77777777" w:rsidR="001B58F3" w:rsidRPr="00090DBC" w:rsidRDefault="001B58F3" w:rsidP="001B58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MUDr. Jiří </w:t>
      </w:r>
      <w:proofErr w:type="spellStart"/>
      <w:r>
        <w:rPr>
          <w:rFonts w:asciiTheme="minorHAnsi" w:hAnsiTheme="minorHAnsi" w:cstheme="minorHAnsi"/>
          <w:sz w:val="24"/>
          <w:szCs w:val="24"/>
        </w:rPr>
        <w:t>Hostýnek</w:t>
      </w:r>
      <w:proofErr w:type="spellEnd"/>
    </w:p>
    <w:p w14:paraId="31D1BD7D" w14:textId="77777777" w:rsidR="001B58F3" w:rsidRPr="00090DBC" w:rsidRDefault="001B58F3" w:rsidP="001B58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Prokurista BAYER s.r.o.</w:t>
      </w:r>
    </w:p>
    <w:p w14:paraId="393F2A04" w14:textId="493528BD" w:rsidR="00E60931" w:rsidRPr="00B72AD1" w:rsidRDefault="001B58F3" w:rsidP="001B58F3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="00E60931" w:rsidRPr="00B72AD1">
        <w:rPr>
          <w:rFonts w:asciiTheme="minorHAnsi" w:hAnsiTheme="minorHAnsi" w:cstheme="minorHAnsi"/>
          <w:color w:val="000000" w:themeColor="text1"/>
        </w:rPr>
        <w:tab/>
      </w:r>
      <w:r w:rsidR="00E60931" w:rsidRPr="00B72AD1">
        <w:rPr>
          <w:rFonts w:asciiTheme="minorHAnsi" w:hAnsiTheme="minorHAnsi" w:cstheme="minorHAnsi"/>
          <w:color w:val="000000" w:themeColor="text1"/>
        </w:rPr>
        <w:tab/>
      </w:r>
      <w:r w:rsidR="00E60931" w:rsidRPr="00B72AD1">
        <w:rPr>
          <w:rFonts w:asciiTheme="minorHAnsi" w:hAnsiTheme="minorHAnsi" w:cstheme="minorHAnsi"/>
          <w:color w:val="000000" w:themeColor="text1"/>
        </w:rPr>
        <w:tab/>
        <w:t xml:space="preserve">za Bayer AG na základě plné moci udělené </w:t>
      </w:r>
    </w:p>
    <w:p w14:paraId="473BB01F" w14:textId="77777777" w:rsidR="00E60931" w:rsidRPr="00B72AD1" w:rsidRDefault="00E60931" w:rsidP="004E70F2">
      <w:pPr>
        <w:spacing w:after="0"/>
        <w:ind w:left="3545" w:firstLine="709"/>
        <w:rPr>
          <w:rFonts w:asciiTheme="minorHAnsi" w:hAnsiTheme="minorHAnsi" w:cstheme="minorHAnsi"/>
          <w:color w:val="000000" w:themeColor="text1"/>
        </w:rPr>
      </w:pPr>
      <w:r w:rsidRPr="00B72AD1">
        <w:rPr>
          <w:rFonts w:asciiTheme="minorHAnsi" w:hAnsiTheme="minorHAnsi" w:cstheme="minorHAnsi"/>
          <w:color w:val="000000" w:themeColor="text1"/>
        </w:rPr>
        <w:t>společnosti BAYER s.r.o.</w:t>
      </w:r>
    </w:p>
    <w:p w14:paraId="1CD2A95B" w14:textId="77777777" w:rsidR="004E70F2" w:rsidRDefault="004E70F2">
      <w:pPr>
        <w:spacing w:after="0" w:line="240" w:lineRule="auto"/>
        <w:rPr>
          <w:rFonts w:asciiTheme="minorHAnsi" w:eastAsia="Times New Roman" w:hAnsiTheme="minorHAnsi"/>
          <w:b/>
          <w:bCs/>
          <w:color w:val="000000" w:themeColor="text1"/>
          <w:lang w:eastAsia="cs-CZ"/>
        </w:rPr>
      </w:pPr>
      <w:r>
        <w:rPr>
          <w:rFonts w:asciiTheme="minorHAnsi" w:hAnsiTheme="minorHAnsi"/>
          <w:bCs/>
          <w:color w:val="000000" w:themeColor="text1"/>
        </w:rPr>
        <w:br w:type="page"/>
      </w:r>
    </w:p>
    <w:p w14:paraId="692FD70B" w14:textId="571A08DB" w:rsidR="00E60931" w:rsidRPr="00B72AD1" w:rsidRDefault="00E60931" w:rsidP="00E60931">
      <w:pPr>
        <w:pStyle w:val="Zkladntext"/>
        <w:spacing w:before="0" w:after="4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72AD1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PŘÍLOHA Č. </w:t>
      </w:r>
      <w:r w:rsidRPr="00B72AD1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2. </w:t>
      </w:r>
      <w:r w:rsidRPr="00B72A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SMLOUVY </w:t>
      </w:r>
      <w:r w:rsidRPr="00B72AD1">
        <w:rPr>
          <w:rFonts w:asciiTheme="minorHAnsi" w:hAnsiTheme="minorHAnsi"/>
          <w:color w:val="000000" w:themeColor="text1"/>
          <w:sz w:val="22"/>
          <w:szCs w:val="22"/>
        </w:rPr>
        <w:t>O LIMITACI NÁKLADŮ</w:t>
      </w:r>
    </w:p>
    <w:p w14:paraId="6B59A1A7" w14:textId="77777777" w:rsidR="00E60931" w:rsidRPr="00B72AD1" w:rsidRDefault="00E60931" w:rsidP="00E60931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72AD1">
        <w:rPr>
          <w:rFonts w:asciiTheme="minorHAnsi" w:hAnsiTheme="minorHAnsi" w:cstheme="minorBidi"/>
          <w:b w:val="0"/>
          <w:color w:val="000000" w:themeColor="text1"/>
          <w:sz w:val="22"/>
          <w:szCs w:val="22"/>
        </w:rPr>
        <w:t>spojených s hrazením léčivého přípravku</w:t>
      </w:r>
    </w:p>
    <w:p w14:paraId="2D30C106" w14:textId="73797BE9" w:rsidR="00E60931" w:rsidRPr="00B72AD1" w:rsidRDefault="006A3A27" w:rsidP="00E60931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  <w:bCs/>
          <w:color w:val="000000" w:themeColor="text1"/>
        </w:rPr>
      </w:pPr>
      <w:r w:rsidRPr="006A3A27">
        <w:rPr>
          <w:rFonts w:asciiTheme="minorHAnsi" w:hAnsiTheme="minorHAnsi"/>
          <w:color w:val="000000" w:themeColor="text1"/>
          <w:szCs w:val="18"/>
          <w:highlight w:val="black"/>
        </w:rPr>
        <w:t>XXXXXX</w:t>
      </w:r>
      <w:r>
        <w:rPr>
          <w:rFonts w:asciiTheme="minorHAnsi" w:hAnsiTheme="minorHAnsi"/>
          <w:color w:val="000000" w:themeColor="text1"/>
          <w:szCs w:val="18"/>
          <w:highlight w:val="black"/>
        </w:rPr>
        <w:t>XXX</w:t>
      </w:r>
      <w:r w:rsidR="006C01B4">
        <w:rPr>
          <w:rFonts w:asciiTheme="minorHAnsi" w:hAnsiTheme="minorHAnsi"/>
          <w:color w:val="000000" w:themeColor="text1"/>
          <w:szCs w:val="18"/>
          <w:highlight w:val="black"/>
        </w:rPr>
        <w:t>VV</w:t>
      </w:r>
      <w:r w:rsidRPr="006A3A27">
        <w:rPr>
          <w:rFonts w:asciiTheme="minorHAnsi" w:hAnsiTheme="minorHAnsi"/>
          <w:color w:val="000000" w:themeColor="text1"/>
          <w:szCs w:val="18"/>
          <w:highlight w:val="black"/>
        </w:rPr>
        <w:t>X</w:t>
      </w:r>
      <w:r w:rsidRPr="00B72AD1" w:rsidDel="006A3A27">
        <w:rPr>
          <w:rFonts w:asciiTheme="minorHAnsi" w:hAnsiTheme="minorHAnsi" w:cstheme="minorBidi"/>
          <w:color w:val="000000" w:themeColor="text1"/>
        </w:rPr>
        <w:t xml:space="preserve"> </w:t>
      </w:r>
    </w:p>
    <w:p w14:paraId="4269D41A" w14:textId="77777777" w:rsidR="00E60931" w:rsidRPr="00B72AD1" w:rsidRDefault="00E60931" w:rsidP="00E60931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  <w:color w:val="000000" w:themeColor="text1"/>
        </w:rPr>
      </w:pPr>
      <w:r w:rsidRPr="00B72AD1">
        <w:rPr>
          <w:rFonts w:asciiTheme="minorHAnsi" w:hAnsiTheme="minorHAnsi"/>
          <w:b/>
          <w:color w:val="000000" w:themeColor="text1"/>
        </w:rPr>
        <w:t>OBCHODNÍ TAJEMSTVÍ</w:t>
      </w:r>
    </w:p>
    <w:p w14:paraId="70FAC9E0" w14:textId="77777777" w:rsidR="00E60931" w:rsidRPr="00B72AD1" w:rsidRDefault="00E60931" w:rsidP="00E60931">
      <w:pPr>
        <w:pStyle w:val="Zkladntext"/>
        <w:spacing w:after="40" w:line="276" w:lineRule="auto"/>
        <w:rPr>
          <w:rFonts w:asciiTheme="minorHAnsi" w:hAnsiTheme="minorHAnsi"/>
          <w:b w:val="0"/>
          <w:color w:val="000000" w:themeColor="text1"/>
          <w:sz w:val="22"/>
        </w:rPr>
      </w:pPr>
    </w:p>
    <w:p w14:paraId="601F8DCF" w14:textId="77777777" w:rsidR="00E60931" w:rsidRPr="00B72AD1" w:rsidRDefault="00E60931" w:rsidP="00E60931">
      <w:pPr>
        <w:pStyle w:val="Odstavecseseznamem"/>
        <w:numPr>
          <w:ilvl w:val="0"/>
          <w:numId w:val="7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color w:val="000000" w:themeColor="text1"/>
          <w:sz w:val="22"/>
        </w:rPr>
      </w:pPr>
      <w:r w:rsidRPr="00B72AD1">
        <w:rPr>
          <w:rFonts w:asciiTheme="minorHAnsi" w:hAnsiTheme="minorHAnsi"/>
          <w:color w:val="000000" w:themeColor="text1"/>
          <w:sz w:val="22"/>
        </w:rPr>
        <w:t>Přípravkem dle této Smlouvy se rozumí:</w:t>
      </w:r>
    </w:p>
    <w:tbl>
      <w:tblPr>
        <w:tblW w:w="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78"/>
        <w:gridCol w:w="2552"/>
      </w:tblGrid>
      <w:tr w:rsidR="00E60931" w:rsidRPr="00B72AD1" w14:paraId="4B49FBD5" w14:textId="77777777" w:rsidTr="00A92ABE">
        <w:trPr>
          <w:trHeight w:val="559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35902CB8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Kód SÚKL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710659C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Název Přípravku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B16F88C" w14:textId="77777777" w:rsidR="00E60931" w:rsidRPr="00B72AD1" w:rsidRDefault="00E60931" w:rsidP="00A92AB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Doplněk názvu Přípravku</w:t>
            </w:r>
          </w:p>
        </w:tc>
      </w:tr>
      <w:tr w:rsidR="006A3A27" w:rsidRPr="00B72AD1" w14:paraId="48B7623E" w14:textId="77777777" w:rsidTr="001F15F8">
        <w:trPr>
          <w:trHeight w:val="266"/>
          <w:jc w:val="center"/>
        </w:trPr>
        <w:tc>
          <w:tcPr>
            <w:tcW w:w="1242" w:type="dxa"/>
          </w:tcPr>
          <w:p w14:paraId="704F0693" w14:textId="384282FD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23535F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22BC1A55" w14:textId="6AA803AB" w:rsidR="006A3A27" w:rsidRPr="00B72AD1" w:rsidRDefault="006A3A27" w:rsidP="006A3A2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23535F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  <w:vAlign w:val="center"/>
          </w:tcPr>
          <w:p w14:paraId="254AFC22" w14:textId="4AA19634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A3A27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A3A27" w:rsidRPr="00B72AD1" w14:paraId="5212EA5B" w14:textId="77777777" w:rsidTr="001F15F8">
        <w:trPr>
          <w:trHeight w:val="266"/>
          <w:jc w:val="center"/>
        </w:trPr>
        <w:tc>
          <w:tcPr>
            <w:tcW w:w="1242" w:type="dxa"/>
          </w:tcPr>
          <w:p w14:paraId="15AEAA7B" w14:textId="340C35FD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68CEF9E3" w14:textId="537FF05E" w:rsidR="006A3A27" w:rsidRPr="00B72AD1" w:rsidRDefault="006A3A27" w:rsidP="006A3A2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</w:tcPr>
          <w:p w14:paraId="6755650F" w14:textId="0949855E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A3A27" w:rsidRPr="00B72AD1" w14:paraId="202E3F12" w14:textId="77777777" w:rsidTr="001F15F8">
        <w:trPr>
          <w:trHeight w:val="266"/>
          <w:jc w:val="center"/>
        </w:trPr>
        <w:tc>
          <w:tcPr>
            <w:tcW w:w="1242" w:type="dxa"/>
          </w:tcPr>
          <w:p w14:paraId="3E40BFB6" w14:textId="648E1C45" w:rsidR="006A3A27" w:rsidRPr="00B72AD1" w:rsidDel="001F704E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55078521" w14:textId="3ADF7AF4" w:rsidR="006A3A27" w:rsidRPr="00B72AD1" w:rsidDel="001F704E" w:rsidRDefault="006A3A27" w:rsidP="006A3A2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</w:tcPr>
          <w:p w14:paraId="1C8B1EEE" w14:textId="2A7CAE18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  <w:tr w:rsidR="006A3A27" w:rsidRPr="00B72AD1" w14:paraId="4A98A6A6" w14:textId="77777777" w:rsidTr="001F15F8">
        <w:trPr>
          <w:trHeight w:val="266"/>
          <w:jc w:val="center"/>
        </w:trPr>
        <w:tc>
          <w:tcPr>
            <w:tcW w:w="1242" w:type="dxa"/>
          </w:tcPr>
          <w:p w14:paraId="29364844" w14:textId="0C2FA531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1678" w:type="dxa"/>
          </w:tcPr>
          <w:p w14:paraId="227F316C" w14:textId="1AE0ED71" w:rsidR="006A3A27" w:rsidRPr="00B72AD1" w:rsidDel="001F704E" w:rsidRDefault="006A3A27" w:rsidP="006A3A2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  <w:tc>
          <w:tcPr>
            <w:tcW w:w="2552" w:type="dxa"/>
          </w:tcPr>
          <w:p w14:paraId="0497B21D" w14:textId="4201DB12" w:rsidR="006A3A27" w:rsidRPr="00B72AD1" w:rsidRDefault="006A3A27" w:rsidP="006A3A2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662108">
              <w:rPr>
                <w:rFonts w:asciiTheme="minorHAnsi" w:hAnsiTheme="minorHAnsi"/>
                <w:color w:val="000000" w:themeColor="text1"/>
                <w:szCs w:val="18"/>
                <w:highlight w:val="black"/>
              </w:rPr>
              <w:t>XXXXXXX</w:t>
            </w:r>
          </w:p>
        </w:tc>
      </w:tr>
    </w:tbl>
    <w:p w14:paraId="5D3E1D46" w14:textId="77777777" w:rsidR="00E60931" w:rsidRPr="00B72AD1" w:rsidRDefault="00E60931" w:rsidP="00E60931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32F5E0A5" w14:textId="77777777" w:rsidR="00E60931" w:rsidRPr="00B72AD1" w:rsidRDefault="00E60931" w:rsidP="00E60931">
      <w:pPr>
        <w:spacing w:before="120" w:after="40"/>
        <w:ind w:left="284" w:hanging="284"/>
        <w:rPr>
          <w:rFonts w:asciiTheme="minorHAnsi" w:hAnsiTheme="minorHAnsi"/>
          <w:color w:val="000000" w:themeColor="text1"/>
        </w:rPr>
      </w:pPr>
      <w:r w:rsidRPr="00B72AD1">
        <w:rPr>
          <w:rFonts w:asciiTheme="minorHAnsi" w:hAnsiTheme="minorHAnsi" w:cstheme="minorHAnsi"/>
          <w:color w:val="000000" w:themeColor="text1"/>
        </w:rPr>
        <w:t>2.</w:t>
      </w:r>
      <w:r w:rsidRPr="00B72AD1">
        <w:rPr>
          <w:rFonts w:asciiTheme="minorHAnsi" w:hAnsiTheme="minorHAnsi" w:cstheme="minorHAnsi"/>
          <w:color w:val="000000" w:themeColor="text1"/>
        </w:rPr>
        <w:tab/>
      </w:r>
      <w:r w:rsidRPr="00B72AD1">
        <w:rPr>
          <w:rFonts w:asciiTheme="minorHAnsi" w:hAnsiTheme="minorHAnsi"/>
          <w:color w:val="000000" w:themeColor="text1"/>
        </w:rPr>
        <w:t>Limit se sjednává takto:</w:t>
      </w:r>
    </w:p>
    <w:p w14:paraId="5FD05BFC" w14:textId="7156EF40" w:rsidR="00CE47DF" w:rsidRPr="00CE47DF" w:rsidRDefault="006C01B4" w:rsidP="00CE3864">
      <w:pPr>
        <w:spacing w:after="0"/>
        <w:ind w:left="284"/>
        <w:jc w:val="both"/>
        <w:rPr>
          <w:rFonts w:asciiTheme="minorHAnsi" w:hAnsiTheme="minorHAnsi"/>
          <w:sz w:val="24"/>
          <w:szCs w:val="24"/>
          <w:highlight w:val="black"/>
        </w:rPr>
      </w:pPr>
      <w:r w:rsidRPr="006C01B4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</w:t>
      </w:r>
      <w:r w:rsidR="00CE3864">
        <w:rPr>
          <w:rFonts w:asciiTheme="minorHAnsi" w:hAnsiTheme="minorHAnsi"/>
          <w:b/>
          <w:sz w:val="24"/>
          <w:szCs w:val="24"/>
          <w:highlight w:val="black"/>
        </w:rPr>
        <w:t>XXX</w:t>
      </w:r>
      <w:r w:rsidRPr="006C01B4">
        <w:rPr>
          <w:rFonts w:asciiTheme="minorHAnsi" w:hAnsiTheme="minorHAnsi"/>
          <w:b/>
          <w:sz w:val="24"/>
          <w:szCs w:val="24"/>
          <w:highlight w:val="black"/>
        </w:rPr>
        <w:t>X</w:t>
      </w:r>
    </w:p>
    <w:p w14:paraId="1DB7E818" w14:textId="6CF3CB6F" w:rsidR="00E60931" w:rsidRPr="006C01B4" w:rsidRDefault="006C01B4" w:rsidP="00CE3864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C01B4">
        <w:rPr>
          <w:rFonts w:asciiTheme="minorHAnsi" w:hAnsiTheme="minorHAnsi"/>
          <w:b/>
          <w:sz w:val="24"/>
          <w:szCs w:val="24"/>
          <w:highlight w:val="black"/>
        </w:rPr>
        <w:t>XXXXXXXXXXXXXXXXXXXXXXXXXXXXXXXXX</w:t>
      </w:r>
    </w:p>
    <w:p w14:paraId="3141ADD9" w14:textId="71B607F3" w:rsidR="00CE47DF" w:rsidRPr="00CE47DF" w:rsidRDefault="00CE47DF" w:rsidP="00872E2D">
      <w:pPr>
        <w:numPr>
          <w:ilvl w:val="0"/>
          <w:numId w:val="3"/>
        </w:numPr>
        <w:spacing w:before="240"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C01B4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</w:t>
      </w:r>
    </w:p>
    <w:p w14:paraId="09BD401B" w14:textId="77777777" w:rsidR="002778B6" w:rsidRPr="002778B6" w:rsidRDefault="00CE47DF" w:rsidP="00CE3864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C01B4">
        <w:rPr>
          <w:rFonts w:asciiTheme="minorHAnsi" w:hAnsiTheme="minorHAnsi"/>
          <w:b/>
          <w:sz w:val="24"/>
          <w:szCs w:val="24"/>
          <w:highlight w:val="black"/>
        </w:rPr>
        <w:t>XXXXXXXXXXXXXXXXXXXXXXXXXXXXXXXXX</w:t>
      </w:r>
    </w:p>
    <w:p w14:paraId="71C54D0D" w14:textId="77777777" w:rsidR="002778B6" w:rsidRPr="002778B6" w:rsidRDefault="00CE47DF" w:rsidP="00872E2D">
      <w:pPr>
        <w:numPr>
          <w:ilvl w:val="0"/>
          <w:numId w:val="3"/>
        </w:numPr>
        <w:spacing w:before="240"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2778B6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</w:t>
      </w:r>
    </w:p>
    <w:p w14:paraId="0A0E02C3" w14:textId="0DD5980B" w:rsidR="00CE3864" w:rsidRPr="00CE3864" w:rsidRDefault="00CE47DF" w:rsidP="00CE3864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2778B6">
        <w:rPr>
          <w:rFonts w:asciiTheme="minorHAnsi" w:hAnsiTheme="minorHAnsi"/>
          <w:b/>
          <w:sz w:val="24"/>
          <w:szCs w:val="24"/>
          <w:highlight w:val="black"/>
        </w:rPr>
        <w:t>XXXXXXXXXXXXXXXXXXXXXXXXXXXXXXXXX</w:t>
      </w:r>
    </w:p>
    <w:p w14:paraId="67D267CB" w14:textId="77777777" w:rsidR="00CE3864" w:rsidRPr="002778B6" w:rsidRDefault="00CE3864" w:rsidP="00872E2D">
      <w:pPr>
        <w:numPr>
          <w:ilvl w:val="0"/>
          <w:numId w:val="3"/>
        </w:numPr>
        <w:spacing w:before="240"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2778B6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</w:t>
      </w:r>
    </w:p>
    <w:p w14:paraId="0DE4CF16" w14:textId="77777777" w:rsidR="00CE3864" w:rsidRPr="00CE3864" w:rsidRDefault="00CE3864" w:rsidP="00CE3864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  <w:highlight w:val="black"/>
        </w:rPr>
      </w:pPr>
      <w:r w:rsidRPr="002778B6">
        <w:rPr>
          <w:rFonts w:asciiTheme="minorHAnsi" w:hAnsiTheme="minorHAnsi"/>
          <w:b/>
          <w:sz w:val="24"/>
          <w:szCs w:val="24"/>
          <w:highlight w:val="black"/>
        </w:rPr>
        <w:t>XXXXXXXXXXXXXXXXXXXXXXXXXXXXXXXXX</w:t>
      </w:r>
    </w:p>
    <w:p w14:paraId="79948F6A" w14:textId="77777777" w:rsidR="00E60931" w:rsidRPr="00B72AD1" w:rsidRDefault="00E60931" w:rsidP="00E60931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  <w:r w:rsidRPr="00B72AD1">
        <w:rPr>
          <w:rFonts w:asciiTheme="minorHAnsi" w:hAnsiTheme="minorHAnsi"/>
          <w:color w:val="000000" w:themeColor="text1"/>
        </w:rPr>
        <w:t>3. Poskytnutá Sleva na balení přípravku uhrazená v 1. období dle Přílohy č. 1 nemá vliv na náklady Pojišťovny započítávající se do Limitu v 1. období.</w:t>
      </w:r>
    </w:p>
    <w:p w14:paraId="2AFDCE92" w14:textId="59C3905B" w:rsidR="00E60931" w:rsidRDefault="00E60931" w:rsidP="00E60931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3E85D7FD" w14:textId="77777777" w:rsidR="00537A15" w:rsidRPr="00B72AD1" w:rsidRDefault="00537A15" w:rsidP="00E60931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4D05077E" w14:textId="77777777" w:rsidR="00537A15" w:rsidRPr="00537A15" w:rsidRDefault="00537A15" w:rsidP="00537A15">
      <w:pPr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/>
          <w:sz w:val="24"/>
          <w:szCs w:val="24"/>
        </w:rPr>
        <w:t>Za Pojišťovnu: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/>
          <w:sz w:val="24"/>
          <w:szCs w:val="24"/>
        </w:rPr>
        <w:tab/>
        <w:t>Za Držitele:</w:t>
      </w:r>
    </w:p>
    <w:p w14:paraId="54FD3F32" w14:textId="44BDA51D" w:rsidR="00537A15" w:rsidRPr="00537A15" w:rsidRDefault="00537A15" w:rsidP="00537A1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V Ostravě, dne</w:t>
      </w:r>
      <w:r w:rsidR="00B904E0">
        <w:rPr>
          <w:rFonts w:asciiTheme="minorHAnsi" w:hAnsiTheme="minorHAnsi" w:cstheme="minorHAnsi"/>
          <w:sz w:val="24"/>
          <w:szCs w:val="24"/>
        </w:rPr>
        <w:t xml:space="preserve"> 3.2.2023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>V Praze, dne</w:t>
      </w:r>
      <w:r w:rsidR="00B904E0">
        <w:rPr>
          <w:rFonts w:asciiTheme="minorHAnsi" w:hAnsiTheme="minorHAnsi" w:cstheme="minorHAnsi"/>
          <w:sz w:val="24"/>
          <w:szCs w:val="24"/>
        </w:rPr>
        <w:t xml:space="preserve"> 20.2.2023</w:t>
      </w:r>
    </w:p>
    <w:p w14:paraId="53777347" w14:textId="77777777" w:rsidR="00537A15" w:rsidRPr="00537A15" w:rsidRDefault="00537A15" w:rsidP="00537A1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BAF3F8" w14:textId="77777777" w:rsidR="00537A15" w:rsidRPr="00537A15" w:rsidRDefault="00537A15" w:rsidP="00537A1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F18BE5" w14:textId="77777777" w:rsidR="00537A15" w:rsidRPr="00537A15" w:rsidRDefault="00537A15" w:rsidP="00537A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3890C741" w14:textId="77777777" w:rsidR="00537A15" w:rsidRPr="00537A15" w:rsidRDefault="00537A15" w:rsidP="00537A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Ing. Antonín Klimša, MBA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 xml:space="preserve">MUDr. Jiří </w:t>
      </w:r>
      <w:proofErr w:type="spellStart"/>
      <w:r w:rsidRPr="00537A15">
        <w:rPr>
          <w:rFonts w:asciiTheme="minorHAnsi" w:hAnsiTheme="minorHAnsi" w:cstheme="minorHAnsi"/>
          <w:sz w:val="24"/>
          <w:szCs w:val="24"/>
        </w:rPr>
        <w:t>Hostýnek</w:t>
      </w:r>
      <w:proofErr w:type="spellEnd"/>
    </w:p>
    <w:p w14:paraId="2538D425" w14:textId="77777777" w:rsidR="00537A15" w:rsidRPr="00537A15" w:rsidRDefault="00537A15" w:rsidP="00537A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výkonný ředitel</w:t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</w:r>
      <w:r w:rsidRPr="00537A15">
        <w:rPr>
          <w:rFonts w:asciiTheme="minorHAnsi" w:hAnsiTheme="minorHAnsi" w:cstheme="minorHAnsi"/>
          <w:sz w:val="24"/>
          <w:szCs w:val="24"/>
        </w:rPr>
        <w:tab/>
        <w:t>Prokurista BAYER s.r.o.</w:t>
      </w:r>
    </w:p>
    <w:p w14:paraId="691F62FD" w14:textId="438B803E" w:rsidR="00E60931" w:rsidRPr="00537A15" w:rsidRDefault="00537A15" w:rsidP="00537A15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37A15">
        <w:rPr>
          <w:rFonts w:asciiTheme="minorHAnsi" w:hAnsiTheme="minorHAnsi" w:cstheme="minorHAnsi"/>
          <w:sz w:val="24"/>
          <w:szCs w:val="24"/>
        </w:rPr>
        <w:t>RBP, zdravotní pojišťovna</w:t>
      </w:r>
      <w:r w:rsidR="00E60931" w:rsidRPr="00537A1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60931" w:rsidRPr="00537A1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60931" w:rsidRPr="00537A1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za Bayer AG na základě plné moci udělené </w:t>
      </w:r>
    </w:p>
    <w:p w14:paraId="47BFF2C7" w14:textId="5284A8FE" w:rsidR="00E358D5" w:rsidRPr="00537A15" w:rsidRDefault="00E60931" w:rsidP="001F15F8">
      <w:pPr>
        <w:spacing w:after="0"/>
        <w:ind w:left="3545" w:firstLine="709"/>
        <w:rPr>
          <w:rFonts w:ascii="Calibri" w:eastAsia="Times New Roman" w:hAnsi="Calibri" w:cs="Calibri"/>
          <w:sz w:val="24"/>
          <w:szCs w:val="24"/>
          <w:lang w:eastAsia="cs-CZ"/>
        </w:rPr>
      </w:pPr>
      <w:r w:rsidRPr="00537A15">
        <w:rPr>
          <w:rFonts w:asciiTheme="minorHAnsi" w:hAnsiTheme="minorHAnsi" w:cstheme="minorHAnsi"/>
          <w:color w:val="000000" w:themeColor="text1"/>
          <w:sz w:val="24"/>
          <w:szCs w:val="24"/>
        </w:rPr>
        <w:t>společnosti BAYER s.r.o.</w:t>
      </w:r>
    </w:p>
    <w:sectPr w:rsidR="00E358D5" w:rsidRPr="00537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19A4" w14:textId="77777777" w:rsidR="001F6215" w:rsidRDefault="001F6215">
      <w:pPr>
        <w:spacing w:after="0" w:line="240" w:lineRule="auto"/>
      </w:pPr>
      <w:r>
        <w:separator/>
      </w:r>
    </w:p>
  </w:endnote>
  <w:endnote w:type="continuationSeparator" w:id="0">
    <w:p w14:paraId="1C0BBC52" w14:textId="77777777" w:rsidR="001F6215" w:rsidRDefault="001F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689" w14:textId="77777777" w:rsidR="00B06E06" w:rsidRDefault="00B06E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5B9899ED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7F31" w14:textId="77777777" w:rsidR="00B06E06" w:rsidRDefault="00B06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D196" w14:textId="77777777" w:rsidR="001F6215" w:rsidRDefault="001F6215">
      <w:pPr>
        <w:spacing w:after="0" w:line="240" w:lineRule="auto"/>
      </w:pPr>
      <w:r>
        <w:separator/>
      </w:r>
    </w:p>
  </w:footnote>
  <w:footnote w:type="continuationSeparator" w:id="0">
    <w:p w14:paraId="57A02FE5" w14:textId="77777777" w:rsidR="001F6215" w:rsidRDefault="001F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530C" w14:textId="77777777" w:rsidR="00B06E06" w:rsidRDefault="00B06E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58E5" w14:textId="77777777" w:rsidR="00B06E06" w:rsidRDefault="00B06E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7AF7" w14:textId="77777777" w:rsidR="00B06E06" w:rsidRDefault="00B06E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6456"/>
    <w:multiLevelType w:val="hybridMultilevel"/>
    <w:tmpl w:val="71C9E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7EFA17D6"/>
    <w:multiLevelType w:val="hybridMultilevel"/>
    <w:tmpl w:val="358E0170"/>
    <w:lvl w:ilvl="0" w:tplc="E336214E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825698">
    <w:abstractNumId w:val="2"/>
  </w:num>
  <w:num w:numId="2" w16cid:durableId="1103455319">
    <w:abstractNumId w:val="2"/>
  </w:num>
  <w:num w:numId="3" w16cid:durableId="2032606955">
    <w:abstractNumId w:val="3"/>
  </w:num>
  <w:num w:numId="4" w16cid:durableId="824122667">
    <w:abstractNumId w:val="6"/>
  </w:num>
  <w:num w:numId="5" w16cid:durableId="2013604302">
    <w:abstractNumId w:val="11"/>
  </w:num>
  <w:num w:numId="6" w16cid:durableId="1015958625">
    <w:abstractNumId w:val="10"/>
  </w:num>
  <w:num w:numId="7" w16cid:durableId="659969713">
    <w:abstractNumId w:val="1"/>
  </w:num>
  <w:num w:numId="8" w16cid:durableId="1414089824">
    <w:abstractNumId w:val="7"/>
  </w:num>
  <w:num w:numId="9" w16cid:durableId="550961274">
    <w:abstractNumId w:val="5"/>
  </w:num>
  <w:num w:numId="10" w16cid:durableId="151139212">
    <w:abstractNumId w:val="4"/>
  </w:num>
  <w:num w:numId="11" w16cid:durableId="694775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855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613093">
    <w:abstractNumId w:val="0"/>
  </w:num>
  <w:num w:numId="14" w16cid:durableId="1129514343">
    <w:abstractNumId w:val="9"/>
  </w:num>
  <w:num w:numId="15" w16cid:durableId="2042781392">
    <w:abstractNumId w:val="8"/>
  </w:num>
  <w:num w:numId="16" w16cid:durableId="409546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53017"/>
    <w:rsid w:val="00064DB4"/>
    <w:rsid w:val="00090DBC"/>
    <w:rsid w:val="000A1DC7"/>
    <w:rsid w:val="000A486B"/>
    <w:rsid w:val="000A7E99"/>
    <w:rsid w:val="000B2019"/>
    <w:rsid w:val="000B2327"/>
    <w:rsid w:val="000C2B74"/>
    <w:rsid w:val="000C76F4"/>
    <w:rsid w:val="000E01EB"/>
    <w:rsid w:val="00103627"/>
    <w:rsid w:val="00117690"/>
    <w:rsid w:val="0013371E"/>
    <w:rsid w:val="0015271D"/>
    <w:rsid w:val="001633DB"/>
    <w:rsid w:val="00182ABD"/>
    <w:rsid w:val="00190B38"/>
    <w:rsid w:val="001B3A0C"/>
    <w:rsid w:val="001B58F3"/>
    <w:rsid w:val="001C48C0"/>
    <w:rsid w:val="001D5E80"/>
    <w:rsid w:val="001E4197"/>
    <w:rsid w:val="001F15F8"/>
    <w:rsid w:val="001F6215"/>
    <w:rsid w:val="00272B52"/>
    <w:rsid w:val="00273463"/>
    <w:rsid w:val="002778B6"/>
    <w:rsid w:val="002D45A2"/>
    <w:rsid w:val="002F701F"/>
    <w:rsid w:val="0031286D"/>
    <w:rsid w:val="00343933"/>
    <w:rsid w:val="0037723B"/>
    <w:rsid w:val="00382372"/>
    <w:rsid w:val="0039713C"/>
    <w:rsid w:val="003C1961"/>
    <w:rsid w:val="003E0FD5"/>
    <w:rsid w:val="003E471F"/>
    <w:rsid w:val="003F55B2"/>
    <w:rsid w:val="00400253"/>
    <w:rsid w:val="00433C70"/>
    <w:rsid w:val="004476A2"/>
    <w:rsid w:val="004A2A1A"/>
    <w:rsid w:val="004B78C2"/>
    <w:rsid w:val="004E70F2"/>
    <w:rsid w:val="004F78D0"/>
    <w:rsid w:val="00537A15"/>
    <w:rsid w:val="00565EF2"/>
    <w:rsid w:val="00566E40"/>
    <w:rsid w:val="005C6AAF"/>
    <w:rsid w:val="00611062"/>
    <w:rsid w:val="00617AAF"/>
    <w:rsid w:val="00635E4F"/>
    <w:rsid w:val="006558F4"/>
    <w:rsid w:val="006676A5"/>
    <w:rsid w:val="006A3A27"/>
    <w:rsid w:val="006C01B4"/>
    <w:rsid w:val="006E1EE0"/>
    <w:rsid w:val="006E2055"/>
    <w:rsid w:val="006E7FDE"/>
    <w:rsid w:val="00765B60"/>
    <w:rsid w:val="00781562"/>
    <w:rsid w:val="007926E5"/>
    <w:rsid w:val="007A3A72"/>
    <w:rsid w:val="007D3B82"/>
    <w:rsid w:val="007D6974"/>
    <w:rsid w:val="007E4176"/>
    <w:rsid w:val="007F32FD"/>
    <w:rsid w:val="007F40E9"/>
    <w:rsid w:val="00811CB1"/>
    <w:rsid w:val="008518A9"/>
    <w:rsid w:val="0085278B"/>
    <w:rsid w:val="00872E2D"/>
    <w:rsid w:val="00874E98"/>
    <w:rsid w:val="008910E8"/>
    <w:rsid w:val="00895719"/>
    <w:rsid w:val="008B3286"/>
    <w:rsid w:val="008C38A6"/>
    <w:rsid w:val="008E4705"/>
    <w:rsid w:val="009135CD"/>
    <w:rsid w:val="00922D8B"/>
    <w:rsid w:val="00925113"/>
    <w:rsid w:val="009253B7"/>
    <w:rsid w:val="00940E63"/>
    <w:rsid w:val="00943C7D"/>
    <w:rsid w:val="00962CD8"/>
    <w:rsid w:val="0097680A"/>
    <w:rsid w:val="00994C22"/>
    <w:rsid w:val="00997E47"/>
    <w:rsid w:val="009A334F"/>
    <w:rsid w:val="009E7BD6"/>
    <w:rsid w:val="00A153AE"/>
    <w:rsid w:val="00A5224E"/>
    <w:rsid w:val="00A5510B"/>
    <w:rsid w:val="00A70912"/>
    <w:rsid w:val="00A83FD3"/>
    <w:rsid w:val="00A86E5A"/>
    <w:rsid w:val="00AA0372"/>
    <w:rsid w:val="00AA0906"/>
    <w:rsid w:val="00AA5636"/>
    <w:rsid w:val="00AD298C"/>
    <w:rsid w:val="00AD34FB"/>
    <w:rsid w:val="00B01411"/>
    <w:rsid w:val="00B05CC0"/>
    <w:rsid w:val="00B06E06"/>
    <w:rsid w:val="00B31752"/>
    <w:rsid w:val="00B64A27"/>
    <w:rsid w:val="00B72F44"/>
    <w:rsid w:val="00B904E0"/>
    <w:rsid w:val="00C043C1"/>
    <w:rsid w:val="00C16C6C"/>
    <w:rsid w:val="00C36D09"/>
    <w:rsid w:val="00C44812"/>
    <w:rsid w:val="00C71517"/>
    <w:rsid w:val="00C92816"/>
    <w:rsid w:val="00CE3864"/>
    <w:rsid w:val="00CE47DF"/>
    <w:rsid w:val="00D35E29"/>
    <w:rsid w:val="00DF01D9"/>
    <w:rsid w:val="00DF33A5"/>
    <w:rsid w:val="00DF3DF9"/>
    <w:rsid w:val="00DFF7EF"/>
    <w:rsid w:val="00E358D5"/>
    <w:rsid w:val="00E4237A"/>
    <w:rsid w:val="00E53A8A"/>
    <w:rsid w:val="00E60931"/>
    <w:rsid w:val="00E750BE"/>
    <w:rsid w:val="00E810FA"/>
    <w:rsid w:val="00EA30A0"/>
    <w:rsid w:val="00ED3D99"/>
    <w:rsid w:val="00EE49D5"/>
    <w:rsid w:val="00EE4A99"/>
    <w:rsid w:val="00F01D2C"/>
    <w:rsid w:val="00F05CC8"/>
    <w:rsid w:val="00F07C8E"/>
    <w:rsid w:val="00F12611"/>
    <w:rsid w:val="00F13A1A"/>
    <w:rsid w:val="00F15466"/>
    <w:rsid w:val="00F260C4"/>
    <w:rsid w:val="00F47E87"/>
    <w:rsid w:val="00F67C3E"/>
    <w:rsid w:val="00FA6647"/>
    <w:rsid w:val="00FC649E"/>
    <w:rsid w:val="0335D114"/>
    <w:rsid w:val="0516104A"/>
    <w:rsid w:val="051E5CE3"/>
    <w:rsid w:val="06F35CB1"/>
    <w:rsid w:val="0875EA9E"/>
    <w:rsid w:val="11E3B78E"/>
    <w:rsid w:val="1BFDF753"/>
    <w:rsid w:val="1DF323F3"/>
    <w:rsid w:val="2321805A"/>
    <w:rsid w:val="25F52948"/>
    <w:rsid w:val="29F9D984"/>
    <w:rsid w:val="2C3AF4CC"/>
    <w:rsid w:val="31A302DF"/>
    <w:rsid w:val="3288EF0E"/>
    <w:rsid w:val="43E687C3"/>
    <w:rsid w:val="462D4A8B"/>
    <w:rsid w:val="4927C576"/>
    <w:rsid w:val="53EDC16F"/>
    <w:rsid w:val="57373148"/>
    <w:rsid w:val="5C39B353"/>
    <w:rsid w:val="612DF656"/>
    <w:rsid w:val="628843AC"/>
    <w:rsid w:val="63B6016D"/>
    <w:rsid w:val="6A6106B8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D5E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77D58-EB87-4EFD-891C-3D558DEF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891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17</cp:revision>
  <dcterms:created xsi:type="dcterms:W3CDTF">2023-01-16T09:03:00Z</dcterms:created>
  <dcterms:modified xsi:type="dcterms:W3CDTF">2023-03-01T13:18:00Z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SIP_Label_7f850223-87a8-40c3-9eb2-432606efca2a_Enabled">
    <vt:lpwstr>true</vt:lpwstr>
  </property>
  <property fmtid="{D5CDD505-2E9C-101B-9397-08002B2CF9AE}" pid="12" name="MSIP_Label_7f850223-87a8-40c3-9eb2-432606efca2a_SetDate">
    <vt:lpwstr>2022-11-29T16:41:03Z</vt:lpwstr>
  </property>
  <property fmtid="{D5CDD505-2E9C-101B-9397-08002B2CF9AE}" pid="13" name="MSIP_Label_7f850223-87a8-40c3-9eb2-432606efca2a_Method">
    <vt:lpwstr>Privileged</vt:lpwstr>
  </property>
  <property fmtid="{D5CDD505-2E9C-101B-9397-08002B2CF9AE}" pid="14" name="MSIP_Label_7f850223-87a8-40c3-9eb2-432606efca2a_Name">
    <vt:lpwstr>7f850223-87a8-40c3-9eb2-432606efca2a</vt:lpwstr>
  </property>
  <property fmtid="{D5CDD505-2E9C-101B-9397-08002B2CF9AE}" pid="15" name="MSIP_Label_7f850223-87a8-40c3-9eb2-432606efca2a_SiteId">
    <vt:lpwstr>fcb2b37b-5da0-466b-9b83-0014b67a7c78</vt:lpwstr>
  </property>
  <property fmtid="{D5CDD505-2E9C-101B-9397-08002B2CF9AE}" pid="16" name="MSIP_Label_7f850223-87a8-40c3-9eb2-432606efca2a_ActionId">
    <vt:lpwstr>fbb57e35-901e-40cf-8a7b-dbb908573d69</vt:lpwstr>
  </property>
  <property fmtid="{D5CDD505-2E9C-101B-9397-08002B2CF9AE}" pid="17" name="MSIP_Label_7f850223-87a8-40c3-9eb2-432606efca2a_ContentBits">
    <vt:lpwstr>0</vt:lpwstr>
  </property>
</Properties>
</file>