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C332C7">
        <w:rPr>
          <w:rFonts w:ascii="Arial" w:hAnsi="Arial" w:cs="Arial"/>
          <w:spacing w:val="100"/>
        </w:rPr>
        <w:t>3210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C332C7">
        <w:rPr>
          <w:rFonts w:ascii="Arial" w:hAnsi="Arial" w:cs="Arial"/>
          <w:b/>
          <w:bCs/>
          <w:sz w:val="22"/>
        </w:rPr>
        <w:t xml:space="preserve">TJ JISKRA </w:t>
      </w:r>
      <w:proofErr w:type="gramStart"/>
      <w:r w:rsidR="00C332C7">
        <w:rPr>
          <w:rFonts w:ascii="Arial" w:hAnsi="Arial" w:cs="Arial"/>
          <w:b/>
          <w:bCs/>
          <w:sz w:val="22"/>
        </w:rPr>
        <w:t>Holice, z.s.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Marií Hybšovou, předsedkyní spolku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C332C7">
        <w:t>Husova 429,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00527912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1C0464">
        <w:rPr>
          <w:rFonts w:ascii="Arial" w:hAnsi="Arial" w:cs="Arial"/>
          <w:sz w:val="22"/>
        </w:rPr>
        <w:t xml:space="preserve">MV ČR </w:t>
      </w:r>
      <w:r w:rsidR="00C332C7">
        <w:rPr>
          <w:rFonts w:ascii="Arial" w:hAnsi="Arial" w:cs="Arial"/>
          <w:sz w:val="22"/>
        </w:rPr>
        <w:t>VSP/1-1841/90-R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Česká spořitelna, Pardubice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1200332389/0800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Florbal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Rodiče a děti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Předškolní děti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Ženy ZTV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Muži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Ringo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Klub českých turistů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3. liga jaro 2017 družstvo A</w:t>
      </w:r>
      <w:r>
        <w:rPr>
          <w:b/>
        </w:rPr>
        <w:tab/>
      </w:r>
      <w:r>
        <w:rPr>
          <w:b/>
        </w:rPr>
        <w:tab/>
        <w:t>33 000,-Kč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DIVIZE (kraj)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Krajská soutěž A družstvo C</w:t>
      </w:r>
      <w:r>
        <w:rPr>
          <w:b/>
        </w:rPr>
        <w:tab/>
        <w:t>22 000,-Kč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Regionální soutěž II družstvo D</w:t>
      </w:r>
      <w:r>
        <w:rPr>
          <w:b/>
        </w:rPr>
        <w:tab/>
        <w:t>10 000,-Kč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Regionální soutěž III družstvo E</w:t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8 000,-Kč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veteráni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Stolní tenis: duržstvo žáků – přípravka</w:t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Volejbal: Krjský přebor II. Třídy – ženy</w:t>
      </w:r>
      <w:r>
        <w:rPr>
          <w:b/>
        </w:rPr>
        <w:tab/>
      </w:r>
      <w:r>
        <w:rPr>
          <w:b/>
        </w:rPr>
        <w:tab/>
        <w:t>20 000,-Kč</w:t>
      </w:r>
    </w:p>
    <w:p w:rsidR="00C332C7" w:rsidRDefault="00C332C7" w:rsidP="001C0464">
      <w:pPr>
        <w:pStyle w:val="Zkladntext2"/>
        <w:ind w:left="709" w:firstLine="709"/>
        <w:rPr>
          <w:b/>
        </w:rPr>
      </w:pPr>
      <w:r>
        <w:rPr>
          <w:b/>
        </w:rPr>
        <w:t>Volejbal: družstvo muži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464">
        <w:rPr>
          <w:b/>
        </w:rPr>
        <w:t xml:space="preserve">  </w:t>
      </w:r>
      <w:r>
        <w:rPr>
          <w:b/>
        </w:rPr>
        <w:t>4 000,-Kč</w:t>
      </w:r>
    </w:p>
    <w:p w:rsidR="00C332C7" w:rsidRDefault="00C332C7" w:rsidP="00C332C7">
      <w:pPr>
        <w:pStyle w:val="Zkladntext2"/>
        <w:rPr>
          <w:b/>
        </w:rPr>
      </w:pP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C332C7">
        <w:rPr>
          <w:rFonts w:ascii="Arial" w:hAnsi="Arial" w:cs="Arial"/>
          <w:sz w:val="22"/>
        </w:rPr>
        <w:t>287</w:t>
      </w:r>
      <w:r w:rsidR="009A35BE">
        <w:rPr>
          <w:rFonts w:ascii="Arial" w:hAnsi="Arial" w:cs="Arial"/>
          <w:sz w:val="22"/>
        </w:rPr>
        <w:t xml:space="preserve">  ze dne </w:t>
      </w:r>
      <w:proofErr w:type="gramStart"/>
      <w:r w:rsidR="00C332C7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C332C7">
        <w:rPr>
          <w:rFonts w:ascii="Arial" w:hAnsi="Arial" w:cs="Arial"/>
          <w:b/>
          <w:bCs/>
          <w:sz w:val="22"/>
        </w:rPr>
        <w:t>175 000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C332C7">
        <w:rPr>
          <w:rFonts w:ascii="Arial" w:hAnsi="Arial" w:cs="Arial"/>
          <w:b/>
          <w:bCs/>
          <w:sz w:val="22"/>
        </w:rPr>
        <w:t>Jedno sto sedmdesát pět tisíc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1C0464" w:rsidRDefault="001C0464">
      <w:pPr>
        <w:rPr>
          <w:rFonts w:ascii="Arial" w:hAnsi="Arial" w:cs="Arial"/>
          <w:sz w:val="30"/>
        </w:rPr>
      </w:pPr>
    </w:p>
    <w:p w:rsidR="001C0464" w:rsidRDefault="001C0464">
      <w:pPr>
        <w:rPr>
          <w:rFonts w:ascii="Arial" w:hAnsi="Arial" w:cs="Arial"/>
          <w:sz w:val="30"/>
        </w:rPr>
      </w:pPr>
      <w:bookmarkStart w:id="0" w:name="_GoBack"/>
      <w:bookmarkEnd w:id="0"/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7034E6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C332C7">
        <w:rPr>
          <w:rFonts w:ascii="Arial" w:hAnsi="Arial" w:cs="Arial"/>
          <w:sz w:val="22"/>
        </w:rPr>
        <w:t>Marie Hybšová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C332C7">
        <w:rPr>
          <w:rFonts w:ascii="Arial" w:hAnsi="Arial" w:cs="Arial"/>
          <w:sz w:val="22"/>
        </w:rPr>
        <w:t>předsedkyně spolku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DD" w:rsidRDefault="004F65DD">
      <w:r>
        <w:separator/>
      </w:r>
    </w:p>
  </w:endnote>
  <w:endnote w:type="continuationSeparator" w:id="0">
    <w:p w:rsidR="004F65DD" w:rsidRDefault="004F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DD" w:rsidRDefault="004F65DD">
      <w:r>
        <w:separator/>
      </w:r>
    </w:p>
  </w:footnote>
  <w:footnote w:type="continuationSeparator" w:id="0">
    <w:p w:rsidR="004F65DD" w:rsidRDefault="004F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1C0464"/>
    <w:rsid w:val="002C4B28"/>
    <w:rsid w:val="00380B81"/>
    <w:rsid w:val="00442A04"/>
    <w:rsid w:val="00446AF9"/>
    <w:rsid w:val="004F65DD"/>
    <w:rsid w:val="00526780"/>
    <w:rsid w:val="006D6A1B"/>
    <w:rsid w:val="007034E6"/>
    <w:rsid w:val="00783305"/>
    <w:rsid w:val="007A7F52"/>
    <w:rsid w:val="008D202B"/>
    <w:rsid w:val="009A35BE"/>
    <w:rsid w:val="00BF5DCE"/>
    <w:rsid w:val="00C332C7"/>
    <w:rsid w:val="00CC1B4A"/>
    <w:rsid w:val="00CD2DEA"/>
    <w:rsid w:val="00D10102"/>
    <w:rsid w:val="00DA6C45"/>
    <w:rsid w:val="00EA62C8"/>
    <w:rsid w:val="00EB23AD"/>
    <w:rsid w:val="00EE21A9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2017-03-23T10:45:00Z</cp:lastPrinted>
  <dcterms:created xsi:type="dcterms:W3CDTF">2017-03-23T10:45:00Z</dcterms:created>
  <dcterms:modified xsi:type="dcterms:W3CDTF">2017-03-23T10:45:00Z</dcterms:modified>
</cp:coreProperties>
</file>