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3480" w:leader="none"/>
        </w:tabs>
        <w:jc w:val="both"/>
        <w:rPr>
          <w:rFonts w:ascii="Arial" w:hAnsi="Arial" w:cs="Arial"/>
          <w:b/>
          <w:b/>
          <w:bCs/>
        </w:rPr>
      </w:pPr>
      <w:r>
        <w:rPr>
          <w:rFonts w:cs="Arial" w:ascii="Arial" w:hAnsi="Arial"/>
          <w:b/>
          <w:bCs/>
        </w:rPr>
        <w:t>Město Domažlice</w:t>
      </w:r>
    </w:p>
    <w:p>
      <w:pPr>
        <w:pStyle w:val="Normal"/>
        <w:tabs>
          <w:tab w:val="clear" w:pos="708"/>
          <w:tab w:val="left" w:pos="3480" w:leader="none"/>
        </w:tabs>
        <w:jc w:val="both"/>
        <w:rPr>
          <w:rFonts w:ascii="Arial" w:hAnsi="Arial" w:cs="Arial"/>
        </w:rPr>
      </w:pPr>
      <w:r>
        <w:rPr>
          <w:rFonts w:cs="Arial" w:ascii="Arial" w:hAnsi="Arial"/>
        </w:rPr>
        <w:t xml:space="preserve">se sídlem: </w:t>
        <w:tab/>
        <w:tab/>
        <w:t>náměstí Míru 1, 344 01 Domažlice 1</w:t>
      </w:r>
    </w:p>
    <w:p>
      <w:pPr>
        <w:pStyle w:val="Normal"/>
        <w:tabs>
          <w:tab w:val="clear" w:pos="708"/>
          <w:tab w:val="left" w:pos="3480" w:leader="none"/>
        </w:tabs>
        <w:ind w:left="3480" w:hanging="3480"/>
        <w:jc w:val="both"/>
        <w:rPr>
          <w:rFonts w:ascii="Arial" w:hAnsi="Arial" w:cs="Arial"/>
        </w:rPr>
      </w:pPr>
      <w:r>
        <w:rPr>
          <w:rFonts w:cs="Arial" w:ascii="Arial" w:hAnsi="Arial"/>
        </w:rPr>
        <w:t>IČO:</w:t>
        <w:tab/>
        <w:t>002 53 316</w:t>
      </w:r>
    </w:p>
    <w:p>
      <w:pPr>
        <w:pStyle w:val="Normal"/>
        <w:tabs>
          <w:tab w:val="clear" w:pos="708"/>
          <w:tab w:val="left" w:pos="3480" w:leader="none"/>
        </w:tabs>
        <w:ind w:left="3480" w:hanging="3480"/>
        <w:jc w:val="both"/>
        <w:rPr>
          <w:rFonts w:ascii="Arial" w:hAnsi="Arial" w:cs="Arial"/>
        </w:rPr>
      </w:pPr>
      <w:r>
        <w:rPr>
          <w:rFonts w:cs="Arial" w:ascii="Arial" w:hAnsi="Arial"/>
        </w:rPr>
        <w:t xml:space="preserve">číslo bankovního účtu: </w:t>
        <w:tab/>
        <w:t>*******************</w:t>
      </w:r>
    </w:p>
    <w:p>
      <w:pPr>
        <w:pStyle w:val="Normal"/>
        <w:tabs>
          <w:tab w:val="clear" w:pos="708"/>
          <w:tab w:val="left" w:pos="3480" w:leader="none"/>
        </w:tabs>
        <w:ind w:left="3480" w:hanging="3480"/>
        <w:jc w:val="both"/>
        <w:rPr>
          <w:rFonts w:ascii="Arial" w:hAnsi="Arial" w:cs="Arial"/>
        </w:rPr>
      </w:pPr>
      <w:r>
        <w:rPr>
          <w:rFonts w:cs="Arial" w:ascii="Arial" w:hAnsi="Arial"/>
        </w:rPr>
        <w:t xml:space="preserve">zastoupení: </w:t>
        <w:tab/>
      </w:r>
      <w:r>
        <w:rPr>
          <w:rFonts w:cs="Arial" w:ascii="Arial" w:hAnsi="Arial"/>
          <w:b/>
          <w:bCs/>
        </w:rPr>
        <w:t>Ing. Radek Wiesner, starosta</w:t>
      </w:r>
    </w:p>
    <w:p>
      <w:pPr>
        <w:pStyle w:val="Normal"/>
        <w:tabs>
          <w:tab w:val="clear" w:pos="708"/>
          <w:tab w:val="left" w:pos="3480" w:leader="none"/>
        </w:tabs>
        <w:ind w:left="3480" w:hanging="3480"/>
        <w:jc w:val="both"/>
        <w:rPr>
          <w:rFonts w:ascii="Arial" w:hAnsi="Arial" w:cs="Arial"/>
        </w:rPr>
      </w:pPr>
      <w:r>
        <w:rPr>
          <w:rFonts w:cs="Arial" w:ascii="Arial" w:hAnsi="Arial"/>
        </w:rPr>
      </w:r>
    </w:p>
    <w:p>
      <w:pPr>
        <w:pStyle w:val="Normal"/>
        <w:tabs>
          <w:tab w:val="clear" w:pos="708"/>
          <w:tab w:val="left" w:pos="3480" w:leader="none"/>
        </w:tabs>
        <w:ind w:left="3480" w:hanging="3480"/>
        <w:jc w:val="both"/>
        <w:rPr>
          <w:rFonts w:ascii="Arial" w:hAnsi="Arial" w:cs="Arial"/>
        </w:rPr>
      </w:pPr>
      <w:r>
        <w:rPr>
          <w:rFonts w:cs="Arial" w:ascii="Arial" w:hAnsi="Arial"/>
        </w:rPr>
        <w:t>na straně jedné jako poskytovatel finanční dotace</w:t>
      </w:r>
    </w:p>
    <w:p>
      <w:pPr>
        <w:pStyle w:val="Normal"/>
        <w:tabs>
          <w:tab w:val="clear" w:pos="708"/>
          <w:tab w:val="left" w:pos="3480" w:leader="none"/>
        </w:tabs>
        <w:ind w:left="3480" w:hanging="3480"/>
        <w:jc w:val="both"/>
        <w:rPr>
          <w:rFonts w:ascii="Arial" w:hAnsi="Arial" w:cs="Arial"/>
        </w:rPr>
      </w:pPr>
      <w:r>
        <w:rPr>
          <w:rFonts w:cs="Arial" w:ascii="Arial" w:hAnsi="Arial"/>
        </w:rPr>
        <w:t>/dále jen „</w:t>
      </w:r>
      <w:r>
        <w:rPr>
          <w:rFonts w:cs="Arial" w:ascii="Arial" w:hAnsi="Arial"/>
          <w:b/>
        </w:rPr>
        <w:t>Poskytovatel</w:t>
      </w:r>
      <w:r>
        <w:rPr>
          <w:rFonts w:cs="Arial" w:ascii="Arial" w:hAnsi="Arial"/>
        </w:rPr>
        <w:t>“/</w:t>
      </w:r>
    </w:p>
    <w:p>
      <w:pPr>
        <w:pStyle w:val="Normal"/>
        <w:tabs>
          <w:tab w:val="clear" w:pos="708"/>
          <w:tab w:val="left" w:pos="3480" w:leader="none"/>
        </w:tabs>
        <w:ind w:left="3480" w:hanging="3480"/>
        <w:jc w:val="both"/>
        <w:rPr>
          <w:rFonts w:ascii="Arial" w:hAnsi="Arial" w:cs="Arial"/>
        </w:rPr>
      </w:pPr>
      <w:r>
        <w:rPr>
          <w:rFonts w:cs="Arial" w:ascii="Arial" w:hAnsi="Arial"/>
        </w:rPr>
      </w:r>
    </w:p>
    <w:p>
      <w:pPr>
        <w:pStyle w:val="Normal"/>
        <w:tabs>
          <w:tab w:val="clear" w:pos="708"/>
          <w:tab w:val="left" w:pos="3480" w:leader="none"/>
        </w:tabs>
        <w:ind w:left="3480" w:hanging="3480"/>
        <w:jc w:val="both"/>
        <w:rPr>
          <w:rFonts w:ascii="Arial" w:hAnsi="Arial" w:cs="Arial"/>
        </w:rPr>
      </w:pPr>
      <w:r>
        <w:rPr>
          <w:rFonts w:cs="Arial" w:ascii="Arial" w:hAnsi="Arial"/>
        </w:rPr>
        <w:t>a</w:t>
      </w:r>
    </w:p>
    <w:p>
      <w:pPr>
        <w:pStyle w:val="Normal"/>
        <w:rPr/>
      </w:pPr>
      <w:r>
        <w:rPr/>
      </w:r>
    </w:p>
    <w:p>
      <w:pPr>
        <w:pStyle w:val="Nadpis1"/>
        <w:jc w:val="both"/>
        <w:rPr>
          <w:rFonts w:ascii="Arial" w:hAnsi="Arial" w:cs="Arial"/>
          <w:sz w:val="24"/>
        </w:rPr>
      </w:pPr>
      <w:r>
        <w:rPr>
          <w:rFonts w:cs="Arial" w:ascii="Arial" w:hAnsi="Arial"/>
          <w:sz w:val="24"/>
        </w:rPr>
        <w:t>Plzeňský kraj</w:t>
      </w:r>
    </w:p>
    <w:p>
      <w:pPr>
        <w:pStyle w:val="Normal"/>
        <w:tabs>
          <w:tab w:val="clear" w:pos="708"/>
          <w:tab w:val="left" w:pos="3480" w:leader="none"/>
        </w:tabs>
        <w:jc w:val="both"/>
        <w:rPr>
          <w:rFonts w:ascii="Arial" w:hAnsi="Arial" w:cs="Arial"/>
        </w:rPr>
      </w:pPr>
      <w:r>
        <w:rPr>
          <w:rFonts w:cs="Arial" w:ascii="Arial" w:hAnsi="Arial"/>
        </w:rPr>
        <w:t xml:space="preserve">se sídlem: </w:t>
        <w:tab/>
        <w:t>Škroupova 18, 306 13 Plzeň</w:t>
      </w:r>
    </w:p>
    <w:p>
      <w:pPr>
        <w:pStyle w:val="Normal"/>
        <w:tabs>
          <w:tab w:val="clear" w:pos="708"/>
          <w:tab w:val="left" w:pos="3480" w:leader="none"/>
        </w:tabs>
        <w:jc w:val="both"/>
        <w:rPr>
          <w:rFonts w:ascii="Arial" w:hAnsi="Arial" w:cs="Arial"/>
        </w:rPr>
      </w:pPr>
      <w:r>
        <w:rPr>
          <w:rFonts w:cs="Arial" w:ascii="Arial" w:hAnsi="Arial"/>
        </w:rPr>
        <w:t xml:space="preserve">IČO: </w:t>
        <w:tab/>
        <w:t>70890366</w:t>
      </w:r>
    </w:p>
    <w:p>
      <w:pPr>
        <w:pStyle w:val="Normal"/>
        <w:tabs>
          <w:tab w:val="clear" w:pos="708"/>
          <w:tab w:val="left" w:pos="3480" w:leader="none"/>
        </w:tabs>
        <w:ind w:left="3480" w:hanging="3480"/>
        <w:jc w:val="both"/>
        <w:rPr>
          <w:rFonts w:ascii="Arial" w:hAnsi="Arial" w:cs="Arial"/>
        </w:rPr>
      </w:pPr>
      <w:r>
        <w:rPr>
          <w:rFonts w:cs="Arial" w:ascii="Arial" w:hAnsi="Arial"/>
        </w:rPr>
        <w:t>DIČ:</w:t>
        <w:tab/>
        <w:t>CZ70890366</w:t>
      </w:r>
    </w:p>
    <w:p>
      <w:pPr>
        <w:pStyle w:val="Normal"/>
        <w:tabs>
          <w:tab w:val="clear" w:pos="708"/>
          <w:tab w:val="left" w:pos="3480" w:leader="none"/>
        </w:tabs>
        <w:ind w:left="3480" w:hanging="3480"/>
        <w:jc w:val="both"/>
        <w:rPr>
          <w:rFonts w:ascii="Arial" w:hAnsi="Arial" w:cs="Arial"/>
        </w:rPr>
      </w:pPr>
      <w:r>
        <w:rPr>
          <w:rFonts w:cs="Arial" w:ascii="Arial" w:hAnsi="Arial"/>
        </w:rPr>
        <w:t>bankovní spojení:</w:t>
        <w:tab/>
        <w:t>*******************</w:t>
      </w:r>
    </w:p>
    <w:p>
      <w:pPr>
        <w:pStyle w:val="Normal"/>
        <w:tabs>
          <w:tab w:val="clear" w:pos="708"/>
          <w:tab w:val="left" w:pos="3480" w:leader="none"/>
        </w:tabs>
        <w:ind w:left="3480" w:hanging="3480"/>
        <w:jc w:val="both"/>
        <w:rPr>
          <w:rFonts w:ascii="Arial" w:hAnsi="Arial" w:cs="Arial"/>
        </w:rPr>
      </w:pPr>
      <w:r>
        <w:rPr>
          <w:rFonts w:cs="Arial" w:ascii="Arial" w:hAnsi="Arial"/>
        </w:rPr>
        <w:t>číslo bankovního účtu:</w:t>
        <w:tab/>
        <w:t>*******************</w:t>
      </w:r>
    </w:p>
    <w:p>
      <w:pPr>
        <w:pStyle w:val="Normal"/>
        <w:tabs>
          <w:tab w:val="clear" w:pos="708"/>
          <w:tab w:val="left" w:pos="3480" w:leader="none"/>
        </w:tabs>
        <w:ind w:left="3480" w:hanging="3480"/>
        <w:jc w:val="both"/>
        <w:rPr>
          <w:rFonts w:ascii="Arial" w:hAnsi="Arial" w:cs="Arial"/>
        </w:rPr>
      </w:pPr>
      <w:r>
        <w:rPr>
          <w:rFonts w:cs="Arial" w:ascii="Arial" w:hAnsi="Arial"/>
        </w:rPr>
        <w:t>zastoupení:</w:t>
        <w:tab/>
      </w:r>
      <w:r>
        <w:rPr>
          <w:rFonts w:cs="Arial" w:ascii="Arial" w:hAnsi="Arial"/>
          <w:b/>
          <w:bCs/>
        </w:rPr>
        <w:t xml:space="preserve"> Rudolf Špoták, hejtman</w:t>
      </w:r>
    </w:p>
    <w:p>
      <w:pPr>
        <w:pStyle w:val="Normal"/>
        <w:tabs>
          <w:tab w:val="clear" w:pos="708"/>
          <w:tab w:val="left" w:pos="3544" w:leader="none"/>
        </w:tabs>
        <w:ind w:left="3544" w:hanging="3544"/>
        <w:jc w:val="both"/>
        <w:rPr>
          <w:rFonts w:ascii="Arial" w:hAnsi="Arial" w:cs="Arial"/>
        </w:rPr>
      </w:pPr>
      <w:r>
        <w:rPr>
          <w:rFonts w:cs="Arial" w:ascii="Arial" w:hAnsi="Arial"/>
        </w:rPr>
        <w:t>k podpisu Smlouvy oprávněn:</w:t>
        <w:tab/>
      </w:r>
      <w:r>
        <w:rPr>
          <w:rFonts w:cs="Arial" w:ascii="Arial" w:hAnsi="Arial"/>
          <w:b/>
          <w:bCs/>
        </w:rPr>
        <w:t>Ing. Pavel Čížek, náměstek hejtmana pro oblast dopravy,</w:t>
      </w:r>
      <w:r>
        <w:rPr>
          <w:rFonts w:cs="Arial" w:ascii="Arial" w:hAnsi="Arial"/>
          <w:bCs/>
        </w:rPr>
        <w:t xml:space="preserve"> na základě usnesení RPK 2784/22 ze dne 21.11.2022</w:t>
      </w:r>
      <w:r>
        <w:rPr>
          <w:rFonts w:cs="Arial" w:ascii="Arial" w:hAnsi="Arial"/>
        </w:rPr>
        <w:t xml:space="preserve"> </w:t>
      </w:r>
    </w:p>
    <w:p>
      <w:pPr>
        <w:pStyle w:val="UStext"/>
        <w:rPr>
          <w:rFonts w:cs="Arial"/>
        </w:rPr>
      </w:pPr>
      <w:r>
        <w:rPr>
          <w:rFonts w:cs="Arial"/>
        </w:rPr>
      </w:r>
    </w:p>
    <w:p>
      <w:pPr>
        <w:pStyle w:val="UStext"/>
        <w:rPr>
          <w:rFonts w:cs="Arial"/>
        </w:rPr>
      </w:pPr>
      <w:r>
        <w:rPr>
          <w:rFonts w:cs="Arial"/>
        </w:rPr>
        <w:t>na straně druhé jako příjemce dotace</w:t>
      </w:r>
    </w:p>
    <w:p>
      <w:pPr>
        <w:pStyle w:val="Normal"/>
        <w:jc w:val="both"/>
        <w:rPr>
          <w:rFonts w:ascii="Arial" w:hAnsi="Arial" w:cs="Arial"/>
        </w:rPr>
      </w:pPr>
      <w:r>
        <w:rPr>
          <w:rFonts w:cs="Arial" w:ascii="Arial" w:hAnsi="Arial"/>
        </w:rPr>
        <w:t>/dále jen „</w:t>
      </w:r>
      <w:r>
        <w:rPr>
          <w:rFonts w:cs="Arial" w:ascii="Arial" w:hAnsi="Arial"/>
          <w:b/>
        </w:rPr>
        <w:t>Příjemce</w:t>
      </w:r>
      <w:r>
        <w:rPr>
          <w:rFonts w:cs="Arial" w:ascii="Arial" w:hAnsi="Arial"/>
        </w:rPr>
        <w:t>“/</w:t>
      </w:r>
    </w:p>
    <w:p>
      <w:pPr>
        <w:pStyle w:val="UStext"/>
        <w:rPr>
          <w:rFonts w:cs="Arial"/>
        </w:rPr>
      </w:pPr>
      <w:r>
        <w:rPr>
          <w:rFonts w:cs="Arial"/>
        </w:rPr>
      </w:r>
    </w:p>
    <w:p>
      <w:pPr>
        <w:pStyle w:val="Normal"/>
        <w:spacing w:before="0" w:after="120"/>
        <w:jc w:val="both"/>
        <w:rPr>
          <w:rFonts w:ascii="Arial" w:hAnsi="Arial" w:cs="Arial"/>
        </w:rPr>
      </w:pPr>
      <w:r>
        <w:rPr>
          <w:rFonts w:cs="Arial" w:ascii="Arial" w:hAnsi="Arial"/>
        </w:rPr>
        <w:t>uzavírají mezi sebou tuto</w:t>
      </w:r>
    </w:p>
    <w:p>
      <w:pPr>
        <w:pStyle w:val="UStext"/>
        <w:rPr>
          <w:rFonts w:cs="Arial"/>
        </w:rPr>
      </w:pPr>
      <w:r>
        <w:rPr>
          <w:rFonts w:cs="Arial"/>
        </w:rPr>
      </w:r>
    </w:p>
    <w:p>
      <w:pPr>
        <w:pStyle w:val="Nadpis1"/>
        <w:spacing w:before="0" w:after="120"/>
        <w:rPr/>
      </w:pPr>
      <w:r>
        <w:rPr>
          <w:rFonts w:cs="Arial" w:ascii="Arial" w:hAnsi="Arial"/>
          <w:bCs w:val="false"/>
          <w:sz w:val="24"/>
        </w:rPr>
        <w:t>S M L O U V U</w:t>
      </w:r>
    </w:p>
    <w:p>
      <w:pPr>
        <w:pStyle w:val="Normal"/>
        <w:spacing w:before="0" w:after="120"/>
        <w:jc w:val="center"/>
        <w:rPr>
          <w:rFonts w:ascii="Arial" w:hAnsi="Arial" w:cs="Arial"/>
          <w:b/>
          <w:b/>
          <w:bCs/>
        </w:rPr>
      </w:pPr>
      <w:r>
        <w:rPr>
          <w:rFonts w:cs="Arial" w:ascii="Arial" w:hAnsi="Arial"/>
          <w:b/>
          <w:bCs/>
        </w:rPr>
        <w:t>o poskytnutí účelové dotace</w:t>
      </w:r>
    </w:p>
    <w:p>
      <w:pPr>
        <w:pStyle w:val="Normal"/>
        <w:spacing w:before="0" w:after="120"/>
        <w:jc w:val="center"/>
        <w:rPr>
          <w:rFonts w:ascii="Arial" w:hAnsi="Arial" w:cs="Arial"/>
          <w:bCs/>
        </w:rPr>
      </w:pPr>
      <w:r>
        <w:rPr>
          <w:rFonts w:cs="Arial" w:ascii="Arial" w:hAnsi="Arial"/>
          <w:bCs/>
        </w:rPr>
        <w:t>(dále jen „</w:t>
      </w:r>
      <w:r>
        <w:rPr>
          <w:rFonts w:cs="Arial" w:ascii="Arial" w:hAnsi="Arial"/>
          <w:b/>
          <w:bCs/>
        </w:rPr>
        <w:t>Smlouva</w:t>
      </w:r>
      <w:r>
        <w:rPr>
          <w:rFonts w:cs="Arial" w:ascii="Arial" w:hAnsi="Arial"/>
          <w:bCs/>
        </w:rPr>
        <w:t>“)</w:t>
      </w:r>
    </w:p>
    <w:p>
      <w:pPr>
        <w:pStyle w:val="Normal"/>
        <w:spacing w:before="0" w:after="120"/>
        <w:jc w:val="center"/>
        <w:rPr>
          <w:rFonts w:ascii="Arial" w:hAnsi="Arial" w:cs="Arial"/>
          <w:b/>
          <w:b/>
          <w:bCs/>
        </w:rPr>
      </w:pPr>
      <w:r>
        <w:rPr>
          <w:rFonts w:cs="Arial" w:ascii="Arial" w:hAnsi="Arial"/>
          <w:b/>
          <w:bCs/>
        </w:rPr>
      </w:r>
    </w:p>
    <w:p>
      <w:pPr>
        <w:pStyle w:val="Nadpis2"/>
        <w:spacing w:before="0" w:after="120"/>
        <w:rPr>
          <w:rFonts w:ascii="Arial" w:hAnsi="Arial" w:cs="Arial"/>
          <w:bCs w:val="false"/>
        </w:rPr>
      </w:pPr>
      <w:r>
        <w:rPr>
          <w:rFonts w:cs="Arial" w:ascii="Arial" w:hAnsi="Arial"/>
          <w:bCs w:val="false"/>
        </w:rPr>
        <w:t>I.</w:t>
      </w:r>
    </w:p>
    <w:p>
      <w:pPr>
        <w:pStyle w:val="Tlotextu"/>
        <w:rPr>
          <w:rFonts w:ascii="Arial" w:hAnsi="Arial" w:cs="Arial"/>
        </w:rPr>
      </w:pPr>
      <w:r>
        <w:rPr>
          <w:rFonts w:cs="Arial" w:ascii="Arial" w:hAnsi="Arial"/>
        </w:rPr>
        <w:t>Předmětem Smlouvy je poskytnutí účelové finanční dotace (dále také jen „dotace“) určené na zajištění dopravní obslužnosti území Plzeňského kraje v roce 2023, kterou Příjemce jako objednatel veřejné osobní dopravy zajišťuje ve svém územním obvodu. Poskytnutá dotace bude Příjemcem použita na úhradu prokazatelné ztráty (kompenzace) vzniklé dopravcům plněním závazků veřejné služby ve veřejné osobní dopravě na základě smluv dopravců s Příjemcem.</w:t>
      </w:r>
    </w:p>
    <w:p>
      <w:pPr>
        <w:pStyle w:val="Normal"/>
        <w:spacing w:before="0" w:after="120"/>
        <w:jc w:val="both"/>
        <w:rPr>
          <w:rFonts w:ascii="Arial" w:hAnsi="Arial" w:cs="Arial"/>
        </w:rPr>
      </w:pPr>
      <w:r>
        <w:rPr>
          <w:rFonts w:cs="Arial" w:ascii="Arial" w:hAnsi="Arial"/>
        </w:rPr>
      </w:r>
    </w:p>
    <w:p>
      <w:pPr>
        <w:pStyle w:val="Nadpis2"/>
        <w:spacing w:before="0" w:after="120"/>
        <w:rPr>
          <w:rFonts w:ascii="Arial" w:hAnsi="Arial" w:cs="Arial"/>
          <w:bCs w:val="false"/>
        </w:rPr>
      </w:pPr>
      <w:r>
        <w:rPr>
          <w:rFonts w:cs="Arial" w:ascii="Arial" w:hAnsi="Arial"/>
          <w:bCs w:val="false"/>
        </w:rPr>
        <w:t>II.</w:t>
      </w:r>
    </w:p>
    <w:p>
      <w:pPr>
        <w:pStyle w:val="Normal"/>
        <w:numPr>
          <w:ilvl w:val="0"/>
          <w:numId w:val="7"/>
        </w:numPr>
        <w:tabs>
          <w:tab w:val="clear" w:pos="708"/>
          <w:tab w:val="left" w:pos="540" w:leader="none"/>
        </w:tabs>
        <w:spacing w:before="0" w:after="120"/>
        <w:ind w:left="539" w:hanging="539"/>
        <w:jc w:val="both"/>
        <w:rPr>
          <w:rFonts w:ascii="Arial" w:hAnsi="Arial" w:cs="Arial"/>
        </w:rPr>
      </w:pPr>
      <w:r>
        <w:rPr>
          <w:rFonts w:cs="Arial" w:ascii="Arial" w:hAnsi="Arial"/>
        </w:rPr>
        <w:t xml:space="preserve">Poskytovatel se zavazuje poskytnout finanční dotaci ve výši 429960 Kč (slovy čtyřistadvacetdevěttisícdevětsetšedesát korun) Příjemci jako účelovou dotaci pro účel uvedený v článku I. této Smlouvy, a to za podmínek stanovených touto Smlouvou.  </w:t>
      </w:r>
    </w:p>
    <w:p>
      <w:pPr>
        <w:pStyle w:val="Normal"/>
        <w:numPr>
          <w:ilvl w:val="0"/>
          <w:numId w:val="8"/>
        </w:numPr>
        <w:tabs>
          <w:tab w:val="clear" w:pos="708"/>
          <w:tab w:val="left" w:pos="540" w:leader="none"/>
        </w:tabs>
        <w:spacing w:before="0" w:after="120"/>
        <w:ind w:left="539" w:hanging="539"/>
        <w:jc w:val="both"/>
        <w:rPr>
          <w:rFonts w:ascii="Arial" w:hAnsi="Arial" w:cs="Arial"/>
        </w:rPr>
      </w:pPr>
      <w:r>
        <w:rPr>
          <w:rFonts w:cs="Arial" w:ascii="Arial" w:hAnsi="Arial"/>
        </w:rPr>
        <w:t xml:space="preserve">Příjemce se zavazuje tuto finanční dotaci přijmout, využít ji pouze k výše uvedenému účelu a splnit podmínky stanovené touto Smlouvou.  </w:t>
      </w:r>
    </w:p>
    <w:p>
      <w:pPr>
        <w:pStyle w:val="Normal"/>
        <w:numPr>
          <w:ilvl w:val="0"/>
          <w:numId w:val="9"/>
        </w:numPr>
        <w:tabs>
          <w:tab w:val="clear" w:pos="708"/>
          <w:tab w:val="left" w:pos="540" w:leader="none"/>
        </w:tabs>
        <w:spacing w:before="0" w:after="120"/>
        <w:ind w:left="539" w:hanging="539"/>
        <w:jc w:val="both"/>
        <w:rPr>
          <w:rFonts w:ascii="Arial" w:hAnsi="Arial" w:cs="Arial"/>
          <w:color w:val="FF0000"/>
        </w:rPr>
      </w:pPr>
      <w:r>
        <w:rPr>
          <w:rFonts w:cs="Arial" w:ascii="Arial" w:hAnsi="Arial"/>
        </w:rPr>
        <w:t>Příjemce je oprávněn a současně povinen čerpat poskytnutou finanční dotaci v období od jejího převedení na účet uvedený Příjemcem do 31.12.2023. Do 31.12.2023 má být dosaženo stanoveného účelu dotace.</w:t>
      </w:r>
    </w:p>
    <w:p>
      <w:pPr>
        <w:pStyle w:val="Normal"/>
        <w:numPr>
          <w:ilvl w:val="0"/>
          <w:numId w:val="10"/>
        </w:numPr>
        <w:tabs>
          <w:tab w:val="clear" w:pos="708"/>
          <w:tab w:val="left" w:pos="540" w:leader="none"/>
        </w:tabs>
        <w:spacing w:before="0" w:after="120"/>
        <w:ind w:left="539" w:hanging="539"/>
        <w:jc w:val="both"/>
        <w:rPr>
          <w:rFonts w:ascii="Arial" w:hAnsi="Arial" w:cs="Arial"/>
        </w:rPr>
      </w:pPr>
      <w:r>
        <w:rPr>
          <w:rFonts w:cs="Arial" w:ascii="Arial" w:hAnsi="Arial"/>
          <w:bCs/>
        </w:rPr>
        <w:t xml:space="preserve">Finanční prostředky připadající na dotaci budou Poskytovatelem jednorázově poukázány na účet Příjemce uvedený v záhlaví této Smlouvy </w:t>
      </w:r>
      <w:r>
        <w:rPr>
          <w:rFonts w:cs="Arial" w:ascii="Arial" w:hAnsi="Arial"/>
          <w:b/>
          <w:bCs/>
        </w:rPr>
        <w:t>ve lhůtě do 30 dnů od účinnosti této Smlouvy</w:t>
      </w:r>
      <w:r>
        <w:rPr>
          <w:rFonts w:cs="Arial" w:ascii="Arial" w:hAnsi="Arial"/>
          <w:bCs/>
        </w:rPr>
        <w:t>.</w:t>
      </w:r>
      <w:r>
        <w:rPr>
          <w:rFonts w:cs="Arial" w:ascii="Arial" w:hAnsi="Arial"/>
        </w:rPr>
        <w:t xml:space="preserve"> </w:t>
      </w:r>
    </w:p>
    <w:p>
      <w:pPr>
        <w:pStyle w:val="Nadpis2"/>
        <w:spacing w:before="0" w:after="120"/>
        <w:jc w:val="left"/>
        <w:rPr>
          <w:rFonts w:ascii="Arial" w:hAnsi="Arial" w:cs="Arial"/>
          <w:b w:val="false"/>
          <w:b w:val="false"/>
          <w:bCs w:val="false"/>
        </w:rPr>
      </w:pPr>
      <w:r>
        <w:rPr>
          <w:rFonts w:cs="Arial" w:ascii="Arial" w:hAnsi="Arial"/>
          <w:b w:val="false"/>
          <w:bCs w:val="false"/>
        </w:rPr>
      </w:r>
    </w:p>
    <w:p>
      <w:pPr>
        <w:pStyle w:val="Nadpis2"/>
        <w:spacing w:before="0" w:after="120"/>
        <w:rPr>
          <w:rFonts w:ascii="Arial" w:hAnsi="Arial" w:cs="Arial"/>
          <w:bCs w:val="false"/>
        </w:rPr>
      </w:pPr>
      <w:r>
        <w:rPr>
          <w:rFonts w:cs="Arial" w:ascii="Arial" w:hAnsi="Arial"/>
          <w:bCs w:val="false"/>
        </w:rPr>
        <w:t>III.</w:t>
      </w:r>
    </w:p>
    <w:p>
      <w:pPr>
        <w:pStyle w:val="Normal"/>
        <w:spacing w:before="0" w:after="120"/>
        <w:ind w:left="600" w:hanging="0"/>
        <w:jc w:val="both"/>
        <w:rPr>
          <w:rFonts w:ascii="Arial" w:hAnsi="Arial"/>
        </w:rPr>
      </w:pPr>
      <w:r>
        <w:rPr>
          <w:rFonts w:ascii="Arial" w:hAnsi="Arial"/>
        </w:rPr>
        <w:t xml:space="preserve">Přijetí účelové finanční dotace a uzavření této Smlouvy bylo schváleno usnesením Rady Plzeňského kraje č. 2784/22 ze dne 21.11.2022. </w:t>
      </w:r>
    </w:p>
    <w:p>
      <w:pPr>
        <w:pStyle w:val="Nadpis2"/>
        <w:spacing w:before="0" w:after="120"/>
        <w:jc w:val="left"/>
        <w:rPr>
          <w:rFonts w:ascii="Arial" w:hAnsi="Arial" w:cs="Arial"/>
          <w:bCs w:val="false"/>
        </w:rPr>
      </w:pPr>
      <w:r>
        <w:rPr>
          <w:rFonts w:cs="Arial" w:ascii="Arial" w:hAnsi="Arial"/>
          <w:bCs w:val="false"/>
        </w:rPr>
      </w:r>
    </w:p>
    <w:p>
      <w:pPr>
        <w:pStyle w:val="Nadpis2"/>
        <w:spacing w:before="0" w:after="120"/>
        <w:rPr>
          <w:rFonts w:ascii="Arial" w:hAnsi="Arial" w:cs="Arial"/>
          <w:bCs w:val="false"/>
        </w:rPr>
      </w:pPr>
      <w:r>
        <w:rPr>
          <w:rFonts w:cs="Arial" w:ascii="Arial" w:hAnsi="Arial"/>
          <w:bCs w:val="false"/>
        </w:rPr>
        <w:t>IV.</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 xml:space="preserve">Příjemce se zavazuje, že prostředky dotace budou využity výhradně k financování účelu uvedeného v článku I. této Smlouvy. V případě porušení účelovosti použití prostředků dotace je Příjemce povinen vrátit dotaci ve výši neoprávněně použité částky zpět Poskytovateli. Příjemce je povinen dotaci využít hospodárně, efektivně a účelně. V případě porušení povinnosti hospodárného, efektivního a účelného použití prostředků uloží Poskytovatel odvod Příjemci ve výši 30-60 % dotace. </w:t>
      </w:r>
    </w:p>
    <w:p>
      <w:pPr>
        <w:pStyle w:val="Normal"/>
        <w:numPr>
          <w:ilvl w:val="0"/>
          <w:numId w:val="2"/>
        </w:numPr>
        <w:tabs>
          <w:tab w:val="clear" w:pos="708"/>
          <w:tab w:val="left" w:pos="600" w:leader="none"/>
          <w:tab w:val="left" w:pos="720" w:leader="none"/>
        </w:tabs>
        <w:spacing w:before="0" w:after="120"/>
        <w:ind w:left="600" w:hanging="600"/>
        <w:jc w:val="both"/>
        <w:rPr>
          <w:rFonts w:ascii="Arial" w:hAnsi="Arial" w:cs="Arial"/>
        </w:rPr>
      </w:pPr>
      <w:r>
        <w:rPr>
          <w:rFonts w:cs="Arial" w:ascii="Arial" w:hAnsi="Arial"/>
        </w:rPr>
        <w:t>Pokud je Příjemce povinen</w:t>
      </w:r>
      <w:r>
        <w:rPr>
          <w:rFonts w:cs="Arial" w:ascii="Arial" w:hAnsi="Arial"/>
          <w:color w:val="FF0000"/>
        </w:rPr>
        <w:t xml:space="preserve"> </w:t>
      </w:r>
      <w:r>
        <w:rPr>
          <w:rFonts w:cs="Arial" w:ascii="Arial" w:hAnsi="Arial"/>
        </w:rPr>
        <w:t xml:space="preserve">vést účetnictví podle zákona č. 563/1991 Sb., o účetnictví, </w:t>
      </w:r>
      <w:r>
        <w:rPr>
          <w:rFonts w:ascii="Arial" w:hAnsi="Arial"/>
        </w:rPr>
        <w:t>ve znění pozdějších předpisů</w:t>
      </w:r>
      <w:r>
        <w:rPr>
          <w:rFonts w:cs="Arial" w:ascii="Arial" w:hAnsi="Arial"/>
        </w:rPr>
        <w:t xml:space="preserve">, je povinen vést je řádně. Pokud je Příjemce povinen vést daňovou evidenci podle zákona č. 586/1992 Sb., o daních z příjmů, ve znění pozdějších předpisů, je povinen ji vést řádně. Příjemce se zavazuje vést evidenci čerpání poskytnuté dotace odděleně od ostatního účetnictví, popř. daňové evidence. Dotace budou v účetnictví, popř. daňové evidenci, analyticky odlišeny. Příjemce je vždy povinen doložit evidenci čerpání dotace doklady splňujícími charakter účetních dokladů podle zákona o účetnictví, i když účetnictví nevede. V případě porušení ustanovení tohoto odstavce uloží Poskytovatel Příjemci odvod ve výši 5-10 % dotace. </w:t>
      </w:r>
    </w:p>
    <w:p>
      <w:pPr>
        <w:pStyle w:val="Normal"/>
        <w:numPr>
          <w:ilvl w:val="0"/>
          <w:numId w:val="2"/>
        </w:numPr>
        <w:tabs>
          <w:tab w:val="clear" w:pos="708"/>
          <w:tab w:val="left" w:pos="600" w:leader="none"/>
          <w:tab w:val="left" w:pos="720" w:leader="none"/>
        </w:tabs>
        <w:spacing w:before="0" w:after="120"/>
        <w:ind w:left="600" w:hanging="600"/>
        <w:jc w:val="both"/>
        <w:rPr>
          <w:rFonts w:ascii="Arial" w:hAnsi="Arial" w:cs="Arial"/>
        </w:rPr>
      </w:pPr>
      <w:r>
        <w:rPr>
          <w:rFonts w:cs="Arial" w:ascii="Arial" w:hAnsi="Arial"/>
        </w:rPr>
        <w:t xml:space="preserve">Příjemce je povinen předložit Poskytovateli finanční vypořádání použití dotace ve lhůtě do 29.02.2024. Vypořádání se předloží formou prohlášení Příjemce </w:t>
        <w:br/>
        <w:t xml:space="preserve">o tom, že poskytnutá dotace byla v plné výši použita na úhradu prokazatelné ztráty (kompenzace) vzniklé dopravcům plněním závazků veřejné služby ve veřejné osobní dopravě na území Plzeňského kraje na základě smluv dopravců s Příjemcem. V případě, že vypořádání dotace nebude ani v dodatečné lhůtě stanovené Poskytovatelem poskytnuto řádně, je Příjemce povinen dotaci v plné výši, popřípadě v části nedoložené vypořádáním, vrátit ve lhůtě určené v písemné výzvě Poskytovatele. V případě pozdního finančního vypořádání Poskytovatel uloží Příjemci odvod ve výši 5-10 % dotace. </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 xml:space="preserve">Prostředky dotace nebudou Příjemcem poskytnuty jiným fyzickým nebo právnickým osobám, pokud nepůjde o úhradu bezprostředně spojenou s realizací účelu dotace. Pokud by byly prostředky poskytnuty v rozporu s účelem dotace uvedeným v čl. I. této Smlouvy, je Příjemce povinen dotaci vrátit ve výši neoprávněně použité částky.  </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 xml:space="preserve">Z poskytnuté dotace nelze hradit pojistné, pokuty, penále, náhradu škody, soudní poplatky, smluvní pokuty, úroky z prodlení nebo poplatky z prodlení, správní poplatky, daně a odvody, splátky úvěrů a půjček, dary; pokud je Příjemce ve smyslu zákona č. 235/2004 Sb., o dani z přidané hodnoty, ve znění pozdějších předpisů, plátcem a může uplatnit nárok na odpočet daně, nelze z dotace hradit část nákladů odpovídajících výši uplatněného nároku na odpočet daně. V případě pochybnosti, zda lze náklad z prostředků dotace hradit či nikoliv, rozhoduje o uznatelnosti nákladu výhradně Poskytovatel. </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 xml:space="preserve">V případě, že nedojde k uskutečnění účelu, na který byla poskytnuta finanční dotace, do data, do kterého je Příjemce oprávněn čerpat dotaci dle čl. II. odst. 3 této Smlouvy, je Příjemce povinen vrátit dotaci v plné výši Poskytovateli. V případě, že finanční prostředky nebudou do této doby vyčerpány v plné výši, je Příjemce povinen vrátit Poskytovateli nevyčerpaný zůstatek dotace ve lhůtě pro finanční vypořádání. </w:t>
      </w:r>
    </w:p>
    <w:p>
      <w:pPr>
        <w:pStyle w:val="Normal"/>
        <w:numPr>
          <w:ilvl w:val="0"/>
          <w:numId w:val="2"/>
        </w:numPr>
        <w:tabs>
          <w:tab w:val="clear" w:pos="708"/>
          <w:tab w:val="left" w:pos="600" w:leader="none"/>
          <w:tab w:val="left" w:pos="720" w:leader="none"/>
        </w:tabs>
        <w:spacing w:before="0" w:after="120"/>
        <w:ind w:left="600" w:hanging="600"/>
        <w:jc w:val="both"/>
        <w:rPr>
          <w:rFonts w:ascii="Arial" w:hAnsi="Arial" w:cs="Arial"/>
        </w:rPr>
      </w:pPr>
      <w:r>
        <w:rPr>
          <w:rFonts w:cs="Arial" w:ascii="Arial" w:hAnsi="Arial"/>
        </w:rPr>
        <w:t xml:space="preserve">Příjemce je dále povinen dotaci vrátit, pokud bude zjištěno, že údaje, na jejichž základě byla dotace poskytnuta, byly neúplné nebo nepravdivé. Pokud by se jednalo o nedovolenou veřejnou podporu, je Příjemce povinen dotaci v plné výši vrátit včetně úroku podle pravidel o veřejné podpoře. Příjemce je povinen dotaci vrátit, pokud v souvislosti s projektem spáchá trestný čin, přestupek nebo správní delikt, nebo jeho jednání odporuje veřejnému pořádku. </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 xml:space="preserve">V případě vzniku důvodů pro vrácení finančních prostředků nebo zaplacení odvodu, poukáže je Příjemce bez výzvy neprodleně na účet Poskytovatele uvedený v záhlaví této Smlouvy. </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 xml:space="preserve">Příjemce je povinen bez zbytečného odkladu, nejpozději do 10 dnů ode dne, kdy se dozví o změnách, písemně oznámit Poskytovateli veškeré změny nebo skutečnosti, které by měly vliv na realizaci účelu dotace, včetně změn údajů o Příjemci (změna IČO, bankovního čísla účtu atd.). Příjemce je povinen v případě přeměny nebo zrušení právnické osoby s likvidací oznámit tyto skutečnosti Poskytovateli, podat finanční vypořádání dotace k rozhodnému dni nebo dni vstupu do likvidace a vrátit část dotace, která nebyla vyčerpána před rozhodným dnem nebo dnem vstupu do likvidace. V případě pozdního oznámení změn nebo jejich neoznámení uloží Poskytovatel Příjemci odvod ve výši 5-10 % dotace. </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V případě porušení rozpočtové kázně a zároveň nevrácení poskytnuté dotace Příjemcem Poskytovateli postupuje Poskytovatel způsobem uvedeným v § 22 zákona č. 250/2000 Sb., o rozpočtových pravidlech územních rozpočtů, ve znění pozdějších předpisů, ve spojení se zák. č. 280/2009 Sb., daňový řád, ve znění pozdějších předpisů, tedy vydáním platebního výměru za účelem uložení odvodu a penále do rozpočtu Poskytovatele.</w:t>
      </w:r>
    </w:p>
    <w:p>
      <w:pPr>
        <w:pStyle w:val="Normal"/>
        <w:numPr>
          <w:ilvl w:val="0"/>
          <w:numId w:val="2"/>
        </w:numPr>
        <w:tabs>
          <w:tab w:val="clear" w:pos="708"/>
          <w:tab w:val="left" w:pos="600" w:leader="none"/>
          <w:tab w:val="left" w:pos="720" w:leader="none"/>
        </w:tabs>
        <w:spacing w:before="0" w:after="120"/>
        <w:ind w:left="600" w:hanging="600"/>
        <w:jc w:val="both"/>
        <w:rPr>
          <w:rFonts w:ascii="Arial" w:hAnsi="Arial" w:cs="Arial"/>
        </w:rPr>
      </w:pPr>
      <w:r>
        <w:rPr>
          <w:rFonts w:cs="Arial" w:ascii="Arial" w:hAnsi="Arial"/>
        </w:rPr>
        <w:t xml:space="preserve">Příjemce souhlasí se zveřejněním svého názvu, sídla, účelu dotace a její poskytnuté výše. </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 xml:space="preserve">Poskytnutím dotace se nezakládá nárok na poskytnutí další dotace v případě, že dotovaná akce bude pokračovat v dalších letech. </w:t>
      </w:r>
    </w:p>
    <w:p>
      <w:pPr>
        <w:pStyle w:val="Normal"/>
        <w:numPr>
          <w:ilvl w:val="0"/>
          <w:numId w:val="2"/>
        </w:numPr>
        <w:tabs>
          <w:tab w:val="clear" w:pos="708"/>
          <w:tab w:val="left" w:pos="600" w:leader="none"/>
        </w:tabs>
        <w:spacing w:before="0" w:after="120"/>
        <w:ind w:left="600" w:hanging="600"/>
        <w:jc w:val="both"/>
        <w:rPr>
          <w:rFonts w:ascii="Arial" w:hAnsi="Arial" w:cs="Arial"/>
        </w:rPr>
      </w:pPr>
      <w:r>
        <w:rPr>
          <w:rFonts w:cs="Arial" w:ascii="Arial" w:hAnsi="Arial"/>
        </w:rPr>
        <w:t>Poskytovatel je oprávněn provádět kontrolu užití účelové dotace dle příslušných ustanovení zák. č. 320/2001 Sb., o finanční kontrole, ve znění pozdějších předpisů.</w:t>
      </w:r>
    </w:p>
    <w:p>
      <w:pPr>
        <w:pStyle w:val="Normal"/>
        <w:numPr>
          <w:ilvl w:val="0"/>
          <w:numId w:val="2"/>
        </w:numPr>
        <w:tabs>
          <w:tab w:val="clear" w:pos="708"/>
          <w:tab w:val="left" w:pos="567" w:leader="none"/>
          <w:tab w:val="left" w:pos="720" w:leader="none"/>
        </w:tabs>
        <w:spacing w:before="0" w:after="120"/>
        <w:ind w:left="567" w:hanging="567"/>
        <w:jc w:val="both"/>
        <w:rPr>
          <w:rFonts w:ascii="Arial" w:hAnsi="Arial" w:cs="Arial"/>
          <w:strike/>
        </w:rPr>
      </w:pPr>
      <w:r>
        <w:rPr>
          <w:rFonts w:cs="Arial" w:ascii="Arial" w:hAnsi="Arial"/>
        </w:rPr>
        <w:t xml:space="preserve">Smluvní strany berou na vědomí, že tato Smlouva podléhá zveřejnění podle ust. </w:t>
      </w:r>
      <w:r>
        <w:rPr>
          <w:rFonts w:cs="Arial" w:ascii="Arial" w:hAnsi="Arial"/>
          <w:spacing w:val="2"/>
        </w:rPr>
        <w:t>§ 10d zákona č. 250/2000 Sb., o rozpočtových pravidlech územních rozpočtů,</w:t>
      </w:r>
      <w:r>
        <w:rPr>
          <w:rFonts w:cs="Arial" w:ascii="Arial" w:hAnsi="Arial"/>
        </w:rPr>
        <w:t xml:space="preserve"> ve znění pozdějších předpisů a uveřejnění ve smyslu zákona </w:t>
        <w:br/>
        <w:t xml:space="preserve">č. 340/2015 Sb., o zvláštních podmínkách účinnosti některých smluv, uveřejňování těchto smluv a o registru smluv, ve znění pozdějších předpisů (dále jen „zákon o registru smluv“). Smluvní strany se dohodly, že Smlouvu k uveřejnění v registru smluv zašle správci registru smluv Poskytovatel dotace. </w:t>
      </w:r>
    </w:p>
    <w:p>
      <w:pPr>
        <w:pStyle w:val="Normal"/>
        <w:numPr>
          <w:ilvl w:val="0"/>
          <w:numId w:val="2"/>
        </w:numPr>
        <w:tabs>
          <w:tab w:val="clear" w:pos="708"/>
          <w:tab w:val="left" w:pos="600" w:leader="none"/>
          <w:tab w:val="left" w:pos="720" w:leader="none"/>
        </w:tabs>
        <w:spacing w:before="0" w:after="120"/>
        <w:ind w:left="600" w:hanging="600"/>
        <w:jc w:val="both"/>
        <w:rPr>
          <w:rFonts w:ascii="Arial" w:hAnsi="Arial" w:cs="Arial"/>
          <w:strike/>
        </w:rPr>
      </w:pPr>
      <w:r>
        <w:rPr>
          <w:rFonts w:cs="Arial" w:ascii="Arial" w:hAnsi="Arial"/>
        </w:rPr>
        <w:t xml:space="preserve">Poskytovatel se zavazuje uveřejnit tuto Smlouvu v registru smluv ve smyslu zákona o registru smluv nejpozději do 30 dnů od jejího uzavření. Okamžikem uveřejnění Smlouvy v registru smluv nabývá Smlouva účinnosti. </w:t>
      </w:r>
    </w:p>
    <w:p>
      <w:pPr>
        <w:pStyle w:val="Normal"/>
        <w:tabs>
          <w:tab w:val="clear" w:pos="708"/>
          <w:tab w:val="left" w:pos="720" w:leader="none"/>
        </w:tabs>
        <w:spacing w:before="0" w:after="120"/>
        <w:jc w:val="both"/>
        <w:rPr>
          <w:rFonts w:ascii="Arial" w:hAnsi="Arial" w:cs="Arial"/>
          <w:strike/>
        </w:rPr>
      </w:pPr>
      <w:r>
        <w:rPr>
          <w:rFonts w:cs="Arial" w:ascii="Arial" w:hAnsi="Arial"/>
          <w:strike/>
        </w:rPr>
      </w:r>
    </w:p>
    <w:p>
      <w:pPr>
        <w:pStyle w:val="Nadpis2"/>
        <w:tabs>
          <w:tab w:val="clear" w:pos="708"/>
          <w:tab w:val="center" w:pos="4536" w:leader="none"/>
        </w:tabs>
        <w:spacing w:before="0" w:after="120"/>
        <w:jc w:val="left"/>
        <w:rPr>
          <w:rFonts w:ascii="Arial" w:hAnsi="Arial" w:cs="Arial"/>
          <w:bCs w:val="false"/>
        </w:rPr>
      </w:pPr>
      <w:r>
        <w:rPr>
          <w:rFonts w:cs="Arial" w:ascii="Arial" w:hAnsi="Arial"/>
          <w:bCs w:val="false"/>
        </w:rPr>
        <w:tab/>
        <w:t>V.</w:t>
      </w:r>
    </w:p>
    <w:p>
      <w:pPr>
        <w:pStyle w:val="Normal"/>
        <w:numPr>
          <w:ilvl w:val="0"/>
          <w:numId w:val="3"/>
        </w:numPr>
        <w:tabs>
          <w:tab w:val="clear" w:pos="708"/>
          <w:tab w:val="left" w:pos="600" w:leader="none"/>
        </w:tabs>
        <w:spacing w:before="0" w:after="120"/>
        <w:ind w:left="600" w:hanging="600"/>
        <w:jc w:val="both"/>
        <w:rPr>
          <w:rFonts w:ascii="Arial" w:hAnsi="Arial" w:cs="Arial"/>
        </w:rPr>
      </w:pPr>
      <w:r>
        <w:rPr>
          <w:rFonts w:cs="Arial" w:ascii="Arial" w:hAnsi="Arial"/>
        </w:rPr>
        <w:t xml:space="preserve">Smlouva nabývá platnosti dnem podpisu obou smluvních stran. </w:t>
      </w:r>
    </w:p>
    <w:p>
      <w:pPr>
        <w:pStyle w:val="Normal"/>
        <w:numPr>
          <w:ilvl w:val="0"/>
          <w:numId w:val="3"/>
        </w:numPr>
        <w:tabs>
          <w:tab w:val="clear" w:pos="708"/>
          <w:tab w:val="left" w:pos="600" w:leader="none"/>
        </w:tabs>
        <w:spacing w:before="0" w:after="120"/>
        <w:ind w:left="600" w:hanging="600"/>
        <w:jc w:val="both"/>
        <w:rPr>
          <w:rFonts w:ascii="Arial" w:hAnsi="Arial" w:cs="Arial"/>
        </w:rPr>
      </w:pPr>
      <w:r>
        <w:rPr>
          <w:rFonts w:cs="Arial" w:ascii="Arial" w:hAnsi="Arial"/>
        </w:rPr>
        <w:t>Smlouva je uzavřena v elektronické podobě.</w:t>
      </w:r>
    </w:p>
    <w:p>
      <w:pPr>
        <w:pStyle w:val="Normal"/>
        <w:numPr>
          <w:ilvl w:val="0"/>
          <w:numId w:val="3"/>
        </w:numPr>
        <w:tabs>
          <w:tab w:val="clear" w:pos="708"/>
          <w:tab w:val="left" w:pos="600" w:leader="none"/>
        </w:tabs>
        <w:spacing w:before="0" w:after="120"/>
        <w:ind w:left="600" w:hanging="600"/>
        <w:jc w:val="both"/>
        <w:rPr>
          <w:rFonts w:ascii="Arial" w:hAnsi="Arial" w:cs="Arial"/>
        </w:rPr>
      </w:pPr>
      <w:r>
        <w:rPr>
          <w:rFonts w:cs="Arial" w:ascii="Arial" w:hAnsi="Arial"/>
        </w:rPr>
        <w:t>Změny a doplňky k této Smlouvě lze provést pouze po vzájemném odsouhlasení smluvních stran, a to písemně, s číselně označenými dodatky, podepsanými oběma smluvními stranami.</w:t>
      </w:r>
    </w:p>
    <w:p>
      <w:pPr>
        <w:pStyle w:val="Normal"/>
        <w:numPr>
          <w:ilvl w:val="0"/>
          <w:numId w:val="3"/>
        </w:numPr>
        <w:tabs>
          <w:tab w:val="clear" w:pos="708"/>
          <w:tab w:val="left" w:pos="600" w:leader="none"/>
        </w:tabs>
        <w:spacing w:before="0" w:after="120"/>
        <w:ind w:left="600" w:hanging="600"/>
        <w:jc w:val="both"/>
        <w:rPr>
          <w:rFonts w:ascii="Arial" w:hAnsi="Arial" w:cs="Arial"/>
        </w:rPr>
      </w:pPr>
      <w:r>
        <w:rPr>
          <w:rFonts w:cs="Arial" w:ascii="Arial" w:hAnsi="Arial"/>
        </w:rPr>
        <w:t>Smluvní strany prohlašují, že tato Smlouva byla sepsána podle jejich pravé a svobodné vůle prosté omylu a donucení, nikoli v tísni, že Smlouva není zdánlivým právním jednáním, že obě smluvní strany souhlasí s celým jejím obsahem.</w:t>
      </w:r>
    </w:p>
    <w:p>
      <w:pPr>
        <w:pStyle w:val="ListParagraph"/>
        <w:numPr>
          <w:ilvl w:val="0"/>
          <w:numId w:val="3"/>
        </w:numPr>
        <w:tabs>
          <w:tab w:val="clear" w:pos="708"/>
          <w:tab w:val="left" w:pos="567" w:leader="none"/>
          <w:tab w:val="left" w:pos="3287" w:leader="none"/>
        </w:tabs>
        <w:spacing w:before="120" w:after="240"/>
        <w:ind w:left="567" w:hanging="567"/>
        <w:contextualSpacing/>
        <w:jc w:val="both"/>
        <w:rPr>
          <w:rFonts w:ascii="Arial" w:hAnsi="Arial" w:cs="Arial"/>
        </w:rPr>
      </w:pPr>
      <w:r>
        <w:rPr>
          <w:rFonts w:cs="Arial" w:ascii="Arial" w:hAnsi="Arial"/>
        </w:rPr>
        <w:t>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a smyslem nejlépe odpovídá obsahu a smyslu původního ustanovení.</w:t>
      </w:r>
    </w:p>
    <w:p>
      <w:pPr>
        <w:pStyle w:val="ListParagraph"/>
        <w:tabs>
          <w:tab w:val="clear" w:pos="708"/>
          <w:tab w:val="left" w:pos="3287" w:leader="none"/>
        </w:tabs>
        <w:spacing w:before="120" w:after="240"/>
        <w:ind w:left="567" w:hanging="0"/>
        <w:contextualSpacing/>
        <w:jc w:val="both"/>
        <w:rPr>
          <w:rFonts w:ascii="Arial" w:hAnsi="Arial" w:cs="Arial"/>
        </w:rPr>
      </w:pPr>
      <w:r>
        <w:rPr>
          <w:rFonts w:cs="Arial" w:ascii="Arial" w:hAnsi="Arial"/>
        </w:rPr>
      </w:r>
    </w:p>
    <w:p>
      <w:pPr>
        <w:pStyle w:val="Tlotextu"/>
        <w:tabs>
          <w:tab w:val="clear" w:pos="708"/>
          <w:tab w:val="center" w:pos="1080" w:leader="none"/>
          <w:tab w:val="left" w:pos="5160" w:leader="none"/>
        </w:tabs>
        <w:spacing w:before="0" w:after="120"/>
        <w:rPr>
          <w:rFonts w:ascii="Arial" w:hAnsi="Arial" w:cs="Arial"/>
        </w:rPr>
      </w:pPr>
      <w:r>
        <w:rPr>
          <w:rFonts w:cs="Arial" w:ascii="Arial" w:hAnsi="Arial"/>
        </w:rPr>
      </w:r>
    </w:p>
    <w:p>
      <w:pPr>
        <w:sectPr>
          <w:type w:val="nextPage"/>
          <w:pgSz w:w="11906" w:h="16838"/>
          <w:pgMar w:left="1417" w:right="1417" w:gutter="0" w:header="0" w:top="1618" w:footer="0" w:bottom="1417"/>
          <w:pgNumType w:start="1" w:fmt="decimal"/>
          <w:formProt w:val="false"/>
          <w:textDirection w:val="lrTb"/>
          <w:docGrid w:type="default" w:linePitch="360" w:charSpace="0"/>
        </w:sectPr>
      </w:pPr>
    </w:p>
    <w:p>
      <w:pPr>
        <w:pStyle w:val="Tlotextu"/>
        <w:tabs>
          <w:tab w:val="clear" w:pos="708"/>
          <w:tab w:val="center" w:pos="0" w:leader="none"/>
          <w:tab w:val="left" w:pos="5160" w:leader="none"/>
        </w:tabs>
        <w:spacing w:before="0" w:after="120"/>
        <w:rPr>
          <w:rFonts w:ascii="Arial" w:hAnsi="Arial" w:cs="Arial"/>
        </w:rPr>
      </w:pPr>
      <w:r>
        <w:rPr>
          <w:rFonts w:cs="Arial" w:ascii="Arial" w:hAnsi="Arial"/>
        </w:rPr>
        <w:t>Za Poskytovatele:</w:t>
      </w:r>
    </w:p>
    <w:p>
      <w:pPr>
        <w:pStyle w:val="Tlotextu"/>
        <w:tabs>
          <w:tab w:val="clear" w:pos="708"/>
          <w:tab w:val="center" w:pos="0" w:leader="none"/>
          <w:tab w:val="left" w:pos="5160" w:leader="none"/>
        </w:tabs>
        <w:spacing w:before="0" w:after="120"/>
        <w:rPr>
          <w:rFonts w:ascii="Arial" w:hAnsi="Arial" w:cs="Arial"/>
        </w:rPr>
      </w:pPr>
      <w:r>
        <w:rPr>
          <w:rFonts w:cs="Arial" w:ascii="Arial" w:hAnsi="Arial"/>
        </w:rPr>
        <w:t>28.02.2023</w:t>
      </w:r>
    </w:p>
    <w:p>
      <w:pPr>
        <w:pStyle w:val="Tlotextu"/>
        <w:tabs>
          <w:tab w:val="clear" w:pos="708"/>
          <w:tab w:val="center" w:pos="0" w:leader="none"/>
          <w:tab w:val="left" w:pos="5160" w:leader="none"/>
        </w:tabs>
        <w:spacing w:before="0" w:after="120"/>
        <w:rPr>
          <w:rFonts w:ascii="Arial" w:hAnsi="Arial" w:cs="Arial"/>
        </w:rPr>
      </w:pPr>
      <w:r>
        <w:rPr>
          <w:rFonts w:cs="Arial" w:ascii="Arial" w:hAnsi="Arial"/>
        </w:rPr>
      </w:r>
    </w:p>
    <w:p>
      <w:pPr>
        <w:pStyle w:val="Tlotextu"/>
        <w:tabs>
          <w:tab w:val="clear" w:pos="708"/>
          <w:tab w:val="center" w:pos="0" w:leader="none"/>
          <w:tab w:val="left" w:pos="5160" w:leader="none"/>
        </w:tabs>
        <w:spacing w:before="0" w:after="120"/>
        <w:rPr>
          <w:rFonts w:ascii="Arial" w:hAnsi="Arial" w:cs="Arial"/>
        </w:rPr>
      </w:pPr>
      <w:r>
        <w:rPr>
          <w:rFonts w:cs="Arial" w:ascii="Arial" w:hAnsi="Arial"/>
        </w:rPr>
        <w:t>……………………………………</w:t>
      </w:r>
      <w:r>
        <w:rPr>
          <w:rFonts w:cs="Arial" w:ascii="Arial" w:hAnsi="Arial"/>
        </w:rPr>
        <w:t xml:space="preserve">.                                                 </w:t>
      </w:r>
      <w:r>
        <w:rPr/>
        <w:t xml:space="preserve"> </w:t>
      </w:r>
    </w:p>
    <w:p>
      <w:pPr>
        <w:pStyle w:val="Tlotextu"/>
        <w:tabs>
          <w:tab w:val="clear" w:pos="708"/>
          <w:tab w:val="center" w:pos="1080" w:leader="none"/>
          <w:tab w:val="left" w:pos="5103" w:leader="none"/>
          <w:tab w:val="center" w:pos="5940" w:leader="none"/>
        </w:tabs>
        <w:spacing w:before="0" w:after="120"/>
        <w:rPr>
          <w:rFonts w:ascii="Arial" w:hAnsi="Arial" w:cs="Arial"/>
        </w:rPr>
      </w:pPr>
      <w:r>
        <w:rPr>
          <w:rFonts w:cs="Arial" w:ascii="Arial" w:hAnsi="Arial"/>
        </w:rPr>
        <w:t>Ing. Radek Wiesner</w:t>
      </w:r>
    </w:p>
    <w:p>
      <w:pPr>
        <w:pStyle w:val="Tlotextu"/>
        <w:tabs>
          <w:tab w:val="clear" w:pos="708"/>
          <w:tab w:val="center" w:pos="1080" w:leader="none"/>
          <w:tab w:val="left" w:pos="5103" w:leader="none"/>
          <w:tab w:val="center" w:pos="5940" w:leader="none"/>
        </w:tabs>
        <w:spacing w:before="0" w:after="120"/>
        <w:rPr>
          <w:rFonts w:ascii="Arial" w:hAnsi="Arial" w:cs="Arial"/>
        </w:rPr>
      </w:pPr>
      <w:r>
        <w:rPr>
          <w:rFonts w:cs="Arial" w:ascii="Arial" w:hAnsi="Arial"/>
          <w:sz w:val="20"/>
          <w:szCs w:val="20"/>
        </w:rPr>
        <w:t>starosta</w:t>
      </w:r>
    </w:p>
    <w:p>
      <w:pPr>
        <w:pStyle w:val="Tlotextu"/>
        <w:tabs>
          <w:tab w:val="clear" w:pos="708"/>
          <w:tab w:val="center" w:pos="1080" w:leader="none"/>
          <w:tab w:val="left" w:pos="5103" w:leader="none"/>
          <w:tab w:val="center" w:pos="5940" w:leader="none"/>
        </w:tabs>
        <w:spacing w:before="0" w:after="120"/>
        <w:rPr>
          <w:rFonts w:ascii="Arial" w:hAnsi="Arial" w:cs="Arial"/>
        </w:rPr>
      </w:pPr>
      <w:r>
        <w:rPr>
          <w:rFonts w:cs="Arial" w:ascii="Arial" w:hAnsi="Arial"/>
        </w:rPr>
      </w:r>
    </w:p>
    <w:p>
      <w:pPr>
        <w:pStyle w:val="Tlotextu"/>
        <w:tabs>
          <w:tab w:val="clear" w:pos="708"/>
          <w:tab w:val="center" w:pos="1080" w:leader="none"/>
          <w:tab w:val="left" w:pos="5103" w:leader="none"/>
          <w:tab w:val="center" w:pos="5940" w:leader="none"/>
        </w:tabs>
        <w:spacing w:before="0" w:after="120"/>
        <w:rPr>
          <w:rFonts w:ascii="Arial" w:hAnsi="Arial" w:cs="Arial"/>
        </w:rPr>
      </w:pPr>
      <w:r>
        <w:rPr>
          <w:rFonts w:cs="Arial" w:ascii="Arial" w:hAnsi="Arial"/>
        </w:rPr>
      </w:r>
    </w:p>
    <w:p>
      <w:pPr>
        <w:pStyle w:val="Tlotextu"/>
        <w:tabs>
          <w:tab w:val="clear" w:pos="708"/>
          <w:tab w:val="center" w:pos="1080" w:leader="none"/>
          <w:tab w:val="left" w:pos="5103" w:leader="none"/>
          <w:tab w:val="center" w:pos="5940" w:leader="none"/>
        </w:tabs>
        <w:spacing w:before="0" w:after="120"/>
        <w:rPr>
          <w:rFonts w:ascii="Arial" w:hAnsi="Arial" w:cs="Arial"/>
        </w:rPr>
      </w:pPr>
      <w:r>
        <w:rPr/>
        <w:t>    </w:t>
      </w:r>
      <w:r>
        <w:rPr>
          <w:rFonts w:cs="Arial" w:ascii="Arial" w:hAnsi="Arial"/>
        </w:rPr>
        <w:t>Za Příjemce:</w:t>
      </w:r>
    </w:p>
    <w:p>
      <w:pPr>
        <w:pStyle w:val="Tlotextu"/>
        <w:tabs>
          <w:tab w:val="clear" w:pos="708"/>
          <w:tab w:val="center" w:pos="0" w:leader="none"/>
          <w:tab w:val="left" w:pos="5160" w:leader="none"/>
        </w:tabs>
        <w:spacing w:before="0" w:after="120"/>
        <w:rPr>
          <w:rFonts w:ascii="Arial" w:hAnsi="Arial" w:cs="Arial"/>
        </w:rPr>
      </w:pPr>
      <w:r>
        <w:rPr>
          <w:rFonts w:cs="Arial" w:ascii="Arial" w:hAnsi="Arial"/>
        </w:rPr>
        <w:t>06.02.2023</w:t>
      </w:r>
    </w:p>
    <w:p>
      <w:pPr>
        <w:pStyle w:val="Tlotextu"/>
        <w:tabs>
          <w:tab w:val="clear" w:pos="708"/>
          <w:tab w:val="center" w:pos="1080" w:leader="none"/>
          <w:tab w:val="left" w:pos="5103" w:leader="none"/>
          <w:tab w:val="center" w:pos="5940" w:leader="none"/>
        </w:tabs>
        <w:spacing w:before="0" w:after="120"/>
        <w:rPr>
          <w:rFonts w:ascii="Arial" w:hAnsi="Arial" w:cs="Arial"/>
        </w:rPr>
      </w:pPr>
      <w:r>
        <w:rPr>
          <w:rFonts w:cs="Arial" w:ascii="Arial" w:hAnsi="Arial"/>
        </w:rPr>
      </w:r>
    </w:p>
    <w:p>
      <w:pPr>
        <w:pStyle w:val="Tlotextu"/>
        <w:tabs>
          <w:tab w:val="clear" w:pos="708"/>
          <w:tab w:val="center" w:pos="1080" w:leader="none"/>
          <w:tab w:val="left" w:pos="5103" w:leader="none"/>
          <w:tab w:val="center" w:pos="5940" w:leader="none"/>
        </w:tabs>
        <w:spacing w:before="0" w:after="120"/>
        <w:rPr>
          <w:rFonts w:ascii="Arial" w:hAnsi="Arial" w:cs="Arial"/>
        </w:rPr>
      </w:pPr>
      <w:r>
        <w:rPr>
          <w:rFonts w:cs="Arial" w:ascii="Arial" w:hAnsi="Arial"/>
        </w:rPr>
        <w:t xml:space="preserve">   ……………………………………</w:t>
      </w:r>
      <w:r>
        <w:rPr>
          <w:rFonts w:cs="Arial" w:ascii="Arial" w:hAnsi="Arial"/>
        </w:rPr>
        <w:t xml:space="preserve">.                                                </w:t>
      </w:r>
      <w:r>
        <w:rPr/>
        <w:t xml:space="preserve"> </w:t>
      </w:r>
    </w:p>
    <w:p>
      <w:pPr>
        <w:pStyle w:val="Tlotextu"/>
        <w:tabs>
          <w:tab w:val="clear" w:pos="708"/>
          <w:tab w:val="center" w:pos="1080" w:leader="none"/>
          <w:tab w:val="left" w:pos="5103" w:leader="none"/>
          <w:tab w:val="center" w:pos="5940" w:leader="none"/>
        </w:tabs>
        <w:spacing w:before="0" w:after="120"/>
        <w:rPr>
          <w:rFonts w:ascii="Arial" w:hAnsi="Arial" w:cs="Arial"/>
        </w:rPr>
      </w:pPr>
      <w:r>
        <w:rPr>
          <w:rFonts w:cs="Arial" w:ascii="Arial" w:hAnsi="Arial"/>
        </w:rPr>
        <w:t>   </w:t>
      </w:r>
      <w:r>
        <w:rPr>
          <w:rFonts w:cs="Arial" w:ascii="Arial" w:hAnsi="Arial"/>
        </w:rPr>
        <w:t>Ing. Pavel Čížek</w:t>
      </w:r>
    </w:p>
    <w:p>
      <w:pPr>
        <w:pStyle w:val="Tlotextu"/>
        <w:tabs>
          <w:tab w:val="clear" w:pos="708"/>
          <w:tab w:val="center" w:pos="1080" w:leader="none"/>
          <w:tab w:val="center" w:pos="5103" w:leader="none"/>
          <w:tab w:val="left" w:pos="5160" w:leader="none"/>
        </w:tabs>
        <w:spacing w:before="0" w:after="120"/>
        <w:rPr>
          <w:rFonts w:ascii="Arial" w:hAnsi="Arial" w:cs="Arial"/>
          <w:sz w:val="20"/>
          <w:szCs w:val="20"/>
        </w:rPr>
      </w:pPr>
      <w:r>
        <w:rPr>
          <w:rFonts w:cs="Arial" w:ascii="Arial" w:hAnsi="Arial"/>
          <w:sz w:val="20"/>
          <w:szCs w:val="20"/>
        </w:rPr>
        <w:tab/>
        <w:t xml:space="preserve">    náměstek hejtmana pro oblast dopravy </w:t>
      </w:r>
    </w:p>
    <w:p>
      <w:pPr>
        <w:pStyle w:val="Tlotextu"/>
        <w:tabs>
          <w:tab w:val="clear" w:pos="708"/>
          <w:tab w:val="center" w:pos="1080" w:leader="none"/>
          <w:tab w:val="left" w:pos="5103" w:leader="none"/>
          <w:tab w:val="center" w:pos="5940" w:leader="none"/>
        </w:tabs>
        <w:spacing w:before="0" w:after="120"/>
        <w:rPr>
          <w:rFonts w:ascii="Arial" w:hAnsi="Arial" w:cs="Arial"/>
        </w:rPr>
      </w:pPr>
      <w:r>
        <w:rPr>
          <w:rFonts w:cs="Arial" w:ascii="Arial" w:hAnsi="Arial"/>
        </w:rPr>
      </w:r>
    </w:p>
    <w:p>
      <w:pPr>
        <w:sectPr>
          <w:type w:val="continuous"/>
          <w:pgSz w:w="11906" w:h="16838"/>
          <w:pgMar w:left="1417" w:right="1417" w:gutter="0" w:header="0" w:top="1618" w:footer="0" w:bottom="1417"/>
          <w:cols w:num="2" w:space="708" w:equalWidth="true" w:sep="false"/>
          <w:formProt w:val="false"/>
          <w:textDirection w:val="lrTb"/>
          <w:docGrid w:type="default" w:linePitch="360" w:charSpace="0"/>
        </w:sectPr>
      </w:pPr>
    </w:p>
    <w:p>
      <w:pPr>
        <w:pStyle w:val="Tlotextu"/>
        <w:tabs>
          <w:tab w:val="clear" w:pos="708"/>
          <w:tab w:val="center" w:pos="1080" w:leader="none"/>
          <w:tab w:val="left" w:pos="5103" w:leader="none"/>
          <w:tab w:val="center" w:pos="5940" w:leader="none"/>
        </w:tabs>
        <w:spacing w:before="0" w:after="120"/>
        <w:rPr>
          <w:rFonts w:ascii="Arial" w:hAnsi="Arial" w:cs="Arial"/>
          <w:b/>
          <w:b/>
          <w:bCs/>
          <w:i/>
          <w:i/>
          <w:iCs/>
        </w:rPr>
      </w:pPr>
      <w:r>
        <w:rPr>
          <w:rFonts w:cs="Arial" w:ascii="Arial" w:hAnsi="Arial"/>
          <w:b/>
          <w:bCs/>
          <w:i/>
          <w:iCs/>
        </w:rPr>
        <w:t>Smlouva je podepsána elektronicky ověřeným podpisem.</w:t>
      </w:r>
    </w:p>
    <w:sectPr>
      <w:type w:val="continuous"/>
      <w:pgSz w:w="11906" w:h="16838"/>
      <w:pgMar w:left="1417" w:right="1417" w:gutter="0" w:header="0" w:top="1618" w:footer="0" w:bottom="141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Arial">
    <w:charset w:val="ee"/>
    <w:family w:val="roman"/>
    <w:pitch w:val="variable"/>
  </w:font>
  <w:font w:name="Tahoma">
    <w:charset w:val="ee"/>
    <w:family w:val="roman"/>
    <w:pitch w:val="variable"/>
  </w:font>
  <w:font w:name="Calibri">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i w:val="false"/>
        <w:b w:val="false"/>
        <w:rFonts w:cs="Times New Roman"/>
        <w:color w:val="auto"/>
      </w:rPr>
    </w:lvl>
    <w:lvl w:ilvl="1">
      <w:start w:val="1"/>
      <w:numFmt w:val="decimal"/>
      <w:lvlText w:val="%2."/>
      <w:lvlJc w:val="left"/>
      <w:pPr>
        <w:tabs>
          <w:tab w:val="num" w:pos="1440"/>
        </w:tabs>
        <w:ind w:left="1440" w:hanging="360"/>
      </w:pPr>
      <w:rPr>
        <w:i w:val="false"/>
        <w:b w:val="false"/>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lvl w:ilvl="0">
      <w:start w:val="1"/>
      <w:numFmt w:val="decimal"/>
      <w:lvlText w:val="%1."/>
      <w:lvlJc w:val="left"/>
      <w:pPr>
        <w:tabs>
          <w:tab w:val="num" w:pos="360"/>
        </w:tabs>
        <w:ind w:left="360" w:hanging="360"/>
      </w:pPr>
      <w:rPr>
        <w:dstrike w:val="false"/>
        <w:strike w:val="false"/>
        <w:i w:val="false"/>
        <w:b w:val="false"/>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lvl w:ilvl="0">
      <w:start w:val="1"/>
      <w:numFmt w:val="decimal"/>
      <w:lvlText w:val="%1."/>
      <w:lvlJc w:val="left"/>
      <w:pPr>
        <w:tabs>
          <w:tab w:val="num" w:pos="360"/>
        </w:tabs>
        <w:ind w:left="360" w:hanging="360"/>
      </w:pPr>
      <w:rPr>
        <w:i w:val="false"/>
        <w:b w:val="false"/>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rPr>
        <w:i w:val="false"/>
        <w:b w:val="false"/>
        <w:rFonts w:cs="Times New Roman"/>
        <w:color w:val="auto"/>
      </w:rPr>
    </w:lvl>
    <w:lvl w:ilvl="1">
      <w:start w:val="1"/>
      <w:numFmt w:val="decimal"/>
      <w:lvlText w:val="%2."/>
      <w:lvlJc w:val="left"/>
      <w:pPr>
        <w:tabs>
          <w:tab w:val="num" w:pos="1440"/>
        </w:tabs>
        <w:ind w:left="1440" w:hanging="360"/>
      </w:pPr>
      <w:rPr>
        <w:i w:val="false"/>
        <w:b w:val="false"/>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
    <w:lvlOverride w:ilvl="0">
      <w:startOverride w:val="1"/>
    </w:lvlOverride>
  </w:num>
  <w:num w:numId="8">
    <w:abstractNumId w:val="5"/>
  </w:num>
  <w:num w:numId="9">
    <w:abstractNumId w:val="5"/>
  </w:num>
  <w:num w:numId="10">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zh-TW"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1caf"/>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uiPriority w:val="99"/>
    <w:qFormat/>
    <w:rsid w:val="00971caf"/>
    <w:pPr>
      <w:keepNext w:val="true"/>
      <w:jc w:val="center"/>
      <w:outlineLvl w:val="0"/>
    </w:pPr>
    <w:rPr>
      <w:rFonts w:ascii="Cambria" w:hAnsi="Cambria"/>
      <w:b/>
      <w:bCs/>
      <w:kern w:val="2"/>
      <w:sz w:val="32"/>
      <w:szCs w:val="32"/>
    </w:rPr>
  </w:style>
  <w:style w:type="paragraph" w:styleId="Nadpis2">
    <w:name w:val="Heading 2"/>
    <w:basedOn w:val="Normal"/>
    <w:next w:val="Normal"/>
    <w:link w:val="Nadpis2Char"/>
    <w:uiPriority w:val="99"/>
    <w:qFormat/>
    <w:rsid w:val="00971caf"/>
    <w:pPr>
      <w:keepNext w:val="true"/>
      <w:jc w:val="center"/>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Nadpis1Char" w:customStyle="1">
    <w:name w:val="Nadpis 1 Char"/>
    <w:link w:val="Nadpis1"/>
    <w:uiPriority w:val="99"/>
    <w:qFormat/>
    <w:locked/>
    <w:rsid w:val="00f35207"/>
    <w:rPr>
      <w:rFonts w:ascii="Cambria" w:hAnsi="Cambria" w:cs="Times New Roman"/>
      <w:b/>
      <w:bCs/>
      <w:kern w:val="2"/>
      <w:sz w:val="32"/>
      <w:szCs w:val="32"/>
    </w:rPr>
  </w:style>
  <w:style w:type="character" w:styleId="Nadpis2Char" w:customStyle="1">
    <w:name w:val="Nadpis 2 Char"/>
    <w:link w:val="Nadpis2"/>
    <w:uiPriority w:val="99"/>
    <w:semiHidden/>
    <w:qFormat/>
    <w:locked/>
    <w:rsid w:val="00f35207"/>
    <w:rPr>
      <w:rFonts w:ascii="Cambria" w:hAnsi="Cambria" w:cs="Times New Roman"/>
      <w:b/>
      <w:bCs/>
      <w:i/>
      <w:iCs/>
      <w:sz w:val="28"/>
      <w:szCs w:val="28"/>
    </w:rPr>
  </w:style>
  <w:style w:type="character" w:styleId="UStextChar" w:customStyle="1">
    <w:name w:val="US_text Char"/>
    <w:link w:val="UStext"/>
    <w:uiPriority w:val="99"/>
    <w:qFormat/>
    <w:locked/>
    <w:rsid w:val="00971caf"/>
    <w:rPr>
      <w:rFonts w:ascii="Arial" w:hAnsi="Arial" w:cs="Times New Roman"/>
      <w:sz w:val="24"/>
      <w:szCs w:val="24"/>
      <w:lang w:val="cs-CZ" w:eastAsia="cs-CZ" w:bidi="ar-SA"/>
    </w:rPr>
  </w:style>
  <w:style w:type="character" w:styleId="ZkladntextChar" w:customStyle="1">
    <w:name w:val="Základní text Char"/>
    <w:link w:val="Zkladntext"/>
    <w:uiPriority w:val="99"/>
    <w:qFormat/>
    <w:locked/>
    <w:rsid w:val="00f35207"/>
    <w:rPr>
      <w:rFonts w:cs="Times New Roman"/>
      <w:sz w:val="24"/>
      <w:szCs w:val="24"/>
    </w:rPr>
  </w:style>
  <w:style w:type="character" w:styleId="TextbublinyChar" w:customStyle="1">
    <w:name w:val="Text bubliny Char"/>
    <w:link w:val="Textbubliny"/>
    <w:uiPriority w:val="99"/>
    <w:semiHidden/>
    <w:qFormat/>
    <w:locked/>
    <w:rsid w:val="00f35207"/>
    <w:rPr>
      <w:rFonts w:ascii="Tahoma" w:hAnsi="Tahoma" w:cs="Tahoma"/>
      <w:sz w:val="16"/>
      <w:szCs w:val="16"/>
    </w:rPr>
  </w:style>
  <w:style w:type="character" w:styleId="ZhlavChar" w:customStyle="1">
    <w:name w:val="Záhlaví Char"/>
    <w:link w:val="Zhlav"/>
    <w:uiPriority w:val="99"/>
    <w:semiHidden/>
    <w:qFormat/>
    <w:locked/>
    <w:rsid w:val="00f35207"/>
    <w:rPr>
      <w:rFonts w:cs="Times New Roman"/>
      <w:sz w:val="24"/>
      <w:szCs w:val="24"/>
    </w:rPr>
  </w:style>
  <w:style w:type="character" w:styleId="ZpatChar" w:customStyle="1">
    <w:name w:val="Zápatí Char"/>
    <w:link w:val="Zpat"/>
    <w:uiPriority w:val="99"/>
    <w:qFormat/>
    <w:locked/>
    <w:rsid w:val="00f35207"/>
    <w:rPr>
      <w:rFonts w:cs="Times New Roman"/>
      <w:sz w:val="24"/>
      <w:szCs w:val="24"/>
    </w:rPr>
  </w:style>
  <w:style w:type="character" w:styleId="Annotationreference">
    <w:name w:val="annotation reference"/>
    <w:uiPriority w:val="99"/>
    <w:semiHidden/>
    <w:qFormat/>
    <w:rsid w:val="00007419"/>
    <w:rPr>
      <w:rFonts w:cs="Times New Roman"/>
      <w:sz w:val="16"/>
      <w:szCs w:val="16"/>
    </w:rPr>
  </w:style>
  <w:style w:type="character" w:styleId="TextkomenteChar" w:customStyle="1">
    <w:name w:val="Text komentáře Char"/>
    <w:link w:val="Textkomente"/>
    <w:uiPriority w:val="99"/>
    <w:semiHidden/>
    <w:qFormat/>
    <w:locked/>
    <w:rsid w:val="00007419"/>
    <w:rPr>
      <w:rFonts w:cs="Times New Roman"/>
    </w:rPr>
  </w:style>
  <w:style w:type="character" w:styleId="PedmtkomenteChar" w:customStyle="1">
    <w:name w:val="Předmět komentáře Char"/>
    <w:link w:val="Pedmtkomente"/>
    <w:uiPriority w:val="99"/>
    <w:semiHidden/>
    <w:qFormat/>
    <w:locked/>
    <w:rsid w:val="00007419"/>
    <w:rPr>
      <w:rFonts w:cs="Times New Roman"/>
      <w:b/>
      <w:bCs/>
    </w:rPr>
  </w:style>
  <w:style w:type="character" w:styleId="Pagenumber">
    <w:name w:val="page number"/>
    <w:uiPriority w:val="99"/>
    <w:qFormat/>
    <w:rsid w:val="00a8522f"/>
    <w:rPr>
      <w:rFonts w:cs="Times New Roman"/>
    </w:rPr>
  </w:style>
  <w:style w:type="character" w:styleId="TextpoznpodarouChar" w:customStyle="1">
    <w:name w:val="Text pozn. pod čarou Char"/>
    <w:link w:val="Textpoznpodarou"/>
    <w:uiPriority w:val="99"/>
    <w:semiHidden/>
    <w:qFormat/>
    <w:rsid w:val="00be288b"/>
    <w:rPr>
      <w:rFonts w:ascii="Calibri" w:hAnsi="Calibri" w:eastAsia="Calibri"/>
      <w:lang w:eastAsia="en-US"/>
    </w:rPr>
  </w:style>
  <w:style w:type="character" w:styleId="Ukotvenpoznmkypodarou">
    <w:name w:val="Ukotvení poznámky pod čarou"/>
    <w:rPr>
      <w:vertAlign w:val="superscript"/>
    </w:rPr>
  </w:style>
  <w:style w:type="character" w:styleId="FootnoteCharacters">
    <w:name w:val="Footnote Characters"/>
    <w:uiPriority w:val="99"/>
    <w:semiHidden/>
    <w:unhideWhenUsed/>
    <w:qFormat/>
    <w:rsid w:val="00be288b"/>
    <w:rPr>
      <w:vertAlign w:val="superscript"/>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link w:val="ZkladntextChar"/>
    <w:uiPriority w:val="99"/>
    <w:rsid w:val="00971caf"/>
    <w:pPr>
      <w:jc w:val="both"/>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lang w:val="zxx" w:eastAsia="zxx" w:bidi="zxx"/>
    </w:rPr>
  </w:style>
  <w:style w:type="paragraph" w:styleId="UStext" w:customStyle="1">
    <w:name w:val="US_text"/>
    <w:basedOn w:val="Normal"/>
    <w:link w:val="UStextChar"/>
    <w:uiPriority w:val="99"/>
    <w:qFormat/>
    <w:rsid w:val="00971caf"/>
    <w:pPr>
      <w:jc w:val="both"/>
    </w:pPr>
    <w:rPr>
      <w:rFonts w:ascii="Arial" w:hAnsi="Arial"/>
    </w:rPr>
  </w:style>
  <w:style w:type="paragraph" w:styleId="BalloonText">
    <w:name w:val="Balloon Text"/>
    <w:basedOn w:val="Normal"/>
    <w:link w:val="TextbublinyChar"/>
    <w:uiPriority w:val="99"/>
    <w:semiHidden/>
    <w:qFormat/>
    <w:rsid w:val="00971caf"/>
    <w:pPr/>
    <w:rPr>
      <w:rFonts w:ascii="Tahoma" w:hAnsi="Tahoma"/>
      <w:sz w:val="16"/>
      <w:szCs w:val="16"/>
    </w:rPr>
  </w:style>
  <w:style w:type="paragraph" w:styleId="Zhlavazpat">
    <w:name w:val="Záhlaví a zápatí"/>
    <w:basedOn w:val="Normal"/>
    <w:qFormat/>
    <w:pPr/>
    <w:rPr/>
  </w:style>
  <w:style w:type="paragraph" w:styleId="Zhlav">
    <w:name w:val="Header"/>
    <w:basedOn w:val="Normal"/>
    <w:link w:val="ZhlavChar"/>
    <w:uiPriority w:val="99"/>
    <w:rsid w:val="00711519"/>
    <w:pPr>
      <w:tabs>
        <w:tab w:val="clear" w:pos="708"/>
        <w:tab w:val="center" w:pos="4536" w:leader="none"/>
        <w:tab w:val="right" w:pos="9072" w:leader="none"/>
      </w:tabs>
    </w:pPr>
    <w:rPr/>
  </w:style>
  <w:style w:type="paragraph" w:styleId="Zpat">
    <w:name w:val="Footer"/>
    <w:basedOn w:val="Normal"/>
    <w:link w:val="ZpatChar"/>
    <w:uiPriority w:val="99"/>
    <w:rsid w:val="00711519"/>
    <w:pPr>
      <w:tabs>
        <w:tab w:val="clear" w:pos="708"/>
        <w:tab w:val="center" w:pos="4536" w:leader="none"/>
        <w:tab w:val="right" w:pos="9072" w:leader="none"/>
      </w:tabs>
    </w:pPr>
    <w:rPr/>
  </w:style>
  <w:style w:type="paragraph" w:styleId="Annotationtext">
    <w:name w:val="annotation text"/>
    <w:basedOn w:val="Normal"/>
    <w:link w:val="TextkomenteChar"/>
    <w:uiPriority w:val="99"/>
    <w:semiHidden/>
    <w:qFormat/>
    <w:rsid w:val="00007419"/>
    <w:pPr/>
    <w:rPr>
      <w:sz w:val="20"/>
      <w:szCs w:val="20"/>
    </w:rPr>
  </w:style>
  <w:style w:type="paragraph" w:styleId="Annotationsubject">
    <w:name w:val="annotation subject"/>
    <w:basedOn w:val="Annotationtext"/>
    <w:next w:val="Annotationtext"/>
    <w:link w:val="PedmtkomenteChar"/>
    <w:uiPriority w:val="99"/>
    <w:semiHidden/>
    <w:qFormat/>
    <w:rsid w:val="00007419"/>
    <w:pPr/>
    <w:rPr>
      <w:b/>
      <w:bCs/>
    </w:rPr>
  </w:style>
  <w:style w:type="paragraph" w:styleId="Revision">
    <w:name w:val="Revision"/>
    <w:uiPriority w:val="99"/>
    <w:semiHidden/>
    <w:qFormat/>
    <w:rsid w:val="00976819"/>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ListParagraph">
    <w:name w:val="List Paragraph"/>
    <w:basedOn w:val="Normal"/>
    <w:uiPriority w:val="34"/>
    <w:qFormat/>
    <w:rsid w:val="004112f9"/>
    <w:pPr>
      <w:spacing w:before="0" w:after="0"/>
      <w:ind w:left="720" w:hanging="0"/>
      <w:contextualSpacing/>
    </w:pPr>
    <w:rPr/>
  </w:style>
  <w:style w:type="paragraph" w:styleId="BlockText">
    <w:name w:val="Block Text"/>
    <w:basedOn w:val="Normal"/>
    <w:qFormat/>
    <w:rsid w:val="008a2d03"/>
    <w:pPr>
      <w:widowControl w:val="false"/>
      <w:ind w:left="2124" w:right="72" w:hanging="2124"/>
    </w:pPr>
    <w:rPr/>
  </w:style>
  <w:style w:type="paragraph" w:styleId="Poznmkapodarou">
    <w:name w:val="Footnote Text"/>
    <w:basedOn w:val="Normal"/>
    <w:link w:val="TextpoznpodarouChar"/>
    <w:uiPriority w:val="99"/>
    <w:semiHidden/>
    <w:unhideWhenUsed/>
    <w:rsid w:val="00be288b"/>
    <w:pPr/>
    <w:rPr>
      <w:rFonts w:ascii="Calibri" w:hAnsi="Calibri" w:eastAsia="Calibri"/>
      <w:sz w:val="20"/>
      <w:szCs w:val="20"/>
      <w:lang w:eastAsia="en-US"/>
    </w:rPr>
  </w:style>
  <w:style w:type="paragraph" w:styleId="PKCislovany" w:customStyle="1">
    <w:name w:val="PK_Cislovany"/>
    <w:basedOn w:val="Normal"/>
    <w:next w:val="Normal"/>
    <w:qFormat/>
    <w:rsid w:val="00e46858"/>
    <w:pPr>
      <w:numPr>
        <w:ilvl w:val="0"/>
        <w:numId w:val="4"/>
      </w:numPr>
      <w:ind w:left="360" w:hanging="0"/>
      <w:jc w:val="both"/>
    </w:pPr>
    <w:rPr>
      <w:rFonts w:ascii="Arial" w:hAnsi="Arial"/>
      <w:lang w:eastAsia="en-US" w:bidi="en-U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bc45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94782-8CC4-4D19-9E38-444CC257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LibreOffice/7.2.6.2$Windows_X86_64 LibreOffice_project/b0ec3a565991f7569a5a7f5d24fed7f52653d754</Application>
  <AppVersion>15.0000</AppVersion>
  <Pages>4</Pages>
  <Words>1354</Words>
  <Characters>7991</Characters>
  <CharactersWithSpaces>9404</CharactersWithSpaces>
  <Paragraphs>64</Paragraphs>
  <Company>KúPk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2023-02-23T13:19:00Z</dcterms:created>
  <dc:creator>Antony Jan</dc:creator>
  <dc:description/>
  <dc:language>cs-CZ</dc:language>
  <cp:lastModifiedBy/>
  <cp:lastPrinted>2022-11-01T11:53:00Z</cp:lastPrinted>
  <dcterms:modified xsi:type="dcterms:W3CDTF">2023-03-01T09:29:15Z</dcterms:modified>
  <cp:revision>3</cp:revision>
  <dc:subject/>
  <dc:title>Plzeňský kraj</dc:title>
</cp:coreProperties>
</file>

<file path=docProps/custom.xml><?xml version="1.0" encoding="utf-8"?>
<Properties xmlns="http://schemas.openxmlformats.org/officeDocument/2006/custom-properties" xmlns:vt="http://schemas.openxmlformats.org/officeDocument/2006/docPropsVTypes"/>
</file>