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CEE7" w14:textId="777D1740" w:rsidR="00ED681F" w:rsidRPr="00550415" w:rsidRDefault="00ED681F" w:rsidP="00ED681F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550415">
        <w:rPr>
          <w:b/>
          <w:sz w:val="28"/>
          <w:szCs w:val="28"/>
        </w:rPr>
        <w:t>POPIS PŘEDMĚTU PLNĚNÍ VEŘEJNÉ ZAKÁZKY</w:t>
      </w:r>
    </w:p>
    <w:p w14:paraId="7E6960C9" w14:textId="77777777" w:rsidR="00ED681F" w:rsidRPr="00550415" w:rsidRDefault="00ED681F" w:rsidP="00ED681F">
      <w:pPr>
        <w:pStyle w:val="Zhlav"/>
        <w:tabs>
          <w:tab w:val="clear" w:pos="4536"/>
          <w:tab w:val="clear" w:pos="9072"/>
        </w:tabs>
        <w:jc w:val="center"/>
        <w:rPr>
          <w:b/>
        </w:rPr>
      </w:pPr>
      <w:r w:rsidRPr="00550415">
        <w:rPr>
          <w:b/>
        </w:rPr>
        <w:t>„Pavilon pro matku a dítě – projektová dokumentace“</w:t>
      </w:r>
    </w:p>
    <w:p w14:paraId="2BB2FC60" w14:textId="77777777" w:rsidR="00ED681F" w:rsidRPr="001D4864" w:rsidRDefault="00ED681F" w:rsidP="00ED681F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</w:p>
    <w:p w14:paraId="0C88C45F" w14:textId="77777777" w:rsidR="00ED681F" w:rsidRPr="00F56198" w:rsidRDefault="00ED681F" w:rsidP="00ED681F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 w:rsidRPr="00F56198">
        <w:rPr>
          <w:rFonts w:eastAsiaTheme="minorHAnsi"/>
          <w:lang w:eastAsia="en-US"/>
        </w:rPr>
        <w:t>Předmětem plnění této veřejné zakázky je zhotovení projektové dokumentace, předprojektová a inženýrská činnost, poskytnutí souvisejících odborných výkonů v průběhu zadávacího řízení na zhotovitele stavby, zajištění společného datového prostředí a výkon autorského dozoru projektanta v souvislosti s</w:t>
      </w:r>
      <w:r>
        <w:rPr>
          <w:rFonts w:eastAsiaTheme="minorHAnsi"/>
          <w:lang w:eastAsia="en-US"/>
        </w:rPr>
        <w:t> rekonstrukcí stávajících budov A a B a přístavbou na Pavilon pro matku a dítě v areálu Klaudiánovy nemocnice v Mladé Boleslavi.</w:t>
      </w:r>
    </w:p>
    <w:p w14:paraId="31071341" w14:textId="6A100942" w:rsidR="004D0E7E" w:rsidRDefault="006945EC" w:rsidP="004D0E7E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Zadavatel</w:t>
      </w:r>
      <w:r w:rsidR="00ED681F" w:rsidRPr="00F56198">
        <w:rPr>
          <w:rFonts w:eastAsiaTheme="minorHAnsi"/>
          <w:lang w:eastAsia="en-US"/>
        </w:rPr>
        <w:t xml:space="preserve"> požaduje</w:t>
      </w:r>
      <w:r>
        <w:rPr>
          <w:rFonts w:eastAsiaTheme="minorHAnsi"/>
          <w:lang w:eastAsia="en-US"/>
        </w:rPr>
        <w:t>,</w:t>
      </w:r>
      <w:r w:rsidR="00ED681F" w:rsidRPr="00F56198">
        <w:rPr>
          <w:rFonts w:eastAsiaTheme="minorHAnsi"/>
          <w:lang w:eastAsia="en-US"/>
        </w:rPr>
        <w:t xml:space="preserve"> s </w:t>
      </w:r>
      <w:r>
        <w:rPr>
          <w:rFonts w:eastAsiaTheme="minorHAnsi"/>
          <w:lang w:eastAsia="en-US"/>
        </w:rPr>
        <w:t>odkazem</w:t>
      </w:r>
      <w:r w:rsidR="00ED681F" w:rsidRPr="00F56198">
        <w:rPr>
          <w:rFonts w:eastAsiaTheme="minorHAnsi"/>
          <w:lang w:eastAsia="en-US"/>
        </w:rPr>
        <w:t xml:space="preserve"> na usnesení vlády ČR č. 682 ze dne 25.09.2017, respektive jeho aktualizací </w:t>
      </w:r>
      <w:r w:rsidR="00ED681F" w:rsidRPr="004B0660">
        <w:rPr>
          <w:rFonts w:eastAsiaTheme="minorHAnsi"/>
          <w:lang w:eastAsia="en-US"/>
        </w:rPr>
        <w:t>usnesením vlády č. 41 ze dne 18.01.2021, zpracování projektové dokumentace za využití metody BIM. BIM (Building Information Modeling), neboli informační modelování staveb znamená používání sdílené digitální reprezentace vystavěného aktiva (stavby) k usnadnění procesů navrhování, výstavby a provozu pro vytváření spolehlivého základu pro rozhodování (ČSN EN ISO 19650). Výsledkem některých procesů BIM je digitální model stavby (DiMS) představující geometrický model s dohodnutými vlastnostmi prvků a konstrukcí. Dodržováním postupů dle metody BIM vzniká informační model stavby (IMS) představující soubor strukturovaných a nestrukturovaných informací v chráněných i otevřených formátech. Soustředění a propojení informací v modelu znamená informační komplexnost v průběhu celého životního cyklu stavby (projektová dokumentace, realizace stavby, provoz stavby a demolice).</w:t>
      </w:r>
    </w:p>
    <w:p w14:paraId="3C63CD53" w14:textId="552FA8E2" w:rsidR="004D0E7E" w:rsidRDefault="004D0E7E" w:rsidP="006945EC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4D0E7E">
        <w:rPr>
          <w:bCs/>
        </w:rPr>
        <w:t xml:space="preserve">Součástí předmětu plnění je taktéž zřízení a zajištění Společného datového prostředí (Common Data Environment) vybraným dodavatelem. Bližší specifikace ke Společnému datovému prostředí je specifikována přílohami EIR, Technická specifikace CDE a BIM protokol. Zároveň se požaduje součinnost vybraného dodavatele po dokončení projektových prací v rámci převodu dat ze Společného datového prostředí na interní úložiště </w:t>
      </w:r>
      <w:r w:rsidR="006945EC">
        <w:rPr>
          <w:bCs/>
        </w:rPr>
        <w:t>zadavatele</w:t>
      </w:r>
      <w:r w:rsidRPr="004D0E7E">
        <w:rPr>
          <w:bCs/>
        </w:rPr>
        <w:t xml:space="preserve">. Cena za </w:t>
      </w:r>
      <w:r w:rsidR="006945EC">
        <w:rPr>
          <w:bCs/>
        </w:rPr>
        <w:t xml:space="preserve">tuto součást plnění </w:t>
      </w:r>
      <w:r w:rsidRPr="004D0E7E">
        <w:rPr>
          <w:bCs/>
        </w:rPr>
        <w:t>je součástí ceny za jednotlivé fáze a nebude tedy účtována nad rámec sjednané částky.</w:t>
      </w:r>
      <w:r w:rsidR="006945EC">
        <w:rPr>
          <w:bCs/>
        </w:rPr>
        <w:t xml:space="preserve"> </w:t>
      </w:r>
    </w:p>
    <w:p w14:paraId="1E741176" w14:textId="07AA902E" w:rsidR="004D0E7E" w:rsidRPr="004D0E7E" w:rsidRDefault="006945EC" w:rsidP="004D0E7E">
      <w:pPr>
        <w:jc w:val="both"/>
        <w:rPr>
          <w:bCs/>
        </w:rPr>
      </w:pPr>
      <w:r>
        <w:rPr>
          <w:rFonts w:eastAsiaTheme="minorHAnsi"/>
          <w:lang w:eastAsia="en-US"/>
        </w:rPr>
        <w:t>Zadavatel</w:t>
      </w:r>
      <w:r w:rsidRPr="00F56198">
        <w:rPr>
          <w:rFonts w:eastAsiaTheme="minorHAnsi"/>
          <w:lang w:eastAsia="en-US"/>
        </w:rPr>
        <w:t xml:space="preserve"> </w:t>
      </w:r>
      <w:r w:rsidR="004D0E7E" w:rsidRPr="004D0E7E">
        <w:rPr>
          <w:bCs/>
        </w:rPr>
        <w:t xml:space="preserve">zároveň požaduje, aby dokumentace byla zpracována s ohledem na co nejmenší provozní náklady. Celý objekt </w:t>
      </w:r>
      <w:r>
        <w:rPr>
          <w:bCs/>
        </w:rPr>
        <w:t xml:space="preserve">musí být </w:t>
      </w:r>
      <w:r w:rsidR="004D0E7E" w:rsidRPr="004D0E7E">
        <w:rPr>
          <w:bCs/>
        </w:rPr>
        <w:t xml:space="preserve">navrhnut tak, aby byl </w:t>
      </w:r>
      <w:r w:rsidR="007607F0">
        <w:rPr>
          <w:bCs/>
        </w:rPr>
        <w:t xml:space="preserve">v režimu tzv. PASIV PLUS standardu, </w:t>
      </w:r>
      <w:r w:rsidR="004D0E7E" w:rsidRPr="004D0E7E">
        <w:rPr>
          <w:bCs/>
        </w:rPr>
        <w:t>maximálně soběstačný v těchto oblastech:</w:t>
      </w:r>
    </w:p>
    <w:p w14:paraId="65CEA37F" w14:textId="77777777" w:rsidR="004D0E7E" w:rsidRPr="00F56198" w:rsidRDefault="004D0E7E" w:rsidP="006945EC">
      <w:pPr>
        <w:pStyle w:val="Odstavecseseznamem"/>
        <w:numPr>
          <w:ilvl w:val="0"/>
          <w:numId w:val="9"/>
        </w:numPr>
        <w:ind w:left="284" w:hanging="284"/>
        <w:jc w:val="both"/>
        <w:rPr>
          <w:bCs/>
        </w:rPr>
      </w:pPr>
      <w:r w:rsidRPr="00F56198">
        <w:rPr>
          <w:bCs/>
        </w:rPr>
        <w:t>automatizované řízení se vzdálenou správou všech chladících, větracích, topných, elektrických (zejména osvětlení) systémů;</w:t>
      </w:r>
    </w:p>
    <w:p w14:paraId="436331DA" w14:textId="77777777" w:rsidR="004D0E7E" w:rsidRPr="00F56198" w:rsidRDefault="004D0E7E" w:rsidP="006945EC">
      <w:pPr>
        <w:pStyle w:val="Odstavecseseznamem"/>
        <w:numPr>
          <w:ilvl w:val="0"/>
          <w:numId w:val="9"/>
        </w:numPr>
        <w:ind w:left="284" w:hanging="284"/>
        <w:jc w:val="both"/>
        <w:rPr>
          <w:bCs/>
        </w:rPr>
      </w:pPr>
      <w:r w:rsidRPr="00F56198">
        <w:rPr>
          <w:bCs/>
        </w:rPr>
        <w:t>automatizovaný přístupový systém, možnost elektronické správy přístupů jednotlivých prostor objektu včetně elektronického zabezpečovacího systému a dohledového systému (CCTV);</w:t>
      </w:r>
    </w:p>
    <w:p w14:paraId="4F7C558E" w14:textId="77777777" w:rsidR="004D0E7E" w:rsidRPr="0008200A" w:rsidRDefault="004D0E7E" w:rsidP="006945EC">
      <w:pPr>
        <w:pStyle w:val="Odstavecseseznamem"/>
        <w:numPr>
          <w:ilvl w:val="0"/>
          <w:numId w:val="9"/>
        </w:numPr>
        <w:ind w:left="284" w:hanging="284"/>
        <w:jc w:val="both"/>
        <w:rPr>
          <w:bCs/>
        </w:rPr>
      </w:pPr>
      <w:r w:rsidRPr="0008200A">
        <w:rPr>
          <w:bCs/>
        </w:rPr>
        <w:t>návrh obnovitelných zdrojů energie;</w:t>
      </w:r>
    </w:p>
    <w:p w14:paraId="6FEB0EDC" w14:textId="77777777" w:rsidR="004D0E7E" w:rsidRPr="0008200A" w:rsidRDefault="004D0E7E" w:rsidP="006945EC">
      <w:pPr>
        <w:pStyle w:val="Odstavecseseznamem"/>
        <w:numPr>
          <w:ilvl w:val="0"/>
          <w:numId w:val="9"/>
        </w:numPr>
        <w:ind w:left="284" w:hanging="284"/>
        <w:jc w:val="both"/>
        <w:rPr>
          <w:bCs/>
        </w:rPr>
      </w:pPr>
      <w:r w:rsidRPr="0008200A">
        <w:rPr>
          <w:bCs/>
        </w:rPr>
        <w:t>zachytávání srážkových vod v retenčních nádržích pro provoz (WC, sprchy);</w:t>
      </w:r>
    </w:p>
    <w:p w14:paraId="27A60BCE" w14:textId="78D38008" w:rsidR="004D0E7E" w:rsidRDefault="004D0E7E" w:rsidP="006945EC">
      <w:pPr>
        <w:pStyle w:val="Odstavecseseznamem"/>
        <w:numPr>
          <w:ilvl w:val="0"/>
          <w:numId w:val="9"/>
        </w:numPr>
        <w:ind w:left="284" w:hanging="284"/>
        <w:jc w:val="both"/>
        <w:rPr>
          <w:bCs/>
        </w:rPr>
      </w:pPr>
      <w:r w:rsidRPr="00F56198">
        <w:rPr>
          <w:bCs/>
        </w:rPr>
        <w:t>využití střechy k osazení fotovoltaických panelů pro výrobu vlastní elektrické energie – systém „ON-GRID“ založený na kombinaci přímé spotřeby vyprodukované elektrické energie a případného prodeje přebytků do distribuční sítě (včetně zajištění veškerých potřebných povolení a licencí).</w:t>
      </w:r>
    </w:p>
    <w:p w14:paraId="64E3A53F" w14:textId="77777777" w:rsidR="006945EC" w:rsidRPr="006945EC" w:rsidRDefault="006945EC" w:rsidP="006945EC">
      <w:pPr>
        <w:jc w:val="both"/>
        <w:rPr>
          <w:bCs/>
        </w:rPr>
      </w:pPr>
    </w:p>
    <w:p w14:paraId="29B00391" w14:textId="3BA446B4" w:rsidR="00714FF4" w:rsidRPr="00714FF4" w:rsidRDefault="006945EC" w:rsidP="00714FF4">
      <w:pPr>
        <w:jc w:val="both"/>
        <w:rPr>
          <w:bCs/>
        </w:rPr>
      </w:pPr>
      <w:r>
        <w:rPr>
          <w:rFonts w:eastAsiaTheme="minorHAnsi"/>
          <w:lang w:eastAsia="en-US"/>
        </w:rPr>
        <w:t>Zadavatel</w:t>
      </w:r>
      <w:r w:rsidRPr="00F56198">
        <w:rPr>
          <w:rFonts w:eastAsiaTheme="minorHAnsi"/>
          <w:lang w:eastAsia="en-US"/>
        </w:rPr>
        <w:t xml:space="preserve"> </w:t>
      </w:r>
      <w:r w:rsidR="00714FF4">
        <w:rPr>
          <w:bCs/>
        </w:rPr>
        <w:t>požaduje, aby celá dokumentace a postup byl</w:t>
      </w:r>
      <w:r w:rsidR="008A08E0">
        <w:rPr>
          <w:bCs/>
        </w:rPr>
        <w:t>y</w:t>
      </w:r>
      <w:r w:rsidR="00714FF4">
        <w:rPr>
          <w:bCs/>
        </w:rPr>
        <w:t xml:space="preserve"> v souladu se skutečností, že bude projekt spolufinancován z projektu v rámci Operačního programu Životní prostředí, v souladu s Výzvou 10 – Veřejné budovy v pasivním standardu, a v souladu s Pravidly pro žadatele a příjemce podpory v Operačním programu Životní prostředí 2021-2027.</w:t>
      </w:r>
    </w:p>
    <w:p w14:paraId="281F974F" w14:textId="77777777" w:rsidR="004D0E7E" w:rsidRPr="00F56198" w:rsidRDefault="004D0E7E" w:rsidP="004D0E7E">
      <w:pPr>
        <w:jc w:val="both"/>
      </w:pPr>
    </w:p>
    <w:p w14:paraId="5EFC7163" w14:textId="7955454A" w:rsidR="004D0E7E" w:rsidRPr="00F56198" w:rsidRDefault="004D0E7E" w:rsidP="004D0E7E">
      <w:pPr>
        <w:tabs>
          <w:tab w:val="left" w:pos="1418"/>
        </w:tabs>
        <w:jc w:val="both"/>
      </w:pPr>
      <w:r w:rsidRPr="00F56198">
        <w:t xml:space="preserve">Realizace předmětu plnění veřejné zakázky bude probíhat v souladu s pokyny </w:t>
      </w:r>
      <w:r w:rsidR="006945EC">
        <w:t>z</w:t>
      </w:r>
      <w:r w:rsidR="006945EC">
        <w:rPr>
          <w:rFonts w:eastAsiaTheme="minorHAnsi"/>
          <w:lang w:eastAsia="en-US"/>
        </w:rPr>
        <w:t>adavatel</w:t>
      </w:r>
      <w:r>
        <w:t>e</w:t>
      </w:r>
      <w:r w:rsidRPr="00F56198">
        <w:t xml:space="preserve"> a následného provozovatele, kterým je </w:t>
      </w:r>
      <w:r w:rsidRPr="004F32FD">
        <w:t xml:space="preserve">Oblastní nemocnice Mladá Boleslav, a.s., </w:t>
      </w:r>
      <w:r w:rsidR="006945EC">
        <w:t xml:space="preserve">nemocnice </w:t>
      </w:r>
      <w:r w:rsidR="006945EC">
        <w:lastRenderedPageBreak/>
        <w:t xml:space="preserve">Středočeského kraje, </w:t>
      </w:r>
      <w:r w:rsidRPr="004F32FD">
        <w:t>IČO: 27256456</w:t>
      </w:r>
      <w:r w:rsidRPr="00F56198">
        <w:t xml:space="preserve">, dále dle obecně závazných právních předpisů, ČSN a ostatních norem upravujících předmět plnění. Účastník se tak musí při zpracování své nabídky vždy řídit nejen požadavky obsaženými v zadávací dokumentaci, ale také ustanoveními příslušných obecně závazných právních norem, zejména </w:t>
      </w:r>
      <w:r w:rsidR="008A08E0">
        <w:t>se zákonem č. 134/2016 Sb. o zadávání veřejných zakázek (</w:t>
      </w:r>
      <w:r w:rsidRPr="00F56198">
        <w:t>ZZVZ</w:t>
      </w:r>
      <w:r w:rsidR="008A08E0">
        <w:t>)</w:t>
      </w:r>
      <w:r w:rsidRPr="00F56198">
        <w:t>.</w:t>
      </w:r>
    </w:p>
    <w:p w14:paraId="1596CBF1" w14:textId="77777777" w:rsidR="004D0E7E" w:rsidRPr="00F56198" w:rsidRDefault="004D0E7E" w:rsidP="004D0E7E">
      <w:pPr>
        <w:tabs>
          <w:tab w:val="left" w:pos="1418"/>
        </w:tabs>
        <w:jc w:val="both"/>
      </w:pPr>
    </w:p>
    <w:p w14:paraId="551AA262" w14:textId="0EC32DC6" w:rsidR="004D0E7E" w:rsidRPr="00F56198" w:rsidRDefault="004D0E7E" w:rsidP="004D0E7E">
      <w:pPr>
        <w:tabs>
          <w:tab w:val="left" w:pos="1418"/>
        </w:tabs>
        <w:jc w:val="both"/>
      </w:pPr>
      <w:r w:rsidRPr="00F56198">
        <w:t xml:space="preserve">Vedení výrobních výborů bude v místě sídla </w:t>
      </w:r>
      <w:r w:rsidR="006945EC">
        <w:rPr>
          <w:rFonts w:eastAsiaTheme="minorHAnsi"/>
          <w:lang w:eastAsia="en-US"/>
        </w:rPr>
        <w:t>zadavatele</w:t>
      </w:r>
      <w:r w:rsidRPr="00F56198">
        <w:t>, v pravidelných intervalech min</w:t>
      </w:r>
      <w:r w:rsidRPr="001A0A09">
        <w:t>. 1 x za 14 kalendářních dnů.</w:t>
      </w:r>
      <w:r w:rsidRPr="00F56198">
        <w:t xml:space="preserve"> Organizaci výrobních výborů a pořizování zápisů bude zajišťovat určený zástupce dodavatele. </w:t>
      </w:r>
    </w:p>
    <w:p w14:paraId="52C51311" w14:textId="5C0B73C6" w:rsidR="004D0E7E" w:rsidRDefault="004D0E7E" w:rsidP="00ED681F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</w:p>
    <w:p w14:paraId="3E654DBE" w14:textId="089062BF" w:rsidR="007F0898" w:rsidRDefault="006945EC" w:rsidP="00ED681F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Zadavatel</w:t>
      </w:r>
      <w:r w:rsidRPr="00F56198">
        <w:rPr>
          <w:rFonts w:eastAsiaTheme="minorHAnsi"/>
          <w:lang w:eastAsia="en-US"/>
        </w:rPr>
        <w:t xml:space="preserve"> </w:t>
      </w:r>
      <w:r w:rsidR="007F0898">
        <w:rPr>
          <w:rFonts w:eastAsiaTheme="minorHAnsi"/>
          <w:lang w:eastAsia="en-US"/>
        </w:rPr>
        <w:t>požaduje soulad výstupů (studie, DSP, DPS apod.) s původní studií a veškerými zadávacími podmínkami, včetně PENB.</w:t>
      </w:r>
    </w:p>
    <w:p w14:paraId="00FE41E7" w14:textId="290F3D68" w:rsidR="00ED681F" w:rsidRPr="006945EC" w:rsidRDefault="00ED681F" w:rsidP="00ED681F">
      <w:pPr>
        <w:autoSpaceDE w:val="0"/>
        <w:autoSpaceDN w:val="0"/>
        <w:adjustRightInd w:val="0"/>
        <w:spacing w:after="120"/>
        <w:jc w:val="both"/>
      </w:pPr>
      <w:r w:rsidRPr="006945EC">
        <w:t>Předmět plnění v rozsahu:</w:t>
      </w:r>
    </w:p>
    <w:p w14:paraId="655313F2" w14:textId="68CFADD7" w:rsidR="00891381" w:rsidRDefault="00891381" w:rsidP="00ED681F">
      <w:pPr>
        <w:autoSpaceDE w:val="0"/>
        <w:autoSpaceDN w:val="0"/>
        <w:adjustRightInd w:val="0"/>
        <w:spacing w:after="120"/>
        <w:jc w:val="both"/>
        <w:rPr>
          <w:u w:val="single"/>
        </w:rPr>
      </w:pPr>
      <w:r>
        <w:rPr>
          <w:u w:val="single"/>
        </w:rPr>
        <w:t>Fáze I.:</w:t>
      </w:r>
    </w:p>
    <w:p w14:paraId="3532F37D" w14:textId="6078A290" w:rsidR="00ED681F" w:rsidRPr="00891381" w:rsidRDefault="00ED681F" w:rsidP="008A08E0">
      <w:pPr>
        <w:jc w:val="both"/>
      </w:pPr>
      <w:r w:rsidRPr="008A08E0">
        <w:rPr>
          <w:bCs/>
        </w:rPr>
        <w:t xml:space="preserve">Geodetické zaměření zájmové lokality pro potřeby projektové přípravy; součástí geodetického zaměření bude také výškopis a polohopis skutečného stavu terénu dotčených pozemků, včetně tras a dimenzí stávajících inženýrských sítí, a </w:t>
      </w:r>
      <w:r w:rsidRPr="004B0660">
        <w:t xml:space="preserve">geodetické zaměření stávajícího stavu stavbou dotčených objektů pro potřeby projektové přípravy. Výstupy geodetického zaměření budou polohově a výškově připojené v S-JTSK a Bpv </w:t>
      </w:r>
      <w:r w:rsidRPr="008A08E0">
        <w:rPr>
          <w:bCs/>
        </w:rPr>
        <w:t xml:space="preserve">(tištěný výstup geodetického zaměření v počtu 1 paré, elektronická podoba bude předána </w:t>
      </w:r>
      <w:r w:rsidRPr="004B0660">
        <w:t>v CDE min. ve formátu .dwg,</w:t>
      </w:r>
      <w:r w:rsidRPr="008A08E0">
        <w:rPr>
          <w:bCs/>
        </w:rPr>
        <w:t xml:space="preserve">). </w:t>
      </w:r>
    </w:p>
    <w:p w14:paraId="30FAA72D" w14:textId="1AEC4A02" w:rsidR="00891381" w:rsidRDefault="00891381" w:rsidP="00891381">
      <w:pPr>
        <w:jc w:val="both"/>
      </w:pPr>
    </w:p>
    <w:p w14:paraId="626730ED" w14:textId="2BCCE5FD" w:rsidR="00891381" w:rsidRDefault="00891381" w:rsidP="00891381">
      <w:pPr>
        <w:autoSpaceDE w:val="0"/>
        <w:autoSpaceDN w:val="0"/>
        <w:adjustRightInd w:val="0"/>
        <w:spacing w:after="120"/>
        <w:jc w:val="both"/>
        <w:rPr>
          <w:u w:val="single"/>
        </w:rPr>
      </w:pPr>
      <w:r>
        <w:rPr>
          <w:u w:val="single"/>
        </w:rPr>
        <w:t>Fáze II.:</w:t>
      </w:r>
    </w:p>
    <w:p w14:paraId="7EB3E191" w14:textId="5AE93029" w:rsidR="00ED681F" w:rsidRPr="008A08E0" w:rsidRDefault="00075CC6" w:rsidP="008A08E0">
      <w:pPr>
        <w:jc w:val="both"/>
        <w:rPr>
          <w:bCs/>
        </w:rPr>
      </w:pPr>
      <w:r w:rsidRPr="008A08E0">
        <w:rPr>
          <w:bCs/>
        </w:rPr>
        <w:t>Zpracování podrobné studie záměru, jejíž součástí bude p</w:t>
      </w:r>
      <w:r w:rsidR="00ED681F" w:rsidRPr="008A08E0">
        <w:rPr>
          <w:bCs/>
        </w:rPr>
        <w:t xml:space="preserve">rovedení veškerých potřebných průzkumů, včetně jejich analýzy a vyhodnocení, zaměření a případně zaměření stávajícího stavu potřebného pro zpracování veškeré </w:t>
      </w:r>
      <w:r w:rsidRPr="008A08E0">
        <w:rPr>
          <w:bCs/>
        </w:rPr>
        <w:t xml:space="preserve">další </w:t>
      </w:r>
      <w:r w:rsidR="00ED681F" w:rsidRPr="008A08E0">
        <w:rPr>
          <w:bCs/>
        </w:rPr>
        <w:t xml:space="preserve">dokumentace (výstup kompletní dokumentace v počtu 2 paré v tištěné podobě a dále elektronická podoba dokumentace bude předána v prostředí CDE). Minimální rozsah provedení průzkumů: </w:t>
      </w:r>
    </w:p>
    <w:p w14:paraId="55E1773D" w14:textId="77777777" w:rsidR="00ED681F" w:rsidRPr="004B0660" w:rsidRDefault="00ED681F" w:rsidP="008A08E0">
      <w:pPr>
        <w:pStyle w:val="Odstavecseseznamem"/>
        <w:numPr>
          <w:ilvl w:val="0"/>
          <w:numId w:val="2"/>
        </w:numPr>
        <w:ind w:left="142" w:hanging="142"/>
        <w:jc w:val="both"/>
        <w:rPr>
          <w:bCs/>
        </w:rPr>
      </w:pPr>
      <w:r w:rsidRPr="004B0660">
        <w:rPr>
          <w:bCs/>
        </w:rPr>
        <w:t xml:space="preserve">inženýrsko-geologický průzkum stavbou dotčených pozemků (dále jen „IG průzkum“) a zachycení jeho výsledků ve formě závěrečné zprávy IG průzkumu, která bude podkladem pro zpracování následné projektové dokumentace; </w:t>
      </w:r>
    </w:p>
    <w:p w14:paraId="45A8559F" w14:textId="77777777" w:rsidR="00ED681F" w:rsidRPr="004B0660" w:rsidRDefault="00ED681F" w:rsidP="008A08E0">
      <w:pPr>
        <w:pStyle w:val="Odstavecseseznamem"/>
        <w:numPr>
          <w:ilvl w:val="0"/>
          <w:numId w:val="2"/>
        </w:numPr>
        <w:ind w:left="142" w:hanging="142"/>
        <w:jc w:val="both"/>
        <w:rPr>
          <w:bCs/>
        </w:rPr>
      </w:pPr>
      <w:r w:rsidRPr="004B0660">
        <w:rPr>
          <w:bCs/>
        </w:rPr>
        <w:t>radonový průzkum;</w:t>
      </w:r>
    </w:p>
    <w:p w14:paraId="65E99544" w14:textId="77777777" w:rsidR="00ED681F" w:rsidRPr="004B0660" w:rsidRDefault="00ED681F" w:rsidP="008A08E0">
      <w:pPr>
        <w:pStyle w:val="Odstavecseseznamem"/>
        <w:numPr>
          <w:ilvl w:val="0"/>
          <w:numId w:val="2"/>
        </w:numPr>
        <w:ind w:left="142" w:hanging="142"/>
        <w:jc w:val="both"/>
        <w:rPr>
          <w:bCs/>
        </w:rPr>
      </w:pPr>
      <w:r w:rsidRPr="004B0660">
        <w:rPr>
          <w:bCs/>
        </w:rPr>
        <w:t>hydrogeologický průzkum včetně zajištění hydrogeologického posudku ke zjištění hladiny spodní vody, její agresivity; vsakovací zkoušky;</w:t>
      </w:r>
    </w:p>
    <w:p w14:paraId="4D10501B" w14:textId="77777777" w:rsidR="00ED681F" w:rsidRPr="004B0660" w:rsidRDefault="00ED681F" w:rsidP="008A08E0">
      <w:pPr>
        <w:pStyle w:val="Odstavecseseznamem"/>
        <w:numPr>
          <w:ilvl w:val="0"/>
          <w:numId w:val="2"/>
        </w:numPr>
        <w:ind w:left="142" w:hanging="142"/>
        <w:jc w:val="both"/>
        <w:rPr>
          <w:bCs/>
        </w:rPr>
      </w:pPr>
      <w:r w:rsidRPr="004B0660">
        <w:rPr>
          <w:bCs/>
        </w:rPr>
        <w:t>průzkum s ohledem na rizika vyplývající z existence bludných proudů;</w:t>
      </w:r>
    </w:p>
    <w:p w14:paraId="05DE0610" w14:textId="77777777" w:rsidR="00ED681F" w:rsidRPr="004B0660" w:rsidRDefault="00ED681F" w:rsidP="008A08E0">
      <w:pPr>
        <w:pStyle w:val="Odstavecseseznamem"/>
        <w:numPr>
          <w:ilvl w:val="0"/>
          <w:numId w:val="2"/>
        </w:numPr>
        <w:ind w:left="142" w:hanging="142"/>
        <w:jc w:val="both"/>
        <w:rPr>
          <w:bCs/>
        </w:rPr>
      </w:pPr>
      <w:r w:rsidRPr="004B0660">
        <w:rPr>
          <w:bCs/>
        </w:rPr>
        <w:t>průzkum kontaminace zemin;</w:t>
      </w:r>
    </w:p>
    <w:p w14:paraId="319B36A8" w14:textId="77777777" w:rsidR="00ED681F" w:rsidRPr="004B0660" w:rsidRDefault="00ED681F" w:rsidP="008A08E0">
      <w:pPr>
        <w:pStyle w:val="Odstavecseseznamem"/>
        <w:numPr>
          <w:ilvl w:val="0"/>
          <w:numId w:val="2"/>
        </w:numPr>
        <w:ind w:left="142" w:hanging="142"/>
        <w:jc w:val="both"/>
        <w:rPr>
          <w:bCs/>
        </w:rPr>
      </w:pPr>
      <w:r w:rsidRPr="004B0660">
        <w:rPr>
          <w:bCs/>
        </w:rPr>
        <w:t>kamerové zkoušky stávajících trubních sítí pro ověření jejich technického stavu a dostatečné kapacity;</w:t>
      </w:r>
    </w:p>
    <w:p w14:paraId="2A8C9044" w14:textId="6D873E77" w:rsidR="00ED681F" w:rsidRPr="004B0660" w:rsidRDefault="00ED681F" w:rsidP="008A08E0">
      <w:pPr>
        <w:pStyle w:val="Odstavecseseznamem"/>
        <w:numPr>
          <w:ilvl w:val="0"/>
          <w:numId w:val="2"/>
        </w:numPr>
        <w:ind w:left="142" w:hanging="142"/>
        <w:jc w:val="both"/>
        <w:rPr>
          <w:bCs/>
        </w:rPr>
      </w:pPr>
      <w:r w:rsidRPr="004B0660">
        <w:rPr>
          <w:bCs/>
        </w:rPr>
        <w:t>stavebně technický průzkum částí základů stávající</w:t>
      </w:r>
      <w:r w:rsidR="00621E04">
        <w:rPr>
          <w:bCs/>
        </w:rPr>
        <w:t>ch</w:t>
      </w:r>
      <w:r w:rsidRPr="004B0660">
        <w:rPr>
          <w:bCs/>
        </w:rPr>
        <w:t xml:space="preserve"> budov, které mají zůstat zachovány a jejich posouzení;</w:t>
      </w:r>
    </w:p>
    <w:p w14:paraId="6D87543F" w14:textId="77777777" w:rsidR="00ED681F" w:rsidRPr="004B0660" w:rsidRDefault="00ED681F" w:rsidP="008A08E0">
      <w:pPr>
        <w:pStyle w:val="Odstavecseseznamem"/>
        <w:numPr>
          <w:ilvl w:val="0"/>
          <w:numId w:val="2"/>
        </w:numPr>
        <w:ind w:left="142" w:hanging="142"/>
        <w:jc w:val="both"/>
        <w:rPr>
          <w:bCs/>
        </w:rPr>
      </w:pPr>
      <w:r w:rsidRPr="004B0660">
        <w:rPr>
          <w:bCs/>
        </w:rPr>
        <w:t>průzkum přítomnosti nebezpečných materiálů v objektech dotčených stavbou (azbest, dehet atp.);</w:t>
      </w:r>
    </w:p>
    <w:p w14:paraId="7BB7E307" w14:textId="78744028" w:rsidR="00ED681F" w:rsidRDefault="00ED681F" w:rsidP="008A08E0">
      <w:pPr>
        <w:pStyle w:val="Odstavecseseznamem"/>
        <w:numPr>
          <w:ilvl w:val="0"/>
          <w:numId w:val="2"/>
        </w:numPr>
        <w:ind w:left="142" w:hanging="142"/>
        <w:jc w:val="both"/>
        <w:rPr>
          <w:bCs/>
        </w:rPr>
      </w:pPr>
      <w:r w:rsidRPr="004B0660">
        <w:rPr>
          <w:bCs/>
        </w:rPr>
        <w:t>dendrologický průzkum stávajících dřevin;</w:t>
      </w:r>
    </w:p>
    <w:p w14:paraId="1ECE3226" w14:textId="67D9BC19" w:rsidR="00621E04" w:rsidRPr="004B0660" w:rsidRDefault="00621E04" w:rsidP="008A08E0">
      <w:pPr>
        <w:pStyle w:val="Odstavecseseznamem"/>
        <w:numPr>
          <w:ilvl w:val="0"/>
          <w:numId w:val="2"/>
        </w:numPr>
        <w:ind w:left="142" w:hanging="142"/>
        <w:jc w:val="both"/>
        <w:rPr>
          <w:bCs/>
        </w:rPr>
      </w:pPr>
      <w:r>
        <w:rPr>
          <w:bCs/>
        </w:rPr>
        <w:t xml:space="preserve">zhodnocení požárních rizik v návaznosti na stávající areál nemocnice; </w:t>
      </w:r>
    </w:p>
    <w:p w14:paraId="588D8458" w14:textId="30703C13" w:rsidR="00ED681F" w:rsidRDefault="00ED681F" w:rsidP="008A08E0">
      <w:pPr>
        <w:pStyle w:val="Odstavecseseznamem"/>
        <w:numPr>
          <w:ilvl w:val="0"/>
          <w:numId w:val="2"/>
        </w:numPr>
        <w:ind w:left="142" w:hanging="142"/>
        <w:jc w:val="both"/>
        <w:rPr>
          <w:bCs/>
        </w:rPr>
      </w:pPr>
      <w:r w:rsidRPr="004B0660">
        <w:rPr>
          <w:bCs/>
        </w:rPr>
        <w:t>posudek na alternativní zdroje</w:t>
      </w:r>
      <w:r w:rsidR="008A08E0">
        <w:rPr>
          <w:bCs/>
        </w:rPr>
        <w:t>;</w:t>
      </w:r>
    </w:p>
    <w:p w14:paraId="5CBD7E84" w14:textId="32AFAC2B" w:rsidR="00621E04" w:rsidRDefault="00621E04" w:rsidP="008A08E0">
      <w:pPr>
        <w:pStyle w:val="Odstavecseseznamem"/>
        <w:numPr>
          <w:ilvl w:val="0"/>
          <w:numId w:val="2"/>
        </w:numPr>
        <w:ind w:left="142" w:hanging="142"/>
        <w:jc w:val="both"/>
        <w:rPr>
          <w:bCs/>
        </w:rPr>
      </w:pPr>
      <w:r>
        <w:rPr>
          <w:bCs/>
        </w:rPr>
        <w:t>propočet nákladů na realizaci záměru</w:t>
      </w:r>
      <w:r w:rsidR="004C15A9">
        <w:rPr>
          <w:bCs/>
        </w:rPr>
        <w:t xml:space="preserve"> v členění ceníku URS v aktuální verzi</w:t>
      </w:r>
      <w:r>
        <w:rPr>
          <w:bCs/>
        </w:rPr>
        <w:t>;</w:t>
      </w:r>
    </w:p>
    <w:p w14:paraId="4BABD0AB" w14:textId="708051F6" w:rsidR="008A08E0" w:rsidRDefault="008A08E0" w:rsidP="008A08E0">
      <w:pPr>
        <w:pStyle w:val="Odstavecseseznamem"/>
        <w:numPr>
          <w:ilvl w:val="0"/>
          <w:numId w:val="2"/>
        </w:numPr>
        <w:ind w:left="142" w:hanging="142"/>
        <w:jc w:val="both"/>
        <w:rPr>
          <w:bCs/>
        </w:rPr>
      </w:pPr>
      <w:r>
        <w:rPr>
          <w:rFonts w:eastAsia="Calibri"/>
          <w:lang w:eastAsia="en-US"/>
        </w:rPr>
        <w:t>projednání návrhu studie se zadavatelem a určenými dotčenými orgány státní správy a zapracování jejich připomínek do studie</w:t>
      </w:r>
      <w:r>
        <w:rPr>
          <w:bCs/>
        </w:rPr>
        <w:t>.</w:t>
      </w:r>
    </w:p>
    <w:p w14:paraId="05D54B53" w14:textId="375374B2" w:rsidR="008A08E0" w:rsidRDefault="008A08E0" w:rsidP="008A08E0">
      <w:pPr>
        <w:jc w:val="both"/>
        <w:rPr>
          <w:bCs/>
        </w:rPr>
      </w:pPr>
    </w:p>
    <w:p w14:paraId="17B0AE8E" w14:textId="77777777" w:rsidR="008A08E0" w:rsidRPr="008A08E0" w:rsidRDefault="008A08E0" w:rsidP="008A08E0">
      <w:pPr>
        <w:jc w:val="both"/>
        <w:rPr>
          <w:bCs/>
        </w:rPr>
      </w:pPr>
    </w:p>
    <w:p w14:paraId="77EAF35E" w14:textId="0B876599" w:rsidR="00891381" w:rsidRDefault="00891381" w:rsidP="00891381">
      <w:pPr>
        <w:autoSpaceDE w:val="0"/>
        <w:autoSpaceDN w:val="0"/>
        <w:adjustRightInd w:val="0"/>
        <w:spacing w:after="120"/>
        <w:jc w:val="both"/>
        <w:rPr>
          <w:u w:val="single"/>
        </w:rPr>
      </w:pPr>
      <w:r>
        <w:rPr>
          <w:u w:val="single"/>
        </w:rPr>
        <w:t>Fáze III.:</w:t>
      </w:r>
    </w:p>
    <w:p w14:paraId="481B0719" w14:textId="0BE2A2A6" w:rsidR="00ED681F" w:rsidRPr="004B0660" w:rsidRDefault="00ED681F" w:rsidP="00C522AF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</w:rPr>
      </w:pPr>
      <w:r w:rsidRPr="004B0660">
        <w:rPr>
          <w:bCs/>
        </w:rPr>
        <w:t xml:space="preserve">Zpracování projektové dokumentace bouracích prací (v případě, bude-li příslušným stavebním úřadem vyžadováno samostatné povolení k odstranění staveb) v rozsahu stanoveném přílohou č. 15 vyhlášky č. 499/2006 Sb., o dokumentaci staveb, ve znění pozdějších předpisů, včetně zajištění inženýrské činnosti pro obstarání všech závazných stanovisek účastníků řízení, popřípadě rozhodnutí dotčených orgánů ve věci vydání souhlasu s odstraněním stavby dle zákona č. 183/2006 Sb., o územním plánování a stavebním řádu (stavební zákon), ve znění pozdějších předpisů (dále jen „stavební zákon“) (tištěný výstup kompletní dokumentace v počtu 3 pare a dále elektronická podoba dokumentace bude předána v prostředí CDE). </w:t>
      </w:r>
      <w:r w:rsidR="006945EC">
        <w:rPr>
          <w:rFonts w:eastAsiaTheme="minorHAnsi"/>
          <w:lang w:eastAsia="en-US"/>
        </w:rPr>
        <w:t>Zadavatel</w:t>
      </w:r>
      <w:r w:rsidR="006945EC" w:rsidRPr="00F56198">
        <w:rPr>
          <w:rFonts w:eastAsiaTheme="minorHAnsi"/>
          <w:lang w:eastAsia="en-US"/>
        </w:rPr>
        <w:t xml:space="preserve"> </w:t>
      </w:r>
      <w:r w:rsidRPr="004B0660">
        <w:rPr>
          <w:bCs/>
        </w:rPr>
        <w:t>nepožaduje zpracování informačního modelu demolované budovy.</w:t>
      </w:r>
    </w:p>
    <w:p w14:paraId="4FEC2FD6" w14:textId="77777777" w:rsidR="00ED681F" w:rsidRPr="004B0660" w:rsidRDefault="00ED681F" w:rsidP="00C522AF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</w:rPr>
      </w:pPr>
      <w:r w:rsidRPr="004B0660">
        <w:rPr>
          <w:bCs/>
        </w:rPr>
        <w:t>Zpracování žádosti pro vydání rozhodnutí o odstranění stavby a zajištění vydání povolení s odstraněním stavby. (V případě, bude-li příslušným stavebním úřadem vyžadováno samostatné povolení k odstranění staveb)</w:t>
      </w:r>
    </w:p>
    <w:p w14:paraId="32F3F1D8" w14:textId="77777777" w:rsidR="00ED681F" w:rsidRPr="004B0660" w:rsidRDefault="00ED681F" w:rsidP="00C522AF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</w:rPr>
      </w:pPr>
      <w:r w:rsidRPr="004B0660">
        <w:rPr>
          <w:bCs/>
        </w:rPr>
        <w:t xml:space="preserve">Zpracování dokumentace pro vydání rozhodnutí o umístění stavby v rozsahu stanoveném přílohou č. 1 vyhlášky č. 499/2006 Sb., o dokumentaci staveb, ve znění pozdějších předpisů (dále jen „DUR“) a odhadu nákladů včetně zajištění inženýrské činnosti při obstarání všech stanovisek účastníků územního řízení nutných pro vydání územního rozhodnutí, dle podmínek a požadavků stanovených stavebním zákonem a jeho prováděcími předpisy, ve věci vydání územního rozhodnutí, včetně zpracování příslušného návrhu na vydání územního rozhodnutí a zajištění územního rozhodnutí (tištěný výstup kompletní dokumentace v počtu 3 pare a dále elektronická podoba dokumentace bude předána v prostředí CDE). </w:t>
      </w:r>
    </w:p>
    <w:p w14:paraId="5391C1C9" w14:textId="5D29920C" w:rsidR="00ED681F" w:rsidRPr="00075CC6" w:rsidRDefault="00ED681F" w:rsidP="00C522AF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</w:rPr>
      </w:pPr>
      <w:r w:rsidRPr="004B0660">
        <w:rPr>
          <w:bCs/>
        </w:rPr>
        <w:t xml:space="preserve">Zpracování dokumentace pro vydání stavebního povolení v rozsahu stanoveném přílohou č. 12 vyhlášky č. 499/2006 Sb., o dokumentaci staveb, ve znění pozdějších předpisů (dále jen „DSP“) a propočtu nákladů včetně zajištění inženýrské činnosti při obstarání všech stanovisek účastníků stavebního řízení nutných pro vydání stavebního povolení, dle podmínek a požadavků stanovených stavebním zákonem a jeho prováděcími předpisy, ve věci vydání stavebního povolení, včetně zpracování příslušného návrhu na vydání stavebního povolení a zajištění stavebního povolení (tištěný výstup kompletní dokumentace v počtu 3 pare a dále elektronická podoba dokumentace bude předána v prostředí CDE). </w:t>
      </w:r>
      <w:r w:rsidRPr="004B0660">
        <w:t xml:space="preserve">DSP bude u příslušných staveb obsahovat také dokumentace dle požadavků zák. č. 406/2000 Sb., o hospodaření energií, ve znění pozdějších předpisů a příslušných prováděcích vyhlášek (vyhl. č. 264/2020 Sb., o energetické náročnosti budov). </w:t>
      </w:r>
    </w:p>
    <w:p w14:paraId="1ED4B4B2" w14:textId="0520965E" w:rsidR="00075CC6" w:rsidRDefault="00075CC6" w:rsidP="00075CC6">
      <w:pPr>
        <w:jc w:val="both"/>
        <w:rPr>
          <w:bCs/>
        </w:rPr>
      </w:pPr>
    </w:p>
    <w:p w14:paraId="1F857120" w14:textId="6FFFE47B" w:rsidR="00075CC6" w:rsidRDefault="00075CC6" w:rsidP="00075CC6">
      <w:pPr>
        <w:autoSpaceDE w:val="0"/>
        <w:autoSpaceDN w:val="0"/>
        <w:adjustRightInd w:val="0"/>
        <w:spacing w:after="120"/>
        <w:jc w:val="both"/>
        <w:rPr>
          <w:u w:val="single"/>
        </w:rPr>
      </w:pPr>
      <w:r>
        <w:rPr>
          <w:u w:val="single"/>
        </w:rPr>
        <w:t>Fáze IV.:</w:t>
      </w:r>
    </w:p>
    <w:p w14:paraId="19C41F74" w14:textId="77777777" w:rsidR="00ED681F" w:rsidRPr="004B0660" w:rsidRDefault="00ED681F" w:rsidP="004A7749">
      <w:pPr>
        <w:pStyle w:val="Odstavecseseznamem"/>
        <w:numPr>
          <w:ilvl w:val="0"/>
          <w:numId w:val="8"/>
        </w:numPr>
        <w:ind w:left="426" w:hanging="426"/>
        <w:jc w:val="both"/>
        <w:rPr>
          <w:bCs/>
        </w:rPr>
      </w:pPr>
      <w:r w:rsidRPr="004B0660">
        <w:t xml:space="preserve">Zpracování dokumentace pro provádění stavby </w:t>
      </w:r>
      <w:r w:rsidRPr="004B0660">
        <w:rPr>
          <w:bCs/>
        </w:rPr>
        <w:t>v rozsahu stanoveném přílohou č. 13 vyhlášky č. 499/2006 Sb., o dokumentaci staveb, ve znění pozdějších předpisů</w:t>
      </w:r>
      <w:r w:rsidRPr="004B0660">
        <w:t xml:space="preserve"> </w:t>
      </w:r>
      <w:r w:rsidRPr="004B0660">
        <w:rPr>
          <w:bCs/>
        </w:rPr>
        <w:t xml:space="preserve">(dále jen „DPS“) </w:t>
      </w:r>
      <w:r w:rsidRPr="004B0660">
        <w:t xml:space="preserve">včetně tištěné i elektronické verze výkazů výměr, ve formátu dle vyhlášky </w:t>
      </w:r>
      <w:hyperlink r:id="rId8" w:history="1">
        <w:r w:rsidRPr="004B0660">
          <w:t>č. 169/2016 Sb.</w:t>
        </w:r>
      </w:hyperlink>
      <w:r w:rsidRPr="004B0660">
        <w:t>,</w:t>
      </w:r>
      <w:r w:rsidRPr="004B0660">
        <w:rPr>
          <w:rFonts w:eastAsiaTheme="minorEastAsia"/>
          <w:bCs/>
        </w:rPr>
        <w:t xml:space="preserve"> </w:t>
      </w:r>
      <w:r w:rsidRPr="004B0660">
        <w:rPr>
          <w:bCs/>
        </w:rPr>
        <w:t>o stanovení rozsahu dokumentace veřejné zakázky na stavební práce a soupisu stavebních prací, dodávek a služeb s výkazem výměr, ve znění pozdějších předpisů (</w:t>
      </w:r>
      <w:r w:rsidRPr="004B0660">
        <w:t xml:space="preserve">v tištěném výstupu 3 pare a dále elektronická podoba dokumentace bude předána v prostředí CDE). Dále budou expedována 2 pare tištěné verze rozpočtové části a souhrnný rozpočet včetně elektronické podoby dokumentace bude předán v prostředí CDE v nezměněném formátu *xml (uniXML), přičemž popis formátu a způsob ocenění je k dispozici bezplatně na webu </w:t>
      </w:r>
      <w:hyperlink r:id="rId9" w:history="1">
        <w:r w:rsidRPr="004B0660">
          <w:rPr>
            <w:rStyle w:val="Hypertextovodkaz"/>
            <w:color w:val="auto"/>
          </w:rPr>
          <w:t>www.unixml.cz</w:t>
        </w:r>
      </w:hyperlink>
      <w:r w:rsidRPr="004B0660">
        <w:t xml:space="preserve">. </w:t>
      </w:r>
    </w:p>
    <w:p w14:paraId="1346149E" w14:textId="0442F59E" w:rsidR="00ED681F" w:rsidRPr="004B0660" w:rsidRDefault="00ED681F" w:rsidP="003668E7">
      <w:pPr>
        <w:pStyle w:val="Odstavecseseznamem"/>
        <w:ind w:left="426"/>
        <w:jc w:val="both"/>
      </w:pPr>
      <w:r w:rsidRPr="004B0660">
        <w:t xml:space="preserve">DPS bude splňovat požadavky zák. č. 134/2016 Sb., o zadávání veřejných zakázek, ve znění pozdějších předpisů, které jsou kladeny na zadávací dokumentaci staveb a v rozsahu </w:t>
      </w:r>
      <w:r w:rsidRPr="004B0660">
        <w:lastRenderedPageBreak/>
        <w:t xml:space="preserve">vyhlášky </w:t>
      </w:r>
      <w:hyperlink r:id="rId10" w:history="1">
        <w:r w:rsidRPr="004B0660">
          <w:t>č.169/2016 Sb.</w:t>
        </w:r>
      </w:hyperlink>
      <w:r w:rsidRPr="004B0660">
        <w:t>, o stanovení rozsahu dokumentace veřejné zakázky na stavební práce a soupisu stavebních prací, dodávek a služeb s výkazem výměr, ve znění pozdějších předpisů.</w:t>
      </w:r>
      <w:r w:rsidR="003668E7">
        <w:t xml:space="preserve"> </w:t>
      </w:r>
      <w:r w:rsidRPr="004B0660">
        <w:t xml:space="preserve">Do DPS budou zapracovány požadavky a </w:t>
      </w:r>
      <w:r w:rsidR="003668E7">
        <w:t xml:space="preserve">podmínky </w:t>
      </w:r>
      <w:r w:rsidRPr="004B0660">
        <w:t>z územního a stavebního řízení na základě vydaných rozhodnutí a povolení</w:t>
      </w:r>
      <w:r w:rsidR="003668E7">
        <w:t xml:space="preserve"> a celá dokumentace DPS bude v souladu s pravomocným územním a stavebním povolením.  </w:t>
      </w:r>
    </w:p>
    <w:p w14:paraId="0291A2DB" w14:textId="77777777" w:rsidR="00ED681F" w:rsidRPr="004B0660" w:rsidRDefault="00ED681F" w:rsidP="004A7749">
      <w:pPr>
        <w:pStyle w:val="Odstavecseseznamem"/>
        <w:numPr>
          <w:ilvl w:val="0"/>
          <w:numId w:val="8"/>
        </w:numPr>
        <w:ind w:left="426" w:hanging="426"/>
        <w:jc w:val="both"/>
      </w:pPr>
      <w:r w:rsidRPr="004B0660">
        <w:t>Vypracování plánu bezpečnosti a ochrany zdraví při práci na staveništi, který bude součástí DPS, v tištěné verzi v počtu 3 pare a dále předání elektronické podoby přes prostředí CDE.</w:t>
      </w:r>
    </w:p>
    <w:p w14:paraId="28215A8A" w14:textId="77777777" w:rsidR="00ED681F" w:rsidRPr="004B0660" w:rsidRDefault="00ED681F" w:rsidP="004A7749">
      <w:pPr>
        <w:numPr>
          <w:ilvl w:val="0"/>
          <w:numId w:val="8"/>
        </w:numPr>
        <w:ind w:left="426" w:hanging="426"/>
        <w:contextualSpacing/>
        <w:jc w:val="both"/>
      </w:pPr>
      <w:r w:rsidRPr="004B0660">
        <w:rPr>
          <w:bCs/>
        </w:rPr>
        <w:t>Projekt interiéru a vnitřního vybavení bude samostatnou složkou DPS. Projekt interiéru a vnitřního vybavení bude zpracován minimálně v rozsahu a obsahu:</w:t>
      </w:r>
    </w:p>
    <w:p w14:paraId="229B35B5" w14:textId="77777777" w:rsidR="00ED681F" w:rsidRPr="004B0660" w:rsidRDefault="00ED681F" w:rsidP="00ED681F">
      <w:pPr>
        <w:numPr>
          <w:ilvl w:val="0"/>
          <w:numId w:val="3"/>
        </w:numPr>
        <w:autoSpaceDE w:val="0"/>
        <w:autoSpaceDN w:val="0"/>
        <w:adjustRightInd w:val="0"/>
        <w:spacing w:after="120"/>
        <w:contextualSpacing/>
        <w:jc w:val="both"/>
        <w:rPr>
          <w:bCs/>
        </w:rPr>
      </w:pPr>
      <w:r w:rsidRPr="004B0660">
        <w:rPr>
          <w:bCs/>
        </w:rPr>
        <w:t>souborné řešení interiéru a vnitřního vybavení stavby,</w:t>
      </w:r>
    </w:p>
    <w:p w14:paraId="37681581" w14:textId="77777777" w:rsidR="00ED681F" w:rsidRPr="004B0660" w:rsidRDefault="00ED681F" w:rsidP="00ED681F">
      <w:pPr>
        <w:numPr>
          <w:ilvl w:val="0"/>
          <w:numId w:val="3"/>
        </w:numPr>
        <w:autoSpaceDE w:val="0"/>
        <w:autoSpaceDN w:val="0"/>
        <w:adjustRightInd w:val="0"/>
        <w:spacing w:after="120"/>
        <w:contextualSpacing/>
        <w:jc w:val="both"/>
        <w:rPr>
          <w:bCs/>
        </w:rPr>
      </w:pPr>
      <w:r w:rsidRPr="004B0660">
        <w:rPr>
          <w:bCs/>
        </w:rPr>
        <w:t>celkové materiálové a barevné řešení jednotlivých místností,</w:t>
      </w:r>
    </w:p>
    <w:p w14:paraId="2F0DCAE9" w14:textId="62978AE7" w:rsidR="00ED681F" w:rsidRPr="004B0660" w:rsidRDefault="00ED681F" w:rsidP="00ED681F">
      <w:pPr>
        <w:numPr>
          <w:ilvl w:val="0"/>
          <w:numId w:val="3"/>
        </w:numPr>
        <w:autoSpaceDE w:val="0"/>
        <w:autoSpaceDN w:val="0"/>
        <w:adjustRightInd w:val="0"/>
        <w:spacing w:after="120"/>
        <w:contextualSpacing/>
        <w:jc w:val="both"/>
        <w:rPr>
          <w:bCs/>
        </w:rPr>
      </w:pPr>
      <w:r w:rsidRPr="004B0660">
        <w:rPr>
          <w:bCs/>
        </w:rPr>
        <w:t>každá z místností, interiérově řešen</w:t>
      </w:r>
      <w:r w:rsidR="008A08E0">
        <w:rPr>
          <w:bCs/>
        </w:rPr>
        <w:t>á</w:t>
      </w:r>
      <w:r w:rsidRPr="004B0660">
        <w:rPr>
          <w:bCs/>
        </w:rPr>
        <w:t xml:space="preserve">, bude kromě zpracování v informačním modelu v odpovídající úrovni grafické a informační podrobnosti dle požadavků v EIR a BEP zpracována také ve 2D formě (výkresy v měřítku 1:10, detaily 1:5 až 1:2), s grafickými výstupy v podobě půdorysů; pohledů na stěny, stropy, podlahy; řezů stěn a v perspektivních zobrazeních ve vizualizaci, a to vše po jednotlivých místnostech, pohledy budou obsahovat mobilní vybavení místnosti, kladební plán povrchových úprav podlah, stěn, spárořezy dlažeb a obkladů, a také veškeré koncové prvky silnoproudu, slaboproudu, vzduchotechniky atd., veškeré umístěné prvky budou okótovány, </w:t>
      </w:r>
    </w:p>
    <w:p w14:paraId="3F2E0657" w14:textId="77777777" w:rsidR="00ED681F" w:rsidRPr="004B0660" w:rsidRDefault="00ED681F" w:rsidP="00ED681F">
      <w:pPr>
        <w:numPr>
          <w:ilvl w:val="0"/>
          <w:numId w:val="3"/>
        </w:numPr>
        <w:autoSpaceDE w:val="0"/>
        <w:autoSpaceDN w:val="0"/>
        <w:adjustRightInd w:val="0"/>
        <w:spacing w:after="120"/>
        <w:contextualSpacing/>
        <w:jc w:val="both"/>
        <w:rPr>
          <w:bCs/>
        </w:rPr>
      </w:pPr>
      <w:r w:rsidRPr="004B0660">
        <w:rPr>
          <w:bCs/>
        </w:rPr>
        <w:t>každá z místností, interiérově řešená, bude opatřena soupisem vybavení po jednotlivých prvcích (např. výpis zabudovaných svítidel, žaluzií, štukových prvků, zrcadel atd.) a položkovým rozpočtem s výkazem výměr,</w:t>
      </w:r>
    </w:p>
    <w:p w14:paraId="63B60C33" w14:textId="11A41285" w:rsidR="00ED681F" w:rsidRPr="004B0660" w:rsidRDefault="00ED681F" w:rsidP="00ED681F">
      <w:pPr>
        <w:numPr>
          <w:ilvl w:val="0"/>
          <w:numId w:val="3"/>
        </w:numPr>
        <w:autoSpaceDE w:val="0"/>
        <w:autoSpaceDN w:val="0"/>
        <w:adjustRightInd w:val="0"/>
        <w:spacing w:after="120"/>
        <w:contextualSpacing/>
        <w:jc w:val="both"/>
        <w:rPr>
          <w:bCs/>
        </w:rPr>
      </w:pPr>
      <w:r w:rsidRPr="004B0660">
        <w:rPr>
          <w:bCs/>
        </w:rPr>
        <w:t xml:space="preserve">grafická a informační podrobnost informačních modelů bude odpovídat požadavkům EIR a BEP.  </w:t>
      </w:r>
      <w:r w:rsidR="006945EC">
        <w:rPr>
          <w:rFonts w:eastAsiaTheme="minorHAnsi"/>
          <w:lang w:eastAsia="en-US"/>
        </w:rPr>
        <w:t>Zadavatel</w:t>
      </w:r>
      <w:r w:rsidR="006945EC" w:rsidRPr="00F56198">
        <w:rPr>
          <w:rFonts w:eastAsiaTheme="minorHAnsi"/>
          <w:lang w:eastAsia="en-US"/>
        </w:rPr>
        <w:t xml:space="preserve"> </w:t>
      </w:r>
      <w:r w:rsidRPr="004B0660">
        <w:rPr>
          <w:bCs/>
        </w:rPr>
        <w:t xml:space="preserve">předpokládá, že informační modely budou následně využívány pro správu majetku v rámci </w:t>
      </w:r>
      <w:r w:rsidRPr="004B0660">
        <w:rPr>
          <w:bCs/>
          <w:iCs/>
        </w:rPr>
        <w:t>facility managementu</w:t>
      </w:r>
      <w:r w:rsidRPr="004B0660">
        <w:rPr>
          <w:bCs/>
        </w:rPr>
        <w:t>.</w:t>
      </w:r>
    </w:p>
    <w:p w14:paraId="59FEDD23" w14:textId="0C4C7100" w:rsidR="00ED681F" w:rsidRPr="004B0660" w:rsidRDefault="00ED681F" w:rsidP="00ED681F">
      <w:pPr>
        <w:autoSpaceDE w:val="0"/>
        <w:autoSpaceDN w:val="0"/>
        <w:adjustRightInd w:val="0"/>
        <w:spacing w:after="120"/>
        <w:ind w:left="720"/>
        <w:contextualSpacing/>
        <w:jc w:val="both"/>
        <w:rPr>
          <w:bCs/>
        </w:rPr>
      </w:pPr>
      <w:r w:rsidRPr="004B0660">
        <w:rPr>
          <w:bCs/>
        </w:rPr>
        <w:t>(</w:t>
      </w:r>
      <w:r w:rsidR="006945EC">
        <w:rPr>
          <w:rFonts w:eastAsiaTheme="minorHAnsi"/>
          <w:lang w:eastAsia="en-US"/>
        </w:rPr>
        <w:t xml:space="preserve">Zadavatel </w:t>
      </w:r>
      <w:r w:rsidRPr="004B0660">
        <w:rPr>
          <w:bCs/>
        </w:rPr>
        <w:t>v dostatečném předstihu předá podklady ke specifickým objektům a technologiím, které jsou nezbytné pro řádné vyhotovení návrhu interiéru)</w:t>
      </w:r>
    </w:p>
    <w:p w14:paraId="2176750A" w14:textId="77777777" w:rsidR="00ED681F" w:rsidRPr="004B0660" w:rsidRDefault="00ED681F" w:rsidP="004A7749">
      <w:pPr>
        <w:pStyle w:val="Odstavecseseznamem"/>
        <w:numPr>
          <w:ilvl w:val="0"/>
          <w:numId w:val="8"/>
        </w:numPr>
        <w:ind w:left="426" w:hanging="426"/>
        <w:jc w:val="both"/>
        <w:rPr>
          <w:bCs/>
        </w:rPr>
      </w:pPr>
      <w:r w:rsidRPr="004B0660">
        <w:rPr>
          <w:bCs/>
        </w:rPr>
        <w:t>Poskytnutí součinnosti v průběhu zadávacího řízení veřejných zakázek na stavební práce a dodávku vybavení dle výše specifikované projektové dokumentace v rozsahu:</w:t>
      </w:r>
    </w:p>
    <w:p w14:paraId="5874B4A2" w14:textId="5720C65E" w:rsidR="00ED681F" w:rsidRPr="004B0660" w:rsidRDefault="00ED681F" w:rsidP="00ED681F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4B0660">
        <w:rPr>
          <w:bCs/>
        </w:rPr>
        <w:t xml:space="preserve">poskytování informací </w:t>
      </w:r>
      <w:r w:rsidR="006945EC">
        <w:rPr>
          <w:rFonts w:eastAsiaTheme="minorHAnsi"/>
          <w:lang w:eastAsia="en-US"/>
        </w:rPr>
        <w:t xml:space="preserve">zadavateli </w:t>
      </w:r>
      <w:r w:rsidRPr="004B0660">
        <w:rPr>
          <w:bCs/>
        </w:rPr>
        <w:t xml:space="preserve">a písemné vypracování odpovědí na dotazy účastníků v zadávacím řízení k DPS nejpozději do dvou pracovních dnů po odeslání žádosti </w:t>
      </w:r>
      <w:r w:rsidR="006945EC">
        <w:rPr>
          <w:rFonts w:eastAsiaTheme="minorHAnsi"/>
          <w:lang w:eastAsia="en-US"/>
        </w:rPr>
        <w:t xml:space="preserve">zadavatele </w:t>
      </w:r>
      <w:r w:rsidRPr="004B0660">
        <w:rPr>
          <w:bCs/>
        </w:rPr>
        <w:t xml:space="preserve">o informace nebo žádosti o odpověď na dotaz účastníka, pokud se </w:t>
      </w:r>
      <w:r w:rsidR="006945EC">
        <w:rPr>
          <w:rFonts w:eastAsiaTheme="minorHAnsi"/>
          <w:lang w:eastAsia="en-US"/>
        </w:rPr>
        <w:t>zadavatel</w:t>
      </w:r>
      <w:r w:rsidR="006945EC" w:rsidRPr="00F56198">
        <w:rPr>
          <w:rFonts w:eastAsiaTheme="minorHAnsi"/>
          <w:lang w:eastAsia="en-US"/>
        </w:rPr>
        <w:t xml:space="preserve"> </w:t>
      </w:r>
      <w:r w:rsidRPr="004B0660">
        <w:rPr>
          <w:bCs/>
        </w:rPr>
        <w:t xml:space="preserve">s dodavatelem nedohodnou jinak; </w:t>
      </w:r>
    </w:p>
    <w:p w14:paraId="104286F1" w14:textId="0C6336D4" w:rsidR="00ED681F" w:rsidRDefault="00ED681F" w:rsidP="00ED681F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4B0660">
        <w:rPr>
          <w:bCs/>
        </w:rPr>
        <w:t xml:space="preserve">vypracování odborných stanovisek k námitkám účastníků, popř. jejich následným návrhům na ÚOHS, týkajících se projektové dokumentace, a to nejpozději do </w:t>
      </w:r>
      <w:r w:rsidR="008A08E0">
        <w:rPr>
          <w:bCs/>
        </w:rPr>
        <w:t>pěti</w:t>
      </w:r>
      <w:r w:rsidRPr="004B0660">
        <w:rPr>
          <w:bCs/>
        </w:rPr>
        <w:t xml:space="preserve"> pracovních dnů po odeslání žádosti </w:t>
      </w:r>
      <w:r w:rsidR="006945EC">
        <w:rPr>
          <w:bCs/>
        </w:rPr>
        <w:t>z</w:t>
      </w:r>
      <w:r w:rsidR="006945EC">
        <w:rPr>
          <w:rFonts w:eastAsiaTheme="minorHAnsi"/>
          <w:lang w:eastAsia="en-US"/>
        </w:rPr>
        <w:t>adavatele</w:t>
      </w:r>
      <w:r w:rsidR="006945EC" w:rsidRPr="00F56198">
        <w:rPr>
          <w:rFonts w:eastAsiaTheme="minorHAnsi"/>
          <w:lang w:eastAsia="en-US"/>
        </w:rPr>
        <w:t xml:space="preserve"> </w:t>
      </w:r>
      <w:r w:rsidRPr="004B0660">
        <w:rPr>
          <w:bCs/>
        </w:rPr>
        <w:t xml:space="preserve">o informace nebo žádosti o odpověď o stanovisko k námitkám, popř. k následným návrhům, pokud se </w:t>
      </w:r>
      <w:r w:rsidR="006945EC">
        <w:t>zadavatel</w:t>
      </w:r>
      <w:r w:rsidRPr="004B0660">
        <w:rPr>
          <w:bCs/>
        </w:rPr>
        <w:t xml:space="preserve"> s dodavatelem nedohodnou jinak</w:t>
      </w:r>
      <w:r w:rsidR="009A0827">
        <w:rPr>
          <w:bCs/>
        </w:rPr>
        <w:t>;</w:t>
      </w:r>
    </w:p>
    <w:p w14:paraId="6B8DDC86" w14:textId="3405E153" w:rsidR="009A0827" w:rsidRDefault="009A0827" w:rsidP="00ED681F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tato část plnění fáze IV. pod písm. d) bude probíhat po předání DPS, a tedy po vyúčtování sjednané částky za fázi IV. Cena za poskytnutí </w:t>
      </w:r>
      <w:r w:rsidRPr="004B0660">
        <w:rPr>
          <w:bCs/>
        </w:rPr>
        <w:t>součinnosti v průběhu zadávacího řízení veřejných zakázek na stavební práce a dodávku vybavení dle výše specifikované projektové dokumentace</w:t>
      </w:r>
      <w:r>
        <w:rPr>
          <w:bCs/>
        </w:rPr>
        <w:t xml:space="preserve"> je již zahrnuta v odměně za danou fázi.</w:t>
      </w:r>
    </w:p>
    <w:p w14:paraId="1254970B" w14:textId="032E4570" w:rsidR="009A0827" w:rsidRPr="009A0827" w:rsidRDefault="009A0827" w:rsidP="009A0827">
      <w:pPr>
        <w:jc w:val="both"/>
        <w:rPr>
          <w:bCs/>
        </w:rPr>
      </w:pPr>
    </w:p>
    <w:p w14:paraId="399F57BC" w14:textId="1BDFB13B" w:rsidR="009A0827" w:rsidRDefault="009A0827" w:rsidP="009A0827">
      <w:pPr>
        <w:autoSpaceDE w:val="0"/>
        <w:autoSpaceDN w:val="0"/>
        <w:adjustRightInd w:val="0"/>
        <w:spacing w:after="120"/>
        <w:jc w:val="both"/>
        <w:rPr>
          <w:u w:val="single"/>
        </w:rPr>
      </w:pPr>
      <w:r>
        <w:rPr>
          <w:u w:val="single"/>
        </w:rPr>
        <w:t>Fáze V.:</w:t>
      </w:r>
    </w:p>
    <w:p w14:paraId="1754D192" w14:textId="036E2188" w:rsidR="00ED681F" w:rsidRPr="006945EC" w:rsidRDefault="00ED681F" w:rsidP="006945EC">
      <w:pPr>
        <w:jc w:val="both"/>
        <w:rPr>
          <w:bCs/>
        </w:rPr>
      </w:pPr>
      <w:r w:rsidRPr="006945EC">
        <w:rPr>
          <w:bCs/>
        </w:rPr>
        <w:t>Výkon autorského dozoru dodavatele v rozsahu dle aktuální metodiky UNIKA. Výkon autorského dozoru bude zahrnovat přiměřeně druhu a podmínkám stavby zejména tyto činnosti:</w:t>
      </w:r>
    </w:p>
    <w:p w14:paraId="2BF88124" w14:textId="77777777" w:rsidR="00ED681F" w:rsidRPr="00F56198" w:rsidRDefault="00ED681F" w:rsidP="008A08E0">
      <w:pPr>
        <w:pStyle w:val="Odstavecseseznamem"/>
        <w:numPr>
          <w:ilvl w:val="0"/>
          <w:numId w:val="5"/>
        </w:numPr>
        <w:ind w:left="284" w:hanging="284"/>
        <w:jc w:val="both"/>
        <w:rPr>
          <w:bCs/>
        </w:rPr>
      </w:pPr>
      <w:r w:rsidRPr="00F56198">
        <w:rPr>
          <w:bCs/>
        </w:rPr>
        <w:t>účast na řízeních v případech, kdy je nutné vysvětlit souvislosti s dokumentací stavby;</w:t>
      </w:r>
    </w:p>
    <w:p w14:paraId="777F1745" w14:textId="77777777" w:rsidR="00ED681F" w:rsidRPr="00F56198" w:rsidRDefault="00ED681F" w:rsidP="008A08E0">
      <w:pPr>
        <w:pStyle w:val="Odstavecseseznamem"/>
        <w:numPr>
          <w:ilvl w:val="0"/>
          <w:numId w:val="5"/>
        </w:numPr>
        <w:ind w:left="284" w:hanging="284"/>
        <w:jc w:val="both"/>
        <w:rPr>
          <w:bCs/>
        </w:rPr>
      </w:pPr>
      <w:r w:rsidRPr="00F56198">
        <w:rPr>
          <w:bCs/>
        </w:rPr>
        <w:t>sledování souladu vytyčovacích výkresů se situací stavby;</w:t>
      </w:r>
    </w:p>
    <w:p w14:paraId="61ACA00F" w14:textId="77777777" w:rsidR="00ED681F" w:rsidRPr="00F56198" w:rsidRDefault="00ED681F" w:rsidP="008A08E0">
      <w:pPr>
        <w:pStyle w:val="Odstavecseseznamem"/>
        <w:numPr>
          <w:ilvl w:val="0"/>
          <w:numId w:val="5"/>
        </w:numPr>
        <w:ind w:left="284" w:hanging="284"/>
        <w:jc w:val="both"/>
        <w:rPr>
          <w:bCs/>
        </w:rPr>
      </w:pPr>
      <w:r w:rsidRPr="00F56198">
        <w:rPr>
          <w:bCs/>
        </w:rPr>
        <w:lastRenderedPageBreak/>
        <w:t>poskytování vysvětlení potřebných k dokumentaci stavby a/nebo k vypracování dodavatelské dokumentace;</w:t>
      </w:r>
    </w:p>
    <w:p w14:paraId="3685522A" w14:textId="77777777" w:rsidR="00ED681F" w:rsidRPr="00F56198" w:rsidRDefault="00ED681F" w:rsidP="008A08E0">
      <w:pPr>
        <w:pStyle w:val="Odstavecseseznamem"/>
        <w:numPr>
          <w:ilvl w:val="0"/>
          <w:numId w:val="5"/>
        </w:numPr>
        <w:ind w:left="284" w:hanging="284"/>
        <w:jc w:val="both"/>
        <w:rPr>
          <w:bCs/>
        </w:rPr>
      </w:pPr>
      <w:r w:rsidRPr="00F56198">
        <w:rPr>
          <w:bCs/>
        </w:rPr>
        <w:t>posuzování návrhů účastníků výstavby na odchylky a změny proti příslušné části dokumentace stavby z pohledu dodržení technicko-ekonomických parametrů stavby, dodržení lhůt výstavby včetně poskytování vyjádření k případným požadavkům na větší množství výrobků a výkonů oproti dokumentaci stavby;</w:t>
      </w:r>
    </w:p>
    <w:p w14:paraId="33ADF29F" w14:textId="77777777" w:rsidR="00ED681F" w:rsidRPr="00F56198" w:rsidRDefault="00ED681F" w:rsidP="008A08E0">
      <w:pPr>
        <w:pStyle w:val="Odstavecseseznamem"/>
        <w:numPr>
          <w:ilvl w:val="0"/>
          <w:numId w:val="5"/>
        </w:numPr>
        <w:ind w:left="284" w:hanging="284"/>
        <w:jc w:val="both"/>
        <w:rPr>
          <w:bCs/>
        </w:rPr>
      </w:pPr>
      <w:r w:rsidRPr="00F56198">
        <w:rPr>
          <w:bCs/>
        </w:rPr>
        <w:t>sledování postupu výstavby z hlediska souladu s dokumentací stavby a podmínkami stavebního povolení;</w:t>
      </w:r>
    </w:p>
    <w:p w14:paraId="33417DAD" w14:textId="77777777" w:rsidR="00ED681F" w:rsidRPr="00F56198" w:rsidRDefault="00ED681F" w:rsidP="008A08E0">
      <w:pPr>
        <w:pStyle w:val="Odstavecseseznamem"/>
        <w:numPr>
          <w:ilvl w:val="0"/>
          <w:numId w:val="5"/>
        </w:numPr>
        <w:ind w:left="284" w:hanging="284"/>
        <w:jc w:val="both"/>
        <w:rPr>
          <w:bCs/>
        </w:rPr>
      </w:pPr>
      <w:r w:rsidRPr="00F56198">
        <w:rPr>
          <w:bCs/>
        </w:rPr>
        <w:t>operativní zpracování dokumentace k odstranění odchylek mezi prováděním stavby a dokumentací stavby;</w:t>
      </w:r>
    </w:p>
    <w:p w14:paraId="727F2D5C" w14:textId="550BE644" w:rsidR="00ED681F" w:rsidRPr="00F56198" w:rsidRDefault="00ED681F" w:rsidP="008A08E0">
      <w:pPr>
        <w:pStyle w:val="Odstavecseseznamem"/>
        <w:numPr>
          <w:ilvl w:val="0"/>
          <w:numId w:val="5"/>
        </w:numPr>
        <w:ind w:left="284" w:hanging="284"/>
        <w:jc w:val="both"/>
        <w:rPr>
          <w:bCs/>
        </w:rPr>
      </w:pPr>
      <w:r w:rsidRPr="00F56198">
        <w:rPr>
          <w:bCs/>
        </w:rPr>
        <w:t>příprav</w:t>
      </w:r>
      <w:r w:rsidR="008A08E0">
        <w:rPr>
          <w:bCs/>
        </w:rPr>
        <w:t>u</w:t>
      </w:r>
      <w:r w:rsidRPr="00F56198">
        <w:rPr>
          <w:bCs/>
        </w:rPr>
        <w:t xml:space="preserve"> podkladů pro případná změnová řízení, pokud se týkají dokumentace;</w:t>
      </w:r>
    </w:p>
    <w:p w14:paraId="13FC289F" w14:textId="77777777" w:rsidR="00ED681F" w:rsidRPr="00F56198" w:rsidRDefault="00ED681F" w:rsidP="008A08E0">
      <w:pPr>
        <w:pStyle w:val="Odstavecseseznamem"/>
        <w:numPr>
          <w:ilvl w:val="0"/>
          <w:numId w:val="5"/>
        </w:numPr>
        <w:ind w:left="284" w:hanging="284"/>
        <w:jc w:val="both"/>
        <w:rPr>
          <w:bCs/>
        </w:rPr>
      </w:pPr>
      <w:r w:rsidRPr="00F56198">
        <w:rPr>
          <w:bCs/>
        </w:rPr>
        <w:t>účast při předání jednotlivých etap, či ucelených částí stavby;</w:t>
      </w:r>
    </w:p>
    <w:p w14:paraId="4BAF1B86" w14:textId="77777777" w:rsidR="00ED681F" w:rsidRPr="00F56198" w:rsidRDefault="00ED681F" w:rsidP="008A08E0">
      <w:pPr>
        <w:pStyle w:val="Odstavecseseznamem"/>
        <w:numPr>
          <w:ilvl w:val="0"/>
          <w:numId w:val="5"/>
        </w:numPr>
        <w:ind w:left="284" w:hanging="284"/>
        <w:jc w:val="both"/>
        <w:rPr>
          <w:bCs/>
        </w:rPr>
      </w:pPr>
      <w:r w:rsidRPr="00F56198">
        <w:rPr>
          <w:bCs/>
        </w:rPr>
        <w:t>účast při předání stavby;</w:t>
      </w:r>
    </w:p>
    <w:p w14:paraId="17BFD3A0" w14:textId="77777777" w:rsidR="00ED681F" w:rsidRPr="00F56198" w:rsidRDefault="00ED681F" w:rsidP="008A08E0">
      <w:pPr>
        <w:pStyle w:val="Odstavecseseznamem"/>
        <w:numPr>
          <w:ilvl w:val="0"/>
          <w:numId w:val="5"/>
        </w:numPr>
        <w:ind w:left="284" w:hanging="284"/>
        <w:jc w:val="both"/>
        <w:rPr>
          <w:bCs/>
        </w:rPr>
      </w:pPr>
      <w:r w:rsidRPr="00F56198">
        <w:rPr>
          <w:bCs/>
        </w:rPr>
        <w:t>účast na kontrolních dnech stavby;</w:t>
      </w:r>
    </w:p>
    <w:p w14:paraId="352662D7" w14:textId="77777777" w:rsidR="00ED681F" w:rsidRPr="00F56198" w:rsidRDefault="00ED681F" w:rsidP="008A08E0">
      <w:pPr>
        <w:pStyle w:val="Odstavecseseznamem"/>
        <w:numPr>
          <w:ilvl w:val="0"/>
          <w:numId w:val="5"/>
        </w:numPr>
        <w:ind w:left="284" w:hanging="284"/>
        <w:jc w:val="both"/>
        <w:rPr>
          <w:bCs/>
        </w:rPr>
      </w:pPr>
      <w:r w:rsidRPr="00F56198">
        <w:rPr>
          <w:bCs/>
        </w:rPr>
        <w:t>poskytování běžných konzultací účastníkům výstavby, pokud jde o souvislosti dodávek a výstavby s dokumentací stavby;</w:t>
      </w:r>
    </w:p>
    <w:p w14:paraId="1CAA910C" w14:textId="77777777" w:rsidR="00ED681F" w:rsidRPr="00F56198" w:rsidRDefault="00ED681F" w:rsidP="008A08E0">
      <w:pPr>
        <w:pStyle w:val="Odstavecseseznamem"/>
        <w:numPr>
          <w:ilvl w:val="0"/>
          <w:numId w:val="5"/>
        </w:numPr>
        <w:ind w:left="284" w:hanging="284"/>
        <w:jc w:val="both"/>
        <w:rPr>
          <w:bCs/>
        </w:rPr>
      </w:pPr>
      <w:r w:rsidRPr="00F56198">
        <w:rPr>
          <w:bCs/>
        </w:rPr>
        <w:t>koordinace dokumentace, popř. dokumentů a návrhů na zařízení staveniště a na organizaci prací na staveništi v souvislosti s projektem organizace výstavby, který je součástí dokumentace;</w:t>
      </w:r>
    </w:p>
    <w:p w14:paraId="69C25C2A" w14:textId="6DC03227" w:rsidR="009A0827" w:rsidRDefault="00ED681F" w:rsidP="008A08E0">
      <w:pPr>
        <w:pStyle w:val="Odstavecseseznamem"/>
        <w:numPr>
          <w:ilvl w:val="0"/>
          <w:numId w:val="5"/>
        </w:numPr>
        <w:ind w:left="284" w:hanging="284"/>
        <w:jc w:val="both"/>
        <w:rPr>
          <w:bCs/>
        </w:rPr>
      </w:pPr>
      <w:r w:rsidRPr="00F56198">
        <w:rPr>
          <w:bCs/>
        </w:rPr>
        <w:t xml:space="preserve">v součinnosti s TDS </w:t>
      </w:r>
      <w:r w:rsidR="003668E7">
        <w:rPr>
          <w:bCs/>
        </w:rPr>
        <w:t>a zhotovitelem poskytnutí potřebné součinnosti pro</w:t>
      </w:r>
      <w:r w:rsidRPr="00F56198">
        <w:rPr>
          <w:bCs/>
        </w:rPr>
        <w:t xml:space="preserve"> kolaudac</w:t>
      </w:r>
      <w:r w:rsidR="003668E7">
        <w:rPr>
          <w:bCs/>
        </w:rPr>
        <w:t>i</w:t>
      </w:r>
      <w:r w:rsidRPr="00F56198">
        <w:rPr>
          <w:bCs/>
        </w:rPr>
        <w:t xml:space="preserve"> stavby</w:t>
      </w:r>
      <w:r w:rsidR="003668E7">
        <w:rPr>
          <w:bCs/>
        </w:rPr>
        <w:t>,</w:t>
      </w:r>
    </w:p>
    <w:p w14:paraId="3796B922" w14:textId="2E6BD442" w:rsidR="00ED681F" w:rsidRDefault="009A0827" w:rsidP="008A08E0">
      <w:pPr>
        <w:pStyle w:val="Odstavecseseznamem"/>
        <w:numPr>
          <w:ilvl w:val="0"/>
          <w:numId w:val="5"/>
        </w:numPr>
        <w:ind w:left="284" w:hanging="284"/>
        <w:jc w:val="both"/>
        <w:rPr>
          <w:bCs/>
        </w:rPr>
      </w:pPr>
      <w:r>
        <w:rPr>
          <w:bCs/>
        </w:rPr>
        <w:t>ú</w:t>
      </w:r>
      <w:r w:rsidR="00ED681F" w:rsidRPr="009A0827">
        <w:rPr>
          <w:bCs/>
        </w:rPr>
        <w:t>čtovány budou pouze skutečné počty odpracovaných hodin</w:t>
      </w:r>
      <w:r w:rsidR="003668E7">
        <w:rPr>
          <w:bCs/>
        </w:rPr>
        <w:t xml:space="preserve"> odsouhlasené zadavatelem</w:t>
      </w:r>
      <w:r w:rsidR="00ED681F" w:rsidRPr="009A0827">
        <w:rPr>
          <w:bCs/>
        </w:rPr>
        <w:t>.</w:t>
      </w:r>
    </w:p>
    <w:p w14:paraId="3D82C3A9" w14:textId="77777777" w:rsidR="004D0E7E" w:rsidRPr="009A0827" w:rsidRDefault="004D0E7E" w:rsidP="008A08E0">
      <w:pPr>
        <w:pStyle w:val="Odstavecseseznamem"/>
        <w:ind w:left="284" w:hanging="284"/>
        <w:jc w:val="both"/>
        <w:rPr>
          <w:bCs/>
        </w:rPr>
      </w:pPr>
    </w:p>
    <w:p w14:paraId="4FF9D990" w14:textId="77777777" w:rsidR="00ED681F" w:rsidRPr="00F56198" w:rsidRDefault="00ED681F" w:rsidP="008A08E0">
      <w:pPr>
        <w:ind w:left="284" w:hanging="284"/>
      </w:pPr>
    </w:p>
    <w:p w14:paraId="4DF89AFA" w14:textId="77777777" w:rsidR="00B37097" w:rsidRDefault="00B37097"/>
    <w:sectPr w:rsidR="00B37097" w:rsidSect="001D486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AF5F" w14:textId="77777777" w:rsidR="00A470C6" w:rsidRDefault="00A470C6">
      <w:r>
        <w:separator/>
      </w:r>
    </w:p>
  </w:endnote>
  <w:endnote w:type="continuationSeparator" w:id="0">
    <w:p w14:paraId="7421932E" w14:textId="77777777" w:rsidR="00A470C6" w:rsidRDefault="00A4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1637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C386DE2" w14:textId="25C1E9AC" w:rsidR="00A05220" w:rsidRPr="00A05220" w:rsidRDefault="00A470C6">
        <w:pPr>
          <w:pStyle w:val="Zpat"/>
          <w:jc w:val="right"/>
          <w:rPr>
            <w:sz w:val="18"/>
            <w:szCs w:val="18"/>
          </w:rPr>
        </w:pPr>
        <w:r w:rsidRPr="00A05220">
          <w:rPr>
            <w:sz w:val="18"/>
            <w:szCs w:val="18"/>
          </w:rPr>
          <w:fldChar w:fldCharType="begin"/>
        </w:r>
        <w:r w:rsidRPr="00A05220">
          <w:rPr>
            <w:sz w:val="18"/>
            <w:szCs w:val="18"/>
          </w:rPr>
          <w:instrText>PAGE   \* MERGEFORMAT</w:instrText>
        </w:r>
        <w:r w:rsidRPr="00A05220">
          <w:rPr>
            <w:sz w:val="18"/>
            <w:szCs w:val="18"/>
          </w:rPr>
          <w:fldChar w:fldCharType="separate"/>
        </w:r>
        <w:r w:rsidR="00A93E5A">
          <w:rPr>
            <w:noProof/>
            <w:sz w:val="18"/>
            <w:szCs w:val="18"/>
          </w:rPr>
          <w:t>5</w:t>
        </w:r>
        <w:r w:rsidRPr="00A05220">
          <w:rPr>
            <w:sz w:val="18"/>
            <w:szCs w:val="18"/>
          </w:rPr>
          <w:fldChar w:fldCharType="end"/>
        </w:r>
      </w:p>
    </w:sdtContent>
  </w:sdt>
  <w:p w14:paraId="7BDC7162" w14:textId="77777777" w:rsidR="00A05220" w:rsidRDefault="004C15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ECD4" w14:textId="77777777" w:rsidR="00A470C6" w:rsidRDefault="00A470C6">
      <w:r>
        <w:separator/>
      </w:r>
    </w:p>
  </w:footnote>
  <w:footnote w:type="continuationSeparator" w:id="0">
    <w:p w14:paraId="08AF1900" w14:textId="77777777" w:rsidR="00A470C6" w:rsidRDefault="00A4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082F" w14:textId="77777777" w:rsidR="006C1B2D" w:rsidRPr="00525425" w:rsidRDefault="004C15A9" w:rsidP="006C1B2D">
    <w:pPr>
      <w:pStyle w:val="Zhlav"/>
      <w:tabs>
        <w:tab w:val="clear" w:pos="4536"/>
        <w:tab w:val="clear" w:pos="9072"/>
      </w:tabs>
      <w:rPr>
        <w:i/>
        <w:sz w:val="18"/>
        <w:szCs w:val="18"/>
      </w:rPr>
    </w:pPr>
  </w:p>
  <w:p w14:paraId="7AE9C5CB" w14:textId="2C1F7298" w:rsidR="006C1B2D" w:rsidRPr="00C91C88" w:rsidRDefault="00A470C6" w:rsidP="006C1B2D">
    <w:pPr>
      <w:pStyle w:val="Zhlav"/>
      <w:tabs>
        <w:tab w:val="clear" w:pos="4536"/>
        <w:tab w:val="clear" w:pos="9072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</w:t>
    </w:r>
    <w:r w:rsidRPr="00C91C88">
      <w:rPr>
        <w:sz w:val="18"/>
        <w:szCs w:val="18"/>
      </w:rPr>
      <w:t xml:space="preserve">strana: </w:t>
    </w:r>
    <w:r w:rsidRPr="00C91C88">
      <w:rPr>
        <w:rStyle w:val="slostrnky"/>
        <w:sz w:val="18"/>
        <w:szCs w:val="18"/>
      </w:rPr>
      <w:fldChar w:fldCharType="begin"/>
    </w:r>
    <w:r w:rsidRPr="00C91C88">
      <w:rPr>
        <w:rStyle w:val="slostrnky"/>
        <w:sz w:val="18"/>
        <w:szCs w:val="18"/>
      </w:rPr>
      <w:instrText xml:space="preserve"> PAGE </w:instrText>
    </w:r>
    <w:r w:rsidRPr="00C91C88">
      <w:rPr>
        <w:rStyle w:val="slostrnky"/>
        <w:sz w:val="18"/>
        <w:szCs w:val="18"/>
      </w:rPr>
      <w:fldChar w:fldCharType="separate"/>
    </w:r>
    <w:r w:rsidR="00A93E5A">
      <w:rPr>
        <w:rStyle w:val="slostrnky"/>
        <w:noProof/>
        <w:sz w:val="18"/>
        <w:szCs w:val="18"/>
      </w:rPr>
      <w:t>5</w:t>
    </w:r>
    <w:r w:rsidRPr="00C91C88">
      <w:rPr>
        <w:rStyle w:val="slostrnky"/>
        <w:sz w:val="18"/>
        <w:szCs w:val="18"/>
      </w:rPr>
      <w:fldChar w:fldCharType="end"/>
    </w:r>
  </w:p>
  <w:p w14:paraId="7555EAF6" w14:textId="77777777" w:rsidR="006C1B2D" w:rsidRPr="00C91C88" w:rsidRDefault="00A470C6" w:rsidP="006C1B2D">
    <w:pPr>
      <w:rPr>
        <w:sz w:val="18"/>
        <w:szCs w:val="18"/>
      </w:rPr>
    </w:pPr>
    <w:r w:rsidRPr="00C91C8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0C79E7" wp14:editId="3DAD58AE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AA33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2Ala39kAAAAEAQAADwAAAAAAAAAAAAAAAAAKBAAAZHJzL2Rvd25yZXYueG1s&#10;UEsFBgAAAAAEAAQA8wAAABAFAAAAAA==&#10;" o:allowincell="f"/>
          </w:pict>
        </mc:Fallback>
      </mc:AlternateContent>
    </w:r>
  </w:p>
  <w:p w14:paraId="7C23E70F" w14:textId="77777777" w:rsidR="001D4864" w:rsidRPr="001D4864" w:rsidRDefault="004C15A9" w:rsidP="006C1B2D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21D4" w14:textId="1BF40500" w:rsidR="00196398" w:rsidRPr="00550415" w:rsidRDefault="00550415">
    <w:pPr>
      <w:pStyle w:val="Zhlav"/>
      <w:rPr>
        <w:bCs/>
        <w:sz w:val="20"/>
        <w:szCs w:val="20"/>
      </w:rPr>
    </w:pPr>
    <w:r w:rsidRPr="00550415">
      <w:rPr>
        <w:bCs/>
        <w:sz w:val="22"/>
        <w:szCs w:val="22"/>
      </w:rPr>
      <w:t>Příloha č. 1 Smlouvy – Podrobná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31D2"/>
    <w:multiLevelType w:val="hybridMultilevel"/>
    <w:tmpl w:val="CCB83CE6"/>
    <w:lvl w:ilvl="0" w:tplc="D4D216A4">
      <w:start w:val="1"/>
      <w:numFmt w:val="lowerLetter"/>
      <w:lvlText w:val="%1)"/>
      <w:lvlJc w:val="left"/>
      <w:pPr>
        <w:ind w:left="-729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-9" w:hanging="360"/>
      </w:pPr>
    </w:lvl>
    <w:lvl w:ilvl="2" w:tplc="0405001B">
      <w:start w:val="1"/>
      <w:numFmt w:val="lowerRoman"/>
      <w:lvlText w:val="%3."/>
      <w:lvlJc w:val="right"/>
      <w:pPr>
        <w:ind w:left="711" w:hanging="180"/>
      </w:pPr>
    </w:lvl>
    <w:lvl w:ilvl="3" w:tplc="0405000F" w:tentative="1">
      <w:start w:val="1"/>
      <w:numFmt w:val="decimal"/>
      <w:lvlText w:val="%4."/>
      <w:lvlJc w:val="left"/>
      <w:pPr>
        <w:ind w:left="1431" w:hanging="360"/>
      </w:pPr>
    </w:lvl>
    <w:lvl w:ilvl="4" w:tplc="04050019" w:tentative="1">
      <w:start w:val="1"/>
      <w:numFmt w:val="lowerLetter"/>
      <w:lvlText w:val="%5."/>
      <w:lvlJc w:val="left"/>
      <w:pPr>
        <w:ind w:left="2151" w:hanging="360"/>
      </w:pPr>
    </w:lvl>
    <w:lvl w:ilvl="5" w:tplc="0405001B" w:tentative="1">
      <w:start w:val="1"/>
      <w:numFmt w:val="lowerRoman"/>
      <w:lvlText w:val="%6."/>
      <w:lvlJc w:val="right"/>
      <w:pPr>
        <w:ind w:left="2871" w:hanging="180"/>
      </w:pPr>
    </w:lvl>
    <w:lvl w:ilvl="6" w:tplc="0405000F" w:tentative="1">
      <w:start w:val="1"/>
      <w:numFmt w:val="decimal"/>
      <w:lvlText w:val="%7."/>
      <w:lvlJc w:val="left"/>
      <w:pPr>
        <w:ind w:left="3591" w:hanging="360"/>
      </w:pPr>
    </w:lvl>
    <w:lvl w:ilvl="7" w:tplc="04050019" w:tentative="1">
      <w:start w:val="1"/>
      <w:numFmt w:val="lowerLetter"/>
      <w:lvlText w:val="%8."/>
      <w:lvlJc w:val="left"/>
      <w:pPr>
        <w:ind w:left="4311" w:hanging="360"/>
      </w:pPr>
    </w:lvl>
    <w:lvl w:ilvl="8" w:tplc="0405001B" w:tentative="1">
      <w:start w:val="1"/>
      <w:numFmt w:val="lowerRoman"/>
      <w:lvlText w:val="%9."/>
      <w:lvlJc w:val="right"/>
      <w:pPr>
        <w:ind w:left="5031" w:hanging="180"/>
      </w:pPr>
    </w:lvl>
  </w:abstractNum>
  <w:abstractNum w:abstractNumId="1" w15:restartNumberingAfterBreak="0">
    <w:nsid w:val="19284414"/>
    <w:multiLevelType w:val="hybridMultilevel"/>
    <w:tmpl w:val="CCB83CE6"/>
    <w:lvl w:ilvl="0" w:tplc="FFFFFFFF">
      <w:start w:val="1"/>
      <w:numFmt w:val="lowerLetter"/>
      <w:lvlText w:val="%1)"/>
      <w:lvlJc w:val="left"/>
      <w:pPr>
        <w:ind w:left="-729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-9" w:hanging="360"/>
      </w:pPr>
    </w:lvl>
    <w:lvl w:ilvl="2" w:tplc="FFFFFFFF">
      <w:start w:val="1"/>
      <w:numFmt w:val="lowerRoman"/>
      <w:lvlText w:val="%3."/>
      <w:lvlJc w:val="right"/>
      <w:pPr>
        <w:ind w:left="711" w:hanging="180"/>
      </w:pPr>
    </w:lvl>
    <w:lvl w:ilvl="3" w:tplc="FFFFFFFF" w:tentative="1">
      <w:start w:val="1"/>
      <w:numFmt w:val="decimal"/>
      <w:lvlText w:val="%4."/>
      <w:lvlJc w:val="left"/>
      <w:pPr>
        <w:ind w:left="1431" w:hanging="360"/>
      </w:pPr>
    </w:lvl>
    <w:lvl w:ilvl="4" w:tplc="FFFFFFFF" w:tentative="1">
      <w:start w:val="1"/>
      <w:numFmt w:val="lowerLetter"/>
      <w:lvlText w:val="%5."/>
      <w:lvlJc w:val="left"/>
      <w:pPr>
        <w:ind w:left="2151" w:hanging="360"/>
      </w:pPr>
    </w:lvl>
    <w:lvl w:ilvl="5" w:tplc="FFFFFFFF" w:tentative="1">
      <w:start w:val="1"/>
      <w:numFmt w:val="lowerRoman"/>
      <w:lvlText w:val="%6."/>
      <w:lvlJc w:val="right"/>
      <w:pPr>
        <w:ind w:left="2871" w:hanging="180"/>
      </w:pPr>
    </w:lvl>
    <w:lvl w:ilvl="6" w:tplc="FFFFFFFF" w:tentative="1">
      <w:start w:val="1"/>
      <w:numFmt w:val="decimal"/>
      <w:lvlText w:val="%7."/>
      <w:lvlJc w:val="left"/>
      <w:pPr>
        <w:ind w:left="3591" w:hanging="360"/>
      </w:pPr>
    </w:lvl>
    <w:lvl w:ilvl="7" w:tplc="FFFFFFFF" w:tentative="1">
      <w:start w:val="1"/>
      <w:numFmt w:val="lowerLetter"/>
      <w:lvlText w:val="%8."/>
      <w:lvlJc w:val="left"/>
      <w:pPr>
        <w:ind w:left="4311" w:hanging="360"/>
      </w:pPr>
    </w:lvl>
    <w:lvl w:ilvl="8" w:tplc="FFFFFFFF" w:tentative="1">
      <w:start w:val="1"/>
      <w:numFmt w:val="lowerRoman"/>
      <w:lvlText w:val="%9."/>
      <w:lvlJc w:val="right"/>
      <w:pPr>
        <w:ind w:left="5031" w:hanging="180"/>
      </w:pPr>
    </w:lvl>
  </w:abstractNum>
  <w:abstractNum w:abstractNumId="2" w15:restartNumberingAfterBreak="0">
    <w:nsid w:val="20743410"/>
    <w:multiLevelType w:val="hybridMultilevel"/>
    <w:tmpl w:val="060EB134"/>
    <w:lvl w:ilvl="0" w:tplc="A62450B8">
      <w:start w:val="1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596642"/>
    <w:multiLevelType w:val="hybridMultilevel"/>
    <w:tmpl w:val="CCB83CE6"/>
    <w:lvl w:ilvl="0" w:tplc="FFFFFFFF">
      <w:start w:val="1"/>
      <w:numFmt w:val="lowerLetter"/>
      <w:lvlText w:val="%1)"/>
      <w:lvlJc w:val="left"/>
      <w:pPr>
        <w:ind w:left="-729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-9" w:hanging="360"/>
      </w:pPr>
    </w:lvl>
    <w:lvl w:ilvl="2" w:tplc="FFFFFFFF">
      <w:start w:val="1"/>
      <w:numFmt w:val="lowerRoman"/>
      <w:lvlText w:val="%3."/>
      <w:lvlJc w:val="right"/>
      <w:pPr>
        <w:ind w:left="711" w:hanging="180"/>
      </w:pPr>
    </w:lvl>
    <w:lvl w:ilvl="3" w:tplc="FFFFFFFF" w:tentative="1">
      <w:start w:val="1"/>
      <w:numFmt w:val="decimal"/>
      <w:lvlText w:val="%4."/>
      <w:lvlJc w:val="left"/>
      <w:pPr>
        <w:ind w:left="1431" w:hanging="360"/>
      </w:pPr>
    </w:lvl>
    <w:lvl w:ilvl="4" w:tplc="FFFFFFFF" w:tentative="1">
      <w:start w:val="1"/>
      <w:numFmt w:val="lowerLetter"/>
      <w:lvlText w:val="%5."/>
      <w:lvlJc w:val="left"/>
      <w:pPr>
        <w:ind w:left="2151" w:hanging="360"/>
      </w:pPr>
    </w:lvl>
    <w:lvl w:ilvl="5" w:tplc="FFFFFFFF" w:tentative="1">
      <w:start w:val="1"/>
      <w:numFmt w:val="lowerRoman"/>
      <w:lvlText w:val="%6."/>
      <w:lvlJc w:val="right"/>
      <w:pPr>
        <w:ind w:left="2871" w:hanging="180"/>
      </w:pPr>
    </w:lvl>
    <w:lvl w:ilvl="6" w:tplc="FFFFFFFF" w:tentative="1">
      <w:start w:val="1"/>
      <w:numFmt w:val="decimal"/>
      <w:lvlText w:val="%7."/>
      <w:lvlJc w:val="left"/>
      <w:pPr>
        <w:ind w:left="3591" w:hanging="360"/>
      </w:pPr>
    </w:lvl>
    <w:lvl w:ilvl="7" w:tplc="FFFFFFFF" w:tentative="1">
      <w:start w:val="1"/>
      <w:numFmt w:val="lowerLetter"/>
      <w:lvlText w:val="%8."/>
      <w:lvlJc w:val="left"/>
      <w:pPr>
        <w:ind w:left="4311" w:hanging="360"/>
      </w:pPr>
    </w:lvl>
    <w:lvl w:ilvl="8" w:tplc="FFFFFFFF" w:tentative="1">
      <w:start w:val="1"/>
      <w:numFmt w:val="lowerRoman"/>
      <w:lvlText w:val="%9."/>
      <w:lvlJc w:val="right"/>
      <w:pPr>
        <w:ind w:left="5031" w:hanging="180"/>
      </w:pPr>
    </w:lvl>
  </w:abstractNum>
  <w:abstractNum w:abstractNumId="4" w15:restartNumberingAfterBreak="0">
    <w:nsid w:val="43196608"/>
    <w:multiLevelType w:val="hybridMultilevel"/>
    <w:tmpl w:val="2ED62E7C"/>
    <w:lvl w:ilvl="0" w:tplc="A62450B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2425E"/>
    <w:multiLevelType w:val="hybridMultilevel"/>
    <w:tmpl w:val="C4A462F0"/>
    <w:lvl w:ilvl="0" w:tplc="A62450B8">
      <w:start w:val="1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71F35FB"/>
    <w:multiLevelType w:val="hybridMultilevel"/>
    <w:tmpl w:val="244CDF0E"/>
    <w:lvl w:ilvl="0" w:tplc="A62450B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50E7C"/>
    <w:multiLevelType w:val="hybridMultilevel"/>
    <w:tmpl w:val="BB64A5EA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F274BF3"/>
    <w:multiLevelType w:val="hybridMultilevel"/>
    <w:tmpl w:val="CCB83CE6"/>
    <w:lvl w:ilvl="0" w:tplc="FFFFFFFF">
      <w:start w:val="1"/>
      <w:numFmt w:val="lowerLetter"/>
      <w:lvlText w:val="%1)"/>
      <w:lvlJc w:val="left"/>
      <w:pPr>
        <w:ind w:left="-729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-9" w:hanging="360"/>
      </w:pPr>
    </w:lvl>
    <w:lvl w:ilvl="2" w:tplc="FFFFFFFF">
      <w:start w:val="1"/>
      <w:numFmt w:val="lowerRoman"/>
      <w:lvlText w:val="%3."/>
      <w:lvlJc w:val="right"/>
      <w:pPr>
        <w:ind w:left="711" w:hanging="180"/>
      </w:pPr>
    </w:lvl>
    <w:lvl w:ilvl="3" w:tplc="FFFFFFFF" w:tentative="1">
      <w:start w:val="1"/>
      <w:numFmt w:val="decimal"/>
      <w:lvlText w:val="%4."/>
      <w:lvlJc w:val="left"/>
      <w:pPr>
        <w:ind w:left="1431" w:hanging="360"/>
      </w:pPr>
    </w:lvl>
    <w:lvl w:ilvl="4" w:tplc="FFFFFFFF" w:tentative="1">
      <w:start w:val="1"/>
      <w:numFmt w:val="lowerLetter"/>
      <w:lvlText w:val="%5."/>
      <w:lvlJc w:val="left"/>
      <w:pPr>
        <w:ind w:left="2151" w:hanging="360"/>
      </w:pPr>
    </w:lvl>
    <w:lvl w:ilvl="5" w:tplc="FFFFFFFF" w:tentative="1">
      <w:start w:val="1"/>
      <w:numFmt w:val="lowerRoman"/>
      <w:lvlText w:val="%6."/>
      <w:lvlJc w:val="right"/>
      <w:pPr>
        <w:ind w:left="2871" w:hanging="180"/>
      </w:pPr>
    </w:lvl>
    <w:lvl w:ilvl="6" w:tplc="FFFFFFFF" w:tentative="1">
      <w:start w:val="1"/>
      <w:numFmt w:val="decimal"/>
      <w:lvlText w:val="%7."/>
      <w:lvlJc w:val="left"/>
      <w:pPr>
        <w:ind w:left="3591" w:hanging="360"/>
      </w:pPr>
    </w:lvl>
    <w:lvl w:ilvl="7" w:tplc="FFFFFFFF" w:tentative="1">
      <w:start w:val="1"/>
      <w:numFmt w:val="lowerLetter"/>
      <w:lvlText w:val="%8."/>
      <w:lvlJc w:val="left"/>
      <w:pPr>
        <w:ind w:left="4311" w:hanging="360"/>
      </w:pPr>
    </w:lvl>
    <w:lvl w:ilvl="8" w:tplc="FFFFFFFF" w:tentative="1">
      <w:start w:val="1"/>
      <w:numFmt w:val="lowerRoman"/>
      <w:lvlText w:val="%9."/>
      <w:lvlJc w:val="right"/>
      <w:pPr>
        <w:ind w:left="5031" w:hanging="180"/>
      </w:pPr>
    </w:lvl>
  </w:abstractNum>
  <w:num w:numId="1" w16cid:durableId="1638224926">
    <w:abstractNumId w:val="0"/>
  </w:num>
  <w:num w:numId="2" w16cid:durableId="384793674">
    <w:abstractNumId w:val="6"/>
  </w:num>
  <w:num w:numId="3" w16cid:durableId="327370731">
    <w:abstractNumId w:val="4"/>
  </w:num>
  <w:num w:numId="4" w16cid:durableId="1823812525">
    <w:abstractNumId w:val="5"/>
  </w:num>
  <w:num w:numId="5" w16cid:durableId="933248751">
    <w:abstractNumId w:val="2"/>
  </w:num>
  <w:num w:numId="6" w16cid:durableId="1287008034">
    <w:abstractNumId w:val="1"/>
  </w:num>
  <w:num w:numId="7" w16cid:durableId="435565054">
    <w:abstractNumId w:val="3"/>
  </w:num>
  <w:num w:numId="8" w16cid:durableId="81337267">
    <w:abstractNumId w:val="8"/>
  </w:num>
  <w:num w:numId="9" w16cid:durableId="1845777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FE"/>
    <w:rsid w:val="00075CC6"/>
    <w:rsid w:val="003668E7"/>
    <w:rsid w:val="004A7749"/>
    <w:rsid w:val="004C15A9"/>
    <w:rsid w:val="004D0E7E"/>
    <w:rsid w:val="004D7D3D"/>
    <w:rsid w:val="00550415"/>
    <w:rsid w:val="00621E04"/>
    <w:rsid w:val="00654917"/>
    <w:rsid w:val="0069145B"/>
    <w:rsid w:val="006945EC"/>
    <w:rsid w:val="006E01B8"/>
    <w:rsid w:val="00714FF4"/>
    <w:rsid w:val="007607F0"/>
    <w:rsid w:val="007F0898"/>
    <w:rsid w:val="008066FE"/>
    <w:rsid w:val="00891381"/>
    <w:rsid w:val="008A08E0"/>
    <w:rsid w:val="009A0827"/>
    <w:rsid w:val="00A470C6"/>
    <w:rsid w:val="00A93E5A"/>
    <w:rsid w:val="00B37097"/>
    <w:rsid w:val="00C522AF"/>
    <w:rsid w:val="00E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E725"/>
  <w15:chartTrackingRefBased/>
  <w15:docId w15:val="{62A149B7-B91C-4300-81B3-EE2EB6F5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ED681F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ED681F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D68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D68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8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68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68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D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-vz.cz/getdoc/ff47da2f-79de-439c-9d9e-76b7f30e5391/SBIRKA-ZAKONU---4--cervence-201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-vz.cz/getdoc/ff47da2f-79de-439c-9d9e-76b7f30e5391/SBIRKA-ZAKONU---4--cervence-2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xm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897D-ACAC-4F14-99EA-CF8B6F8C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2106</Words>
  <Characters>12787</Characters>
  <Application>Microsoft Office Word</Application>
  <DocSecurity>0</DocSecurity>
  <Lines>284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Ladislav Řípa</cp:lastModifiedBy>
  <cp:revision>18</cp:revision>
  <dcterms:created xsi:type="dcterms:W3CDTF">2022-10-11T12:13:00Z</dcterms:created>
  <dcterms:modified xsi:type="dcterms:W3CDTF">2022-10-12T05:55:00Z</dcterms:modified>
</cp:coreProperties>
</file>