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9" w:line="1" w:lineRule="exact"/>
      </w:pPr>
      <w:r>
        <w:drawing>
          <wp:anchor distT="0" distB="0" distL="0" distR="0" simplePos="0" relativeHeight="62914690" behindDoc="1" locked="0" layoutInCell="1" allowOverlap="1">
            <wp:simplePos x="0" y="0"/>
            <wp:positionH relativeFrom="page">
              <wp:posOffset>4504690</wp:posOffset>
            </wp:positionH>
            <wp:positionV relativeFrom="margin">
              <wp:posOffset>-1042035</wp:posOffset>
            </wp:positionV>
            <wp:extent cx="1865630" cy="10547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65630" cy="1054735"/>
                    </a:xfrm>
                    <a:prstGeom prst="rect"/>
                  </pic:spPr>
                </pic:pic>
              </a:graphicData>
            </a:graphic>
          </wp:anchor>
        </w:drawing>
      </w:r>
    </w:p>
    <w:p>
      <w:pPr>
        <w:widowControl w:val="0"/>
        <w:spacing w:line="1" w:lineRule="exact"/>
        <w:sectPr>
          <w:headerReference w:type="default" r:id="rId7"/>
          <w:footerReference w:type="default" r:id="rId8"/>
          <w:footnotePr>
            <w:pos w:val="pageBottom"/>
            <w:numFmt w:val="decimal"/>
            <w:numRestart w:val="continuous"/>
          </w:footnotePr>
          <w:pgSz w:w="12240" w:h="15840"/>
          <w:pgMar w:top="1780" w:left="1152" w:right="998" w:bottom="983" w:header="0" w:footer="3" w:gutter="0"/>
          <w:pgNumType w:start="1"/>
          <w:cols w:space="720"/>
          <w:noEndnote/>
          <w:rtlGutter w:val="0"/>
          <w:docGrid w:linePitch="360"/>
        </w:sectPr>
      </w:pPr>
    </w:p>
    <w:p>
      <w:pPr>
        <w:pStyle w:val="Style2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Overlap w:val="never"/>
        <w:jc w:val="center"/>
        <w:tblLayout w:type="fixed"/>
      </w:tblPr>
      <w:tblGrid>
        <w:gridCol w:w="1954"/>
        <w:gridCol w:w="7594"/>
      </w:tblGrid>
      <w:tr>
        <w:trPr>
          <w:trHeight w:val="33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shd w:val="clear" w:color="auto" w:fill="auto"/>
                <w:lang w:val="cs-CZ" w:eastAsia="cs-CZ" w:bidi="cs-CZ"/>
              </w:rPr>
              <w:t xml:space="preserve">na akci: </w:t>
            </w:r>
            <w:r>
              <w:rPr>
                <w:b/>
                <w:bCs/>
                <w:color w:val="000000"/>
                <w:spacing w:val="0"/>
                <w:w w:val="100"/>
                <w:position w:val="0"/>
                <w:sz w:val="32"/>
                <w:szCs w:val="32"/>
                <w:shd w:val="clear" w:color="auto" w:fill="auto"/>
                <w:lang w:val="cs-CZ" w:eastAsia="cs-CZ" w:bidi="cs-CZ"/>
              </w:rPr>
              <w:t>III/12920 Leskovice, most ev. č. 12920-1</w:t>
            </w:r>
          </w:p>
        </w:tc>
      </w:tr>
    </w:tbl>
    <w:p>
      <w:pPr>
        <w:widowControl w:val="0"/>
        <w:spacing w:after="219" w:line="1" w:lineRule="exact"/>
      </w:pPr>
    </w:p>
    <w:p>
      <w:pPr>
        <w:pStyle w:val="Style28"/>
        <w:keepNext/>
        <w:keepLines/>
        <w:widowControl w:val="0"/>
        <w:shd w:val="clear" w:color="auto" w:fill="auto"/>
        <w:bidi w:val="0"/>
        <w:spacing w:before="0" w:after="440" w:line="240" w:lineRule="auto"/>
        <w:ind w:left="0" w:right="0" w:firstLine="540"/>
        <w:jc w:val="left"/>
      </w:pP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p>
      <w:pPr>
        <w:widowControl w:val="0"/>
        <w:spacing w:line="1" w:lineRule="exact"/>
      </w:pPr>
      <w:r>
        <mc:AlternateContent>
          <mc:Choice Requires="wps">
            <w:drawing>
              <wp:anchor distT="173990" distB="960755" distL="6350" distR="0" simplePos="0" relativeHeight="125829378" behindDoc="0" locked="0" layoutInCell="1" allowOverlap="1">
                <wp:simplePos x="0" y="0"/>
                <wp:positionH relativeFrom="page">
                  <wp:posOffset>737870</wp:posOffset>
                </wp:positionH>
                <wp:positionV relativeFrom="paragraph">
                  <wp:posOffset>173990</wp:posOffset>
                </wp:positionV>
                <wp:extent cx="6062345" cy="877570"/>
                <wp:wrapTopAndBottom/>
                <wp:docPr id="8" name="Shape 8"/>
                <a:graphic xmlns:a="http://schemas.openxmlformats.org/drawingml/2006/main">
                  <a:graphicData uri="http://schemas.microsoft.com/office/word/2010/wordprocessingShape">
                    <wps:wsp>
                      <wps:cNvSpPr txBox="1"/>
                      <wps:spPr>
                        <a:xfrm>
                          <a:ext cx="6062345" cy="877570"/>
                        </a:xfrm>
                        <a:prstGeom prst="rect"/>
                        <a:noFill/>
                      </wps:spPr>
                      <wps:txbx>
                        <w:txbxContent>
                          <w:tbl>
                            <w:tblPr>
                              <w:tblOverlap w:val="never"/>
                              <w:jc w:val="left"/>
                              <w:tblLayout w:type="fixed"/>
                            </w:tblPr>
                            <w:tblGrid>
                              <w:gridCol w:w="1954"/>
                              <w:gridCol w:w="7594"/>
                            </w:tblGrid>
                            <w:tr>
                              <w:trPr>
                                <w:tblHeade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investičního oddělení</w:t>
                                  </w:r>
                                </w:p>
                              </w:tc>
                            </w:tr>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r>
                              <w:trPr>
                                <w:trHeight w:val="54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4" type="#_x0000_t202" style="position:absolute;margin-left:58.100000000000001pt;margin-top:13.699999999999999pt;width:477.35000000000002pt;height:69.099999999999994pt;z-index:-125829375;mso-wrap-distance-left:0.5pt;mso-wrap-distance-top:13.699999999999999pt;mso-wrap-distance-right:0;mso-wrap-distance-bottom:75.650000000000006pt;mso-position-horizontal-relative:page" filled="f" stroked="f">
                <v:textbox inset="0,0,0,0">
                  <w:txbxContent>
                    <w:tbl>
                      <w:tblPr>
                        <w:tblOverlap w:val="never"/>
                        <w:jc w:val="left"/>
                        <w:tblLayout w:type="fixed"/>
                      </w:tblPr>
                      <w:tblGrid>
                        <w:gridCol w:w="1954"/>
                        <w:gridCol w:w="7594"/>
                      </w:tblGrid>
                      <w:tr>
                        <w:trPr>
                          <w:tblHeade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investičního oddělení</w:t>
                            </w:r>
                          </w:p>
                        </w:tc>
                      </w:tr>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r>
                        <w:trPr>
                          <w:trHeight w:val="54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731520</wp:posOffset>
                </wp:positionH>
                <wp:positionV relativeFrom="paragraph">
                  <wp:posOffset>0</wp:posOffset>
                </wp:positionV>
                <wp:extent cx="3364865" cy="204470"/>
                <wp:wrapNone/>
                <wp:docPr id="10" name="Shape 10"/>
                <a:graphic xmlns:a="http://schemas.openxmlformats.org/drawingml/2006/main">
                  <a:graphicData uri="http://schemas.microsoft.com/office/word/2010/wordprocessingShape">
                    <wps:wsp>
                      <wps:cNvSpPr txBox="1"/>
                      <wps:spPr>
                        <a:xfrm>
                          <a:ext cx="3364865" cy="2044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6" type="#_x0000_t202" style="position:absolute;margin-left:57.600000000000001pt;margin-top:0;width:264.94999999999999pt;height:16.100000000000001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1017905" distB="12700" distL="0" distR="0" simplePos="0" relativeHeight="125829380" behindDoc="0" locked="0" layoutInCell="1" allowOverlap="1">
                <wp:simplePos x="0" y="0"/>
                <wp:positionH relativeFrom="page">
                  <wp:posOffset>731520</wp:posOffset>
                </wp:positionH>
                <wp:positionV relativeFrom="paragraph">
                  <wp:posOffset>1017905</wp:posOffset>
                </wp:positionV>
                <wp:extent cx="2279650" cy="981710"/>
                <wp:wrapTopAndBottom/>
                <wp:docPr id="12" name="Shape 12"/>
                <a:graphic xmlns:a="http://schemas.openxmlformats.org/drawingml/2006/main">
                  <a:graphicData uri="http://schemas.microsoft.com/office/word/2010/wordprocessingShape">
                    <wps:wsp>
                      <wps:cNvSpPr txBox="1"/>
                      <wps:spPr>
                        <a:xfrm>
                          <a:ext cx="2279650" cy="98171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8" type="#_x0000_t202" style="position:absolute;margin-left:57.600000000000001pt;margin-top:80.150000000000006pt;width:179.5pt;height:77.299999999999997pt;z-index:-125829373;mso-wrap-distance-left:0;mso-wrap-distance-top:80.150000000000006pt;mso-wrap-distance-right:0;mso-wrap-distance-bottom: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p>
    <w:p>
      <w:pPr>
        <w:pStyle w:val="Style17"/>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objednatele:</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954"/>
        <w:gridCol w:w="7594"/>
      </w:tblGrid>
      <w:tr>
        <w:trPr>
          <w:trHeight w:val="66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14"/>
              <w:keepNext w:val="0"/>
              <w:keepLines w:val="0"/>
              <w:widowControl w:val="0"/>
              <w:shd w:val="clear" w:color="auto" w:fill="auto"/>
              <w:bidi w:val="0"/>
              <w:spacing w:before="0" w:after="0" w:line="240" w:lineRule="auto"/>
              <w:ind w:left="2260" w:right="0" w:firstLine="0"/>
              <w:jc w:val="left"/>
            </w:pPr>
            <w:r>
              <w:rPr>
                <w:b/>
                <w:bCs/>
                <w:color w:val="000000"/>
                <w:spacing w:val="0"/>
                <w:w w:val="100"/>
                <w:position w:val="0"/>
                <w:sz w:val="24"/>
                <w:szCs w:val="24"/>
                <w:shd w:val="clear" w:color="auto" w:fill="auto"/>
                <w:lang w:val="cs-CZ" w:eastAsia="cs-CZ" w:bidi="cs-CZ"/>
              </w:rPr>
              <w:t>Smluvní strany</w:t>
            </w:r>
          </w:p>
        </w:tc>
      </w:tr>
      <w:tr>
        <w:trPr>
          <w:trHeight w:val="33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00" w:lineRule="exact"/>
      </w:pPr>
    </w:p>
    <w:p>
      <w:pPr>
        <w:widowControl w:val="0"/>
        <w:spacing w:after="99" w:line="1" w:lineRule="exact"/>
      </w:pPr>
    </w:p>
    <w:tbl>
      <w:tblPr>
        <w:tblOverlap w:val="never"/>
        <w:jc w:val="center"/>
        <w:tblLayout w:type="fixed"/>
      </w:tblPr>
      <w:tblGrid>
        <w:gridCol w:w="1954"/>
        <w:gridCol w:w="7594"/>
      </w:tblGrid>
      <w:tr>
        <w:trPr>
          <w:trHeight w:val="25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Eduard Chalupa s.r.o.</w:t>
            </w:r>
          </w:p>
        </w:tc>
      </w:tr>
      <w:tr>
        <w:trPr>
          <w:trHeight w:val="27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Budovatelů 2617 , 390 02 Tábor</w:t>
            </w:r>
          </w:p>
        </w:tc>
      </w:tr>
    </w:tbl>
    <w:p>
      <w:pPr>
        <w:pStyle w:val="Style28"/>
        <w:keepNext/>
        <w:keepLines/>
        <w:widowControl w:val="0"/>
        <w:shd w:val="clear" w:color="auto" w:fill="auto"/>
        <w:tabs>
          <w:tab w:pos="2126" w:val="left"/>
        </w:tabs>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zastoupený:</w:t>
        <w:tab/>
        <w:t>Eduard Chalupa - jednatel</w:t>
      </w:r>
      <w:bookmarkEnd w:id="4"/>
      <w:bookmarkEnd w:id="5"/>
    </w:p>
    <w:p>
      <w:pPr>
        <w:pStyle w:val="Style20"/>
        <w:keepNext w:val="0"/>
        <w:keepLines w:val="0"/>
        <w:widowControl w:val="0"/>
        <w:shd w:val="clear" w:color="auto" w:fill="auto"/>
        <w:bidi w:val="0"/>
        <w:spacing w:before="0" w:after="0" w:line="240" w:lineRule="auto"/>
        <w:ind w:left="2180" w:right="0" w:hanging="2180"/>
        <w:jc w:val="left"/>
      </w:pPr>
      <w:r>
        <w:rPr>
          <w:color w:val="000000"/>
          <w:spacing w:val="0"/>
          <w:w w:val="100"/>
          <w:position w:val="0"/>
          <w:sz w:val="24"/>
          <w:szCs w:val="24"/>
          <w:shd w:val="clear" w:color="auto" w:fill="auto"/>
          <w:lang w:val="cs-CZ" w:eastAsia="cs-CZ" w:bidi="cs-CZ"/>
        </w:rPr>
        <w:t>zapsán v obchodním rejstříku: Krajský soud České Budějovice spis. značka oddíl C , vložka 31005</w:t>
      </w:r>
    </w:p>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Osoby pověřené jednat jménem zhotovitele ve věcech smluvních: technických:</w:t>
      </w:r>
    </w:p>
    <w:tbl>
      <w:tblPr>
        <w:tblOverlap w:val="never"/>
        <w:jc w:val="center"/>
        <w:tblLayout w:type="fixed"/>
      </w:tblPr>
      <w:tblGrid>
        <w:gridCol w:w="1954"/>
        <w:gridCol w:w="7594"/>
      </w:tblGrid>
      <w:tr>
        <w:trPr>
          <w:trHeight w:val="3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Česká spořitelna, a.s.</w:t>
            </w:r>
          </w:p>
        </w:tc>
      </w:tr>
    </w:tbl>
    <w:p>
      <w:pPr>
        <w:pStyle w:val="Style17"/>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 účtu :</w:t>
      </w:r>
    </w:p>
    <w:p>
      <w:pPr>
        <w:widowControl w:val="0"/>
        <w:spacing w:line="1" w:lineRule="exact"/>
      </w:pPr>
    </w:p>
    <w:tbl>
      <w:tblPr>
        <w:tblOverlap w:val="never"/>
        <w:jc w:val="center"/>
        <w:tblLayout w:type="fixed"/>
      </w:tblPr>
      <w:tblGrid>
        <w:gridCol w:w="1954"/>
        <w:gridCol w:w="7594"/>
      </w:tblGrid>
      <w:tr>
        <w:trPr>
          <w:trHeight w:val="60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4"/>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108 20 604</w:t>
            </w:r>
          </w:p>
          <w:p>
            <w:pPr>
              <w:pStyle w:val="Style1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CZ10820604</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Telefon:</w:t>
      </w:r>
    </w:p>
    <w:tbl>
      <w:tblPr>
        <w:tblOverlap w:val="never"/>
        <w:jc w:val="center"/>
        <w:tblLayout w:type="fixed"/>
      </w:tblPr>
      <w:tblGrid>
        <w:gridCol w:w="1954"/>
        <w:gridCol w:w="7594"/>
      </w:tblGrid>
      <w:tr>
        <w:trPr>
          <w:trHeight w:val="33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226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tc>
      </w:tr>
    </w:tbl>
    <w:p>
      <w:pPr>
        <w:sectPr>
          <w:footnotePr>
            <w:pos w:val="pageBottom"/>
            <w:numFmt w:val="decimal"/>
            <w:numRestart w:val="continuous"/>
          </w:footnotePr>
          <w:type w:val="continuous"/>
          <w:pgSz w:w="12240" w:h="15840"/>
          <w:pgMar w:top="1680" w:left="1152" w:right="998" w:bottom="1680" w:header="0" w:footer="3" w:gutter="0"/>
          <w:cols w:space="720"/>
          <w:noEndnote/>
          <w:rtlGutter w:val="0"/>
          <w:docGrid w:linePitch="360"/>
        </w:sectPr>
      </w:pPr>
    </w:p>
    <w:p>
      <w:pPr>
        <w:widowControl w:val="0"/>
        <w:jc w:val="center"/>
        <w:rPr>
          <w:sz w:val="2"/>
          <w:szCs w:val="2"/>
        </w:rPr>
      </w:pPr>
      <w:r>
        <w:drawing>
          <wp:inline>
            <wp:extent cx="1865630" cy="105473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pic:blipFill>
                  <pic:spPr>
                    <a:xfrm>
                      <a:ext cx="1865630" cy="1054735"/>
                    </a:xfrm>
                    <a:prstGeom prst="rect"/>
                  </pic:spPr>
                </pic:pic>
              </a:graphicData>
            </a:graphic>
          </wp:inline>
        </w:drawing>
      </w:r>
    </w:p>
    <w:p>
      <w:pPr>
        <w:widowControl w:val="0"/>
        <w:spacing w:after="219" w:line="1" w:lineRule="exact"/>
      </w:pPr>
    </w:p>
    <w:p>
      <w:pPr>
        <w:pStyle w:val="Style20"/>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20"/>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20"/>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 xml:space="preserve">na akci: </w:t>
      </w:r>
      <w:r>
        <w:rPr>
          <w:b/>
          <w:bCs/>
          <w:color w:val="000000"/>
          <w:spacing w:val="0"/>
          <w:w w:val="100"/>
          <w:position w:val="0"/>
          <w:sz w:val="24"/>
          <w:szCs w:val="24"/>
          <w:shd w:val="clear" w:color="auto" w:fill="auto"/>
          <w:lang w:val="cs-CZ" w:eastAsia="cs-CZ" w:bidi="cs-CZ"/>
        </w:rPr>
        <w:t>III/12920 Leskovice, most ev. č. 12920-1</w:t>
      </w:r>
    </w:p>
    <w:p>
      <w:pPr>
        <w:pStyle w:val="Style20"/>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18.2.2023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20"/>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20"/>
        <w:keepNext w:val="0"/>
        <w:keepLines w:val="0"/>
        <w:widowControl w:val="0"/>
        <w:numPr>
          <w:ilvl w:val="0"/>
          <w:numId w:val="1"/>
        </w:numPr>
        <w:shd w:val="clear" w:color="auto" w:fill="auto"/>
        <w:tabs>
          <w:tab w:pos="710"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2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20"/>
        <w:keepNext w:val="0"/>
        <w:keepLines w:val="0"/>
        <w:widowControl w:val="0"/>
        <w:numPr>
          <w:ilvl w:val="1"/>
          <w:numId w:val="1"/>
        </w:numPr>
        <w:shd w:val="clear" w:color="auto" w:fill="auto"/>
        <w:tabs>
          <w:tab w:pos="710"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20"/>
        <w:keepNext w:val="0"/>
        <w:keepLines w:val="0"/>
        <w:widowControl w:val="0"/>
        <w:shd w:val="clear" w:color="auto" w:fill="auto"/>
        <w:bidi w:val="0"/>
        <w:spacing w:before="0" w:line="240" w:lineRule="auto"/>
        <w:ind w:left="1140" w:right="0" w:hanging="420"/>
        <w:jc w:val="both"/>
        <w:sectPr>
          <w:footnotePr>
            <w:pos w:val="pageBottom"/>
            <w:numFmt w:val="decimal"/>
            <w:numRestart w:val="continuous"/>
          </w:footnotePr>
          <w:pgSz w:w="12240" w:h="15840"/>
          <w:pgMar w:top="850" w:left="1152" w:right="998" w:bottom="883" w:header="0" w:footer="3" w:gutter="0"/>
          <w:cols w:space="720"/>
          <w:noEndnote/>
          <w:rtlGutter w:val="0"/>
          <w:docGrid w:linePitch="360"/>
        </w:sectPr>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widowControl w:val="0"/>
        <w:jc w:val="center"/>
        <w:rPr>
          <w:sz w:val="2"/>
          <w:szCs w:val="2"/>
        </w:rPr>
      </w:pPr>
      <w:r>
        <w:drawing>
          <wp:inline>
            <wp:extent cx="1865630" cy="105473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pic:blipFill>
                  <pic:spPr>
                    <a:xfrm>
                      <a:ext cx="1865630" cy="1054735"/>
                    </a:xfrm>
                    <a:prstGeom prst="rect"/>
                  </pic:spPr>
                </pic:pic>
              </a:graphicData>
            </a:graphic>
          </wp:inline>
        </w:drawing>
      </w:r>
    </w:p>
    <w:p>
      <w:pPr>
        <w:widowControl w:val="0"/>
        <w:spacing w:after="219" w:line="1" w:lineRule="exact"/>
      </w:pPr>
    </w:p>
    <w:p>
      <w:pPr>
        <w:pStyle w:val="Style28"/>
        <w:keepNext/>
        <w:keepLines/>
        <w:widowControl w:val="0"/>
        <w:numPr>
          <w:ilvl w:val="1"/>
          <w:numId w:val="1"/>
        </w:numPr>
        <w:shd w:val="clear" w:color="auto" w:fill="auto"/>
        <w:tabs>
          <w:tab w:pos="710" w:val="left"/>
        </w:tabs>
        <w:bidi w:val="0"/>
        <w:spacing w:before="0" w:after="12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Práce spojené s prováděním stavby spočívající zejména v činnostech:</w:t>
      </w:r>
      <w:bookmarkEnd w:id="6"/>
      <w:bookmarkEnd w:id="7"/>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0"/>
        <w:keepNext w:val="0"/>
        <w:keepLines w:val="0"/>
        <w:widowControl w:val="0"/>
        <w:shd w:val="clear" w:color="auto" w:fill="auto"/>
        <w:bidi w:val="0"/>
        <w:spacing w:before="0" w:line="262"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20"/>
        <w:keepNext w:val="0"/>
        <w:keepLines w:val="0"/>
        <w:widowControl w:val="0"/>
        <w:shd w:val="clear" w:color="auto" w:fill="auto"/>
        <w:bidi w:val="0"/>
        <w:spacing w:before="0" w:line="240" w:lineRule="auto"/>
        <w:ind w:left="0" w:right="0" w:firstLine="720"/>
        <w:jc w:val="both"/>
        <w:sectPr>
          <w:footnotePr>
            <w:pos w:val="pageBottom"/>
            <w:numFmt w:val="decimal"/>
            <w:numRestart w:val="continuous"/>
          </w:footnotePr>
          <w:pgSz w:w="12240" w:h="15840"/>
          <w:pgMar w:top="850" w:left="1152" w:right="998" w:bottom="883" w:header="0" w:footer="3" w:gutter="0"/>
          <w:cols w:space="720"/>
          <w:noEndnote/>
          <w:rtlGutter w:val="0"/>
          <w:docGrid w:linePitch="360"/>
        </w:sectPr>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widowControl w:val="0"/>
        <w:jc w:val="center"/>
        <w:rPr>
          <w:sz w:val="2"/>
          <w:szCs w:val="2"/>
        </w:rPr>
      </w:pPr>
      <w:r>
        <w:drawing>
          <wp:inline>
            <wp:extent cx="1865630" cy="105473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ext cx="1865630" cy="1054735"/>
                    </a:xfrm>
                    <a:prstGeom prst="rect"/>
                  </pic:spPr>
                </pic:pic>
              </a:graphicData>
            </a:graphic>
          </wp:inline>
        </w:drawing>
      </w:r>
    </w:p>
    <w:p>
      <w:pPr>
        <w:widowControl w:val="0"/>
        <w:spacing w:after="239" w:line="1" w:lineRule="exact"/>
      </w:pPr>
    </w:p>
    <w:p>
      <w:pPr>
        <w:pStyle w:val="Style20"/>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20"/>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20"/>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8"/>
        <w:keepNext/>
        <w:keepLines/>
        <w:widowControl w:val="0"/>
        <w:numPr>
          <w:ilvl w:val="1"/>
          <w:numId w:val="1"/>
        </w:numPr>
        <w:shd w:val="clear" w:color="auto" w:fill="auto"/>
        <w:tabs>
          <w:tab w:pos="604" w:val="left"/>
        </w:tabs>
        <w:bidi w:val="0"/>
        <w:spacing w:before="0" w:after="120" w:line="240"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Práce po dokončení stavby spočívající zejména v činnostech:</w:t>
      </w:r>
      <w:bookmarkEnd w:id="8"/>
      <w:bookmarkEnd w:id="9"/>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0"/>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8"/>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Čas plnění</w:t>
      </w:r>
      <w:bookmarkEnd w:id="10"/>
      <w:bookmarkEnd w:id="11"/>
    </w:p>
    <w:p>
      <w:pPr>
        <w:pStyle w:val="Style20"/>
        <w:keepNext w:val="0"/>
        <w:keepLines w:val="0"/>
        <w:widowControl w:val="0"/>
        <w:numPr>
          <w:ilvl w:val="0"/>
          <w:numId w:val="3"/>
        </w:numPr>
        <w:shd w:val="clear" w:color="auto" w:fill="auto"/>
        <w:tabs>
          <w:tab w:pos="60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okamžikem prvního úkonu.</w:t>
      </w:r>
    </w:p>
    <w:p>
      <w:pPr>
        <w:pStyle w:val="Style20"/>
        <w:keepNext w:val="0"/>
        <w:keepLines w:val="0"/>
        <w:widowControl w:val="0"/>
        <w:numPr>
          <w:ilvl w:val="0"/>
          <w:numId w:val="3"/>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okamžikem, kdy jsou fyzicky ukončeny práce na stavbě.</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8"/>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Odměna TDS, platební podmínky</w:t>
      </w:r>
      <w:bookmarkEnd w:id="12"/>
      <w:bookmarkEnd w:id="13"/>
    </w:p>
    <w:p>
      <w:pPr>
        <w:pStyle w:val="Style20"/>
        <w:keepNext w:val="0"/>
        <w:keepLines w:val="0"/>
        <w:widowControl w:val="0"/>
        <w:numPr>
          <w:ilvl w:val="0"/>
          <w:numId w:val="5"/>
        </w:numPr>
        <w:shd w:val="clear" w:color="auto" w:fill="auto"/>
        <w:tabs>
          <w:tab w:pos="604"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20"/>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504"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10 000,- Kč bez DPH</w:t>
            </w:r>
          </w:p>
        </w:tc>
      </w:tr>
      <w:tr>
        <w:trPr>
          <w:trHeight w:val="504"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12 000,- Kč bez DPH</w:t>
            </w:r>
          </w:p>
        </w:tc>
      </w:tr>
      <w:tr>
        <w:trPr>
          <w:trHeight w:val="509"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22 000,- Kč</w:t>
            </w:r>
          </w:p>
        </w:tc>
      </w:tr>
      <w:tr>
        <w:trPr>
          <w:trHeight w:val="43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4 620,- Kč</w:t>
            </w:r>
          </w:p>
        </w:tc>
      </w:tr>
      <w:tr>
        <w:trPr>
          <w:trHeight w:val="571"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26 620,- Kč</w:t>
            </w:r>
          </w:p>
        </w:tc>
      </w:tr>
    </w:tbl>
    <w:p>
      <w:pPr>
        <w:sectPr>
          <w:footnotePr>
            <w:pos w:val="pageBottom"/>
            <w:numFmt w:val="decimal"/>
            <w:numRestart w:val="continuous"/>
          </w:footnotePr>
          <w:pgSz w:w="12240" w:h="15840"/>
          <w:pgMar w:top="850" w:left="1152" w:right="1003" w:bottom="883" w:header="0" w:footer="3" w:gutter="0"/>
          <w:cols w:space="720"/>
          <w:noEndnote/>
          <w:rtlGutter w:val="0"/>
          <w:docGrid w:linePitch="360"/>
        </w:sectPr>
      </w:pPr>
    </w:p>
    <w:p>
      <w:pPr>
        <w:widowControl w:val="0"/>
        <w:jc w:val="center"/>
        <w:rPr>
          <w:sz w:val="2"/>
          <w:szCs w:val="2"/>
        </w:rPr>
      </w:pPr>
      <w:r>
        <w:drawing>
          <wp:inline>
            <wp:extent cx="1865630" cy="105473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stretch/>
                  </pic:blipFill>
                  <pic:spPr>
                    <a:xfrm>
                      <a:ext cx="1865630" cy="1054735"/>
                    </a:xfrm>
                    <a:prstGeom prst="rect"/>
                  </pic:spPr>
                </pic:pic>
              </a:graphicData>
            </a:graphic>
          </wp:inline>
        </w:drawing>
      </w:r>
    </w:p>
    <w:p>
      <w:pPr>
        <w:widowControl w:val="0"/>
        <w:spacing w:after="499" w:line="1" w:lineRule="exact"/>
      </w:pPr>
    </w:p>
    <w:p>
      <w:pPr>
        <w:pStyle w:val="Style28"/>
        <w:keepNext/>
        <w:keepLines/>
        <w:widowControl w:val="0"/>
        <w:shd w:val="clear" w:color="auto" w:fill="auto"/>
        <w:bidi w:val="0"/>
        <w:spacing w:before="0" w:after="220" w:line="240" w:lineRule="auto"/>
        <w:ind w:left="0" w:right="0" w:firstLine="740"/>
        <w:jc w:val="left"/>
      </w:pPr>
      <w:bookmarkStart w:id="14" w:name="bookmark14"/>
      <w:bookmarkStart w:id="15" w:name="bookmark15"/>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Výkon TDS - práce spojené s prováděním stavby</w:t>
      </w:r>
      <w:bookmarkEnd w:id="14"/>
      <w:bookmarkEnd w:id="15"/>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620,- Kč bez DPH</w:t>
            </w:r>
          </w:p>
        </w:tc>
      </w:tr>
      <w:tr>
        <w:trPr>
          <w:trHeight w:val="691"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780,-Kč bez DPH</w:t>
            </w:r>
          </w:p>
        </w:tc>
      </w:tr>
    </w:tbl>
    <w:p>
      <w:pPr>
        <w:widowControl w:val="0"/>
        <w:spacing w:after="819" w:line="1" w:lineRule="exact"/>
      </w:pP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0"/>
        <w:keepNext w:val="0"/>
        <w:keepLines w:val="0"/>
        <w:widowControl w:val="0"/>
        <w:numPr>
          <w:ilvl w:val="0"/>
          <w:numId w:val="5"/>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20"/>
        <w:keepNext w:val="0"/>
        <w:keepLines w:val="0"/>
        <w:widowControl w:val="0"/>
        <w:numPr>
          <w:ilvl w:val="0"/>
          <w:numId w:val="5"/>
        </w:numPr>
        <w:shd w:val="clear" w:color="auto" w:fill="auto"/>
        <w:tabs>
          <w:tab w:pos="571"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0"/>
        <w:keepNext w:val="0"/>
        <w:keepLines w:val="0"/>
        <w:widowControl w:val="0"/>
        <w:numPr>
          <w:ilvl w:val="0"/>
          <w:numId w:val="5"/>
        </w:numPr>
        <w:shd w:val="clear" w:color="auto" w:fill="auto"/>
        <w:tabs>
          <w:tab w:pos="571"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20"/>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20"/>
        <w:keepNext w:val="0"/>
        <w:keepLines w:val="0"/>
        <w:widowControl w:val="0"/>
        <w:numPr>
          <w:ilvl w:val="0"/>
          <w:numId w:val="5"/>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0"/>
        <w:keepNext w:val="0"/>
        <w:keepLines w:val="0"/>
        <w:widowControl w:val="0"/>
        <w:numPr>
          <w:ilvl w:val="0"/>
          <w:numId w:val="5"/>
        </w:numPr>
        <w:shd w:val="clear" w:color="auto" w:fill="auto"/>
        <w:tabs>
          <w:tab w:pos="620" w:val="left"/>
        </w:tabs>
        <w:bidi w:val="0"/>
        <w:spacing w:before="0" w:after="100" w:line="240" w:lineRule="auto"/>
        <w:ind w:left="0" w:right="0" w:firstLine="0"/>
        <w:jc w:val="both"/>
        <w:sectPr>
          <w:footnotePr>
            <w:pos w:val="pageBottom"/>
            <w:numFmt w:val="decimal"/>
            <w:numRestart w:val="continuous"/>
          </w:footnotePr>
          <w:pgSz w:w="12240" w:h="15840"/>
          <w:pgMar w:top="850" w:left="1142" w:right="998" w:bottom="883"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widowControl w:val="0"/>
        <w:jc w:val="center"/>
        <w:rPr>
          <w:sz w:val="2"/>
          <w:szCs w:val="2"/>
        </w:rPr>
      </w:pPr>
      <w:r>
        <w:drawing>
          <wp:inline>
            <wp:extent cx="1865630" cy="105473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ext cx="1865630" cy="1054735"/>
                    </a:xfrm>
                    <a:prstGeom prst="rect"/>
                  </pic:spPr>
                </pic:pic>
              </a:graphicData>
            </a:graphic>
          </wp:inline>
        </w:drawing>
      </w:r>
    </w:p>
    <w:p>
      <w:pPr>
        <w:widowControl w:val="0"/>
        <w:spacing w:after="239" w:line="1" w:lineRule="exact"/>
      </w:pPr>
    </w:p>
    <w:p>
      <w:pPr>
        <w:pStyle w:val="Style20"/>
        <w:keepNext w:val="0"/>
        <w:keepLines w:val="0"/>
        <w:widowControl w:val="0"/>
        <w:numPr>
          <w:ilvl w:val="0"/>
          <w:numId w:val="5"/>
        </w:numPr>
        <w:shd w:val="clear" w:color="auto" w:fill="auto"/>
        <w:tabs>
          <w:tab w:pos="66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dnů ode dne, kdy objednatel obdrží oprávněně vystavený daňový doklad.</w:t>
      </w:r>
    </w:p>
    <w:p>
      <w:pPr>
        <w:pStyle w:val="Style20"/>
        <w:keepNext w:val="0"/>
        <w:keepLines w:val="0"/>
        <w:widowControl w:val="0"/>
        <w:numPr>
          <w:ilvl w:val="0"/>
          <w:numId w:val="5"/>
        </w:numPr>
        <w:shd w:val="clear" w:color="auto" w:fill="auto"/>
        <w:tabs>
          <w:tab w:pos="661"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8"/>
        <w:keepNext/>
        <w:keepLines/>
        <w:widowControl w:val="0"/>
        <w:shd w:val="clear" w:color="auto" w:fill="auto"/>
        <w:bidi w:val="0"/>
        <w:spacing w:before="0" w:after="10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Práva a povinnosti smluvních stran</w:t>
      </w:r>
      <w:bookmarkEnd w:id="16"/>
      <w:bookmarkEnd w:id="17"/>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z w:val="24"/>
          <w:szCs w:val="24"/>
          <w:shd w:val="clear" w:color="auto" w:fill="auto"/>
          <w:lang w:val="cs-CZ" w:eastAsia="cs-CZ" w:bidi="cs-CZ"/>
        </w:rPr>
        <w:t>.</w:t>
      </w:r>
    </w:p>
    <w:p>
      <w:pPr>
        <w:pStyle w:val="Style20"/>
        <w:keepNext w:val="0"/>
        <w:keepLines w:val="0"/>
        <w:widowControl w:val="0"/>
        <w:numPr>
          <w:ilvl w:val="0"/>
          <w:numId w:val="7"/>
        </w:numPr>
        <w:shd w:val="clear" w:color="auto" w:fill="auto"/>
        <w:tabs>
          <w:tab w:pos="570" w:val="left"/>
        </w:tabs>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20"/>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z w:val="24"/>
          <w:szCs w:val="24"/>
          <w:shd w:val="clear" w:color="auto" w:fill="auto"/>
          <w:lang w:val="cs-CZ" w:eastAsia="cs-CZ" w:bidi="cs-CZ"/>
        </w:rPr>
        <w:t xml:space="preserve">Odpovědný TDS - Mosty a inženýrské konstrukce </w:t>
      </w:r>
      <w:r>
        <w:rPr>
          <w:color w:val="000000"/>
          <w:spacing w:val="0"/>
          <w:w w:val="100"/>
          <w:position w:val="0"/>
          <w:sz w:val="24"/>
          <w:szCs w:val="24"/>
          <w:shd w:val="clear" w:color="auto" w:fill="auto"/>
          <w:lang w:val="cs-CZ" w:eastAsia="cs-CZ" w:bidi="cs-CZ"/>
        </w:rPr>
        <w:t>(jméno, příjmení, titul, číslo autorizace): Eduard Chalupa, AO 0009477</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20"/>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20"/>
        <w:keepNext w:val="0"/>
        <w:keepLines w:val="0"/>
        <w:widowControl w:val="0"/>
        <w:numPr>
          <w:ilvl w:val="0"/>
          <w:numId w:val="7"/>
        </w:numPr>
        <w:shd w:val="clear" w:color="auto" w:fill="auto"/>
        <w:tabs>
          <w:tab w:pos="570"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8"/>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Změna závazku</w:t>
      </w:r>
      <w:bookmarkEnd w:id="18"/>
      <w:bookmarkEnd w:id="19"/>
    </w:p>
    <w:p>
      <w:pPr>
        <w:pStyle w:val="Style20"/>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20"/>
        <w:keepNext w:val="0"/>
        <w:keepLines w:val="0"/>
        <w:widowControl w:val="0"/>
        <w:numPr>
          <w:ilvl w:val="0"/>
          <w:numId w:val="9"/>
        </w:numPr>
        <w:shd w:val="clear" w:color="auto" w:fill="auto"/>
        <w:tabs>
          <w:tab w:pos="570" w:val="left"/>
        </w:tabs>
        <w:bidi w:val="0"/>
        <w:spacing w:before="0" w:after="100" w:line="240" w:lineRule="auto"/>
        <w:ind w:left="0" w:right="0" w:firstLine="0"/>
        <w:jc w:val="both"/>
        <w:sectPr>
          <w:footnotePr>
            <w:pos w:val="pageBottom"/>
            <w:numFmt w:val="decimal"/>
            <w:numRestart w:val="continuous"/>
          </w:footnotePr>
          <w:pgSz w:w="12240" w:h="15840"/>
          <w:pgMar w:top="850" w:left="1142" w:right="998" w:bottom="87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widowControl w:val="0"/>
        <w:jc w:val="center"/>
        <w:rPr>
          <w:sz w:val="2"/>
          <w:szCs w:val="2"/>
        </w:rPr>
      </w:pPr>
      <w:r>
        <w:drawing>
          <wp:inline>
            <wp:extent cx="1865630" cy="105473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stretch/>
                  </pic:blipFill>
                  <pic:spPr>
                    <a:xfrm>
                      <a:ext cx="1865630" cy="1054735"/>
                    </a:xfrm>
                    <a:prstGeom prst="rect"/>
                  </pic:spPr>
                </pic:pic>
              </a:graphicData>
            </a:graphic>
          </wp:inline>
        </w:drawing>
      </w:r>
    </w:p>
    <w:p>
      <w:pPr>
        <w:widowControl w:val="0"/>
        <w:spacing w:after="499" w:line="1" w:lineRule="exact"/>
      </w:pP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8"/>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Sankce</w:t>
      </w:r>
      <w:bookmarkEnd w:id="20"/>
      <w:bookmarkEnd w:id="21"/>
    </w:p>
    <w:p>
      <w:pPr>
        <w:pStyle w:val="Style20"/>
        <w:keepNext w:val="0"/>
        <w:keepLines w:val="0"/>
        <w:widowControl w:val="0"/>
        <w:numPr>
          <w:ilvl w:val="0"/>
          <w:numId w:val="11"/>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20"/>
        <w:keepNext w:val="0"/>
        <w:keepLines w:val="0"/>
        <w:widowControl w:val="0"/>
        <w:numPr>
          <w:ilvl w:val="0"/>
          <w:numId w:val="11"/>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20"/>
        <w:keepNext w:val="0"/>
        <w:keepLines w:val="0"/>
        <w:widowControl w:val="0"/>
        <w:numPr>
          <w:ilvl w:val="0"/>
          <w:numId w:val="11"/>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 zákonné výši za každý den prodlení.</w:t>
      </w:r>
    </w:p>
    <w:p>
      <w:pPr>
        <w:pStyle w:val="Style20"/>
        <w:keepNext w:val="0"/>
        <w:keepLines w:val="0"/>
        <w:widowControl w:val="0"/>
        <w:numPr>
          <w:ilvl w:val="0"/>
          <w:numId w:val="11"/>
        </w:numPr>
        <w:shd w:val="clear" w:color="auto" w:fill="auto"/>
        <w:tabs>
          <w:tab w:pos="573"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8"/>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Odpovědnost za škodu</w:t>
      </w:r>
      <w:bookmarkEnd w:id="22"/>
      <w:bookmarkEnd w:id="23"/>
    </w:p>
    <w:p>
      <w:pPr>
        <w:pStyle w:val="Style20"/>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20"/>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20"/>
        <w:keepNext w:val="0"/>
        <w:keepLines w:val="0"/>
        <w:widowControl w:val="0"/>
        <w:numPr>
          <w:ilvl w:val="0"/>
          <w:numId w:val="13"/>
        </w:numPr>
        <w:shd w:val="clear" w:color="auto" w:fill="auto"/>
        <w:tabs>
          <w:tab w:pos="573"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8"/>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Ostatní ujednání, závěrečná ustanovení</w:t>
      </w:r>
      <w:bookmarkEnd w:id="24"/>
      <w:bookmarkEnd w:id="25"/>
    </w:p>
    <w:p>
      <w:pPr>
        <w:pStyle w:val="Style20"/>
        <w:keepNext w:val="0"/>
        <w:keepLines w:val="0"/>
        <w:widowControl w:val="0"/>
        <w:numPr>
          <w:ilvl w:val="0"/>
          <w:numId w:val="15"/>
        </w:numPr>
        <w:shd w:val="clear" w:color="auto" w:fill="auto"/>
        <w:tabs>
          <w:tab w:pos="639"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20"/>
        <w:keepNext w:val="0"/>
        <w:keepLines w:val="0"/>
        <w:widowControl w:val="0"/>
        <w:numPr>
          <w:ilvl w:val="0"/>
          <w:numId w:val="15"/>
        </w:numPr>
        <w:shd w:val="clear" w:color="auto" w:fill="auto"/>
        <w:tabs>
          <w:tab w:pos="639"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0"/>
        <w:keepNext w:val="0"/>
        <w:keepLines w:val="0"/>
        <w:widowControl w:val="0"/>
        <w:numPr>
          <w:ilvl w:val="0"/>
          <w:numId w:val="15"/>
        </w:numPr>
        <w:shd w:val="clear" w:color="auto" w:fill="auto"/>
        <w:tabs>
          <w:tab w:pos="639" w:val="left"/>
        </w:tabs>
        <w:bidi w:val="0"/>
        <w:spacing w:before="0" w:after="100" w:line="240" w:lineRule="auto"/>
        <w:ind w:left="0" w:right="0" w:firstLine="0"/>
        <w:jc w:val="both"/>
        <w:sectPr>
          <w:footnotePr>
            <w:pos w:val="pageBottom"/>
            <w:numFmt w:val="decimal"/>
            <w:numRestart w:val="continuous"/>
          </w:footnotePr>
          <w:pgSz w:w="12240" w:h="15840"/>
          <w:pgMar w:top="850" w:left="1152" w:right="998" w:bottom="883"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widowControl w:val="0"/>
        <w:spacing w:line="1" w:lineRule="exact"/>
      </w:pPr>
      <w:r>
        <w:drawing>
          <wp:anchor distT="0" distB="241300" distL="0" distR="0" simplePos="0" relativeHeight="125829382" behindDoc="0" locked="0" layoutInCell="1" allowOverlap="1">
            <wp:simplePos x="0" y="0"/>
            <wp:positionH relativeFrom="page">
              <wp:posOffset>4544695</wp:posOffset>
            </wp:positionH>
            <wp:positionV relativeFrom="paragraph">
              <wp:posOffset>0</wp:posOffset>
            </wp:positionV>
            <wp:extent cx="1572895" cy="688975"/>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1"/>
                    <a:stretch/>
                  </pic:blipFill>
                  <pic:spPr>
                    <a:xfrm>
                      <a:ext cx="1572895" cy="688975"/>
                    </a:xfrm>
                    <a:prstGeom prst="rect"/>
                  </pic:spPr>
                </pic:pic>
              </a:graphicData>
            </a:graphic>
          </wp:anchor>
        </w:drawing>
      </w:r>
      <w:r>
        <mc:AlternateContent>
          <mc:Choice Requires="wps">
            <w:drawing>
              <wp:anchor distT="475615" distB="332740" distL="0" distR="0" simplePos="0" relativeHeight="125829383" behindDoc="0" locked="0" layoutInCell="1" allowOverlap="1">
                <wp:simplePos x="0" y="0"/>
                <wp:positionH relativeFrom="page">
                  <wp:posOffset>5858510</wp:posOffset>
                </wp:positionH>
                <wp:positionV relativeFrom="paragraph">
                  <wp:posOffset>475615</wp:posOffset>
                </wp:positionV>
                <wp:extent cx="494030" cy="118745"/>
                <wp:wrapTopAndBottom/>
                <wp:docPr id="22" name="Shape 22"/>
                <a:graphic xmlns:a="http://schemas.openxmlformats.org/drawingml/2006/main">
                  <a:graphicData uri="http://schemas.microsoft.com/office/word/2010/wordprocessingShape">
                    <wps:wsp>
                      <wps:cNvSpPr txBox="1"/>
                      <wps:spPr>
                        <a:xfrm>
                          <a:ext cx="494030"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DOPRAVNÍ</w:t>
                            </w:r>
                          </w:p>
                        </w:txbxContent>
                      </wps:txbx>
                      <wps:bodyPr wrap="none" lIns="0" tIns="0" rIns="0" bIns="0">
                        <a:noAutoFit/>
                      </wps:bodyPr>
                    </wps:wsp>
                  </a:graphicData>
                </a:graphic>
              </wp:anchor>
            </w:drawing>
          </mc:Choice>
          <mc:Fallback>
            <w:pict>
              <v:shape id="_x0000_s1048" type="#_x0000_t202" style="position:absolute;margin-left:461.30000000000001pt;margin-top:37.450000000000003pt;width:38.899999999999999pt;height:9.3499999999999996pt;z-index:-125829370;mso-wrap-distance-left:0;mso-wrap-distance-top:37.450000000000003pt;mso-wrap-distance-right:0;mso-wrap-distance-bottom:26.1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DOPRAVNÍ</w:t>
                      </w:r>
                    </w:p>
                  </w:txbxContent>
                </v:textbox>
                <w10:wrap type="topAndBottom" anchorx="page"/>
              </v:shape>
            </w:pict>
          </mc:Fallback>
        </mc:AlternateConten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prohlašují, že tato smlouva neobsahuje žádné údaje, které by byly smluvními </w:t>
      </w:r>
      <w:r>
        <w:rPr>
          <w:color w:val="000000"/>
          <w:spacing w:val="0"/>
          <w:w w:val="100"/>
          <w:position w:val="0"/>
          <w:sz w:val="24"/>
          <w:szCs w:val="24"/>
          <w:shd w:val="clear" w:color="auto" w:fill="auto"/>
          <w:lang w:val="cs-CZ" w:eastAsia="cs-CZ" w:bidi="cs-CZ"/>
        </w:rPr>
        <w:t>stranami považovány za obchodní tajemství, stejně tak jako údaje, jejichž zveřejnění by bránily jiné právní předpisy.</w: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20"/>
        <w:keepNext w:val="0"/>
        <w:keepLines w:val="0"/>
        <w:widowControl w:val="0"/>
        <w:numPr>
          <w:ilvl w:val="0"/>
          <w:numId w:val="1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0"/>
        <w:keepNext w:val="0"/>
        <w:keepLines w:val="0"/>
        <w:widowControl w:val="0"/>
        <w:numPr>
          <w:ilvl w:val="0"/>
          <w:numId w:val="15"/>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20"/>
        <w:keepNext w:val="0"/>
        <w:keepLines w:val="0"/>
        <w:widowControl w:val="0"/>
        <w:numPr>
          <w:ilvl w:val="0"/>
          <w:numId w:val="15"/>
        </w:numPr>
        <w:shd w:val="clear" w:color="auto" w:fill="auto"/>
        <w:tabs>
          <w:tab w:pos="75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0"/>
        <w:keepNext w:val="0"/>
        <w:keepLines w:val="0"/>
        <w:widowControl w:val="0"/>
        <w:numPr>
          <w:ilvl w:val="0"/>
          <w:numId w:val="15"/>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účinná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jejího uveřejnění v registru smluv.</w:t>
      </w:r>
    </w:p>
    <w:p>
      <w:pPr>
        <w:pStyle w:val="Style20"/>
        <w:keepNext w:val="0"/>
        <w:keepLines w:val="0"/>
        <w:widowControl w:val="0"/>
        <w:numPr>
          <w:ilvl w:val="0"/>
          <w:numId w:val="15"/>
        </w:numPr>
        <w:shd w:val="clear" w:color="auto" w:fill="auto"/>
        <w:tabs>
          <w:tab w:pos="750" w:val="left"/>
        </w:tabs>
        <w:bidi w:val="0"/>
        <w:spacing w:before="0" w:after="9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2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20"/>
        <w:keepNext w:val="0"/>
        <w:keepLines w:val="0"/>
        <w:widowControl w:val="0"/>
        <w:shd w:val="clear" w:color="auto" w:fill="auto"/>
        <w:bidi w:val="0"/>
        <w:spacing w:before="0" w:line="240"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r>
        <w:br w:type="page"/>
      </w:r>
    </w:p>
    <w:p>
      <w:pPr>
        <w:widowControl w:val="0"/>
        <w:spacing w:line="1" w:lineRule="exact"/>
      </w:pPr>
      <w:r>
        <w:drawing>
          <wp:anchor distT="0" distB="63500" distL="0" distR="0" simplePos="0" relativeHeight="125829385" behindDoc="0" locked="0" layoutInCell="1" allowOverlap="1">
            <wp:simplePos x="0" y="0"/>
            <wp:positionH relativeFrom="page">
              <wp:posOffset>4504690</wp:posOffset>
            </wp:positionH>
            <wp:positionV relativeFrom="paragraph">
              <wp:posOffset>0</wp:posOffset>
            </wp:positionV>
            <wp:extent cx="1865630" cy="1054735"/>
            <wp:wrapTopAndBottom/>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3"/>
                    <a:stretch/>
                  </pic:blipFill>
                  <pic:spPr>
                    <a:xfrm>
                      <a:ext cx="1865630" cy="1054735"/>
                    </a:xfrm>
                    <a:prstGeom prst="rect"/>
                  </pic:spPr>
                </pic:pic>
              </a:graphicData>
            </a:graphic>
          </wp:anchor>
        </w:drawing>
      </w:r>
    </w:p>
    <w:p>
      <w:pPr>
        <w:pStyle w:val="Style20"/>
        <w:keepNext w:val="0"/>
        <w:keepLines w:val="0"/>
        <w:widowControl w:val="0"/>
        <w:shd w:val="clear" w:color="auto" w:fill="auto"/>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0"/>
        <w:keepNext w:val="0"/>
        <w:keepLines w:val="0"/>
        <w:widowControl w:val="0"/>
        <w:shd w:val="clear" w:color="auto" w:fill="auto"/>
        <w:bidi w:val="0"/>
        <w:spacing w:before="0" w:after="500" w:line="240" w:lineRule="auto"/>
        <w:ind w:left="0" w:right="0" w:firstLine="0"/>
        <w:jc w:val="center"/>
      </w:pPr>
      <w:r>
        <mc:AlternateContent>
          <mc:Choice Requires="wps">
            <w:drawing>
              <wp:anchor distT="0" distB="0" distL="114300" distR="114300" simplePos="0" relativeHeight="125829386" behindDoc="0" locked="0" layoutInCell="1" allowOverlap="1">
                <wp:simplePos x="0" y="0"/>
                <wp:positionH relativeFrom="page">
                  <wp:posOffset>731520</wp:posOffset>
                </wp:positionH>
                <wp:positionV relativeFrom="paragraph">
                  <wp:posOffset>12700</wp:posOffset>
                </wp:positionV>
                <wp:extent cx="377825" cy="201295"/>
                <wp:wrapSquare wrapText="bothSides"/>
                <wp:docPr id="26" name="Shape 26"/>
                <a:graphic xmlns:a="http://schemas.openxmlformats.org/drawingml/2006/main">
                  <a:graphicData uri="http://schemas.microsoft.com/office/word/2010/wordprocessingShape">
                    <wps:wsp>
                      <wps:cNvSpPr txBox="1"/>
                      <wps:spPr>
                        <a:xfrm>
                          <a:ext cx="377825" cy="20129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52" type="#_x0000_t202" style="position:absolute;margin-left:57.600000000000001pt;margin-top:1.pt;width:29.75pt;height:15.85pt;z-index:-125829367;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pStyle w:val="Style20"/>
        <w:keepNext w:val="0"/>
        <w:keepLines w:val="0"/>
        <w:widowControl w:val="0"/>
        <w:shd w:val="clear" w:color="auto" w:fill="auto"/>
        <w:bidi w:val="0"/>
        <w:spacing w:before="0" w:after="1720" w:line="240"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3901440</wp:posOffset>
                </wp:positionH>
                <wp:positionV relativeFrom="paragraph">
                  <wp:posOffset>12700</wp:posOffset>
                </wp:positionV>
                <wp:extent cx="628015" cy="201295"/>
                <wp:wrapSquare wrapText="left"/>
                <wp:docPr id="28" name="Shape 28"/>
                <a:graphic xmlns:a="http://schemas.openxmlformats.org/drawingml/2006/main">
                  <a:graphicData uri="http://schemas.microsoft.com/office/word/2010/wordprocessingShape">
                    <wps:wsp>
                      <wps:cNvSpPr txBox="1"/>
                      <wps:spPr>
                        <a:xfrm>
                          <a:ext cx="628015" cy="20129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wps:txbx>
                      <wps:bodyPr wrap="none" lIns="0" tIns="0" rIns="0" bIns="0">
                        <a:noAutoFit/>
                      </wps:bodyPr>
                    </wps:wsp>
                  </a:graphicData>
                </a:graphic>
              </wp:anchor>
            </w:drawing>
          </mc:Choice>
          <mc:Fallback>
            <w:pict>
              <v:shape id="_x0000_s1054" type="#_x0000_t202" style="position:absolute;margin-left:307.19999999999999pt;margin-top:1.pt;width:49.450000000000003pt;height:15.85pt;z-index:-125829365;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V Táboře 20.2.2023</w:t>
      </w:r>
    </w:p>
    <w:tbl>
      <w:tblPr>
        <w:tblOverlap w:val="never"/>
        <w:jc w:val="center"/>
        <w:tblLayout w:type="fixed"/>
      </w:tblPr>
      <w:tblGrid>
        <w:gridCol w:w="3422"/>
        <w:gridCol w:w="4814"/>
      </w:tblGrid>
      <w:tr>
        <w:trPr>
          <w:trHeight w:val="110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Chalupa Eduard - jednatel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 ředitel organizace Krajská správa a údržba silnic Vysočiny, příspěvková organizace</w:t>
            </w:r>
          </w:p>
        </w:tc>
      </w:tr>
    </w:tbl>
    <w:p>
      <w:pPr>
        <w:sectPr>
          <w:footnotePr>
            <w:pos w:val="pageBottom"/>
            <w:numFmt w:val="decimal"/>
            <w:numRestart w:val="continuous"/>
          </w:footnotePr>
          <w:pgSz w:w="12240" w:h="15840"/>
          <w:pgMar w:top="2002" w:left="1152" w:right="1003" w:bottom="1954" w:header="0" w:footer="3" w:gutter="0"/>
          <w:cols w:space="720"/>
          <w:noEndnote/>
          <w:rtlGutter w:val="0"/>
          <w:docGrid w:linePitch="360"/>
        </w:sectPr>
      </w:pPr>
    </w:p>
    <w:tbl>
      <w:tblPr>
        <w:tblOverlap w:val="never"/>
        <w:jc w:val="left"/>
        <w:tblLayout w:type="fixed"/>
      </w:tblPr>
      <w:tblGrid>
        <w:gridCol w:w="557"/>
        <w:gridCol w:w="5832"/>
        <w:gridCol w:w="1512"/>
        <w:gridCol w:w="1637"/>
      </w:tblGrid>
      <w:tr>
        <w:trPr>
          <w:trHeight w:val="504" w:hRule="exact"/>
        </w:trPr>
        <w:tc>
          <w:tcPr>
            <w:gridSpan w:val="4"/>
            <w:tcBorders>
              <w:top w:val="single" w:sz="4"/>
              <w:left w:val="single" w:sz="4"/>
              <w:righ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Příloha č. 1 </w:t>
            </w:r>
            <w:r>
              <w:rPr>
                <w:color w:val="000000"/>
                <w:spacing w:val="0"/>
                <w:w w:val="100"/>
                <w:position w:val="0"/>
                <w:sz w:val="18"/>
                <w:szCs w:val="18"/>
                <w:shd w:val="clear" w:color="auto" w:fill="auto"/>
                <w:lang w:val="cs-CZ" w:eastAsia="cs-CZ" w:bidi="cs-CZ"/>
              </w:rPr>
              <w:t>-</w:t>
            </w:r>
          </w:p>
        </w:tc>
      </w:tr>
      <w:tr>
        <w:trPr>
          <w:trHeight w:val="552" w:hRule="exact"/>
        </w:trPr>
        <w:tc>
          <w:tcPr>
            <w:gridSpan w:val="4"/>
            <w:tcBorders>
              <w:top w:val="single" w:sz="4"/>
              <w:left w:val="single" w:sz="4"/>
              <w:righ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9" w:hRule="exact"/>
        </w:trPr>
        <w:tc>
          <w:tcPr>
            <w:gridSpan w:val="4"/>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"III/12920 Leskovice - most ev. č. 12920-1"</w:t>
            </w:r>
          </w:p>
        </w:tc>
      </w:tr>
      <w:tr>
        <w:trPr>
          <w:trHeight w:val="365" w:hRule="exact"/>
        </w:trPr>
        <w:tc>
          <w:tcPr>
            <w:vMerge w:val="restart"/>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framePr w:w="9538" w:h="9821" w:hSpace="864" w:vSpace="307" w:wrap="notBeside" w:vAnchor="text" w:hAnchor="text" w:y="1"/>
            </w:pPr>
          </w:p>
        </w:tc>
        <w:tc>
          <w:tcPr>
            <w:vMerge/>
            <w:tcBorders>
              <w:left w:val="single" w:sz="4"/>
            </w:tcBorders>
            <w:shd w:val="clear" w:color="auto" w:fill="FFFFFF"/>
            <w:vAlign w:val="center"/>
          </w:tcPr>
          <w:p>
            <w:pPr>
              <w:framePr w:w="9538" w:h="9821" w:hSpace="864" w:vSpace="307" w:wrap="notBeside" w:vAnchor="text" w:hAnchor="text" w:y="1"/>
            </w:pPr>
          </w:p>
        </w:tc>
        <w:tc>
          <w:tcPr>
            <w:tcBorders>
              <w:top w:val="single" w:sz="4"/>
              <w:lef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00"/>
              <w:jc w:val="left"/>
              <w:rPr>
                <w:sz w:val="18"/>
                <w:szCs w:val="18"/>
              </w:rPr>
            </w:pPr>
            <w:r>
              <w:rPr>
                <w:b/>
                <w:bCs/>
                <w:i/>
                <w:iCs/>
                <w:color w:val="000000"/>
                <w:spacing w:val="0"/>
                <w:w w:val="100"/>
                <w:position w:val="0"/>
                <w:sz w:val="18"/>
                <w:szCs w:val="18"/>
                <w:shd w:val="clear" w:color="auto" w:fill="auto"/>
                <w:lang w:val="cs-CZ" w:eastAsia="cs-CZ" w:bidi="cs-CZ"/>
              </w:rPr>
              <w:t>celkem</w:t>
            </w:r>
          </w:p>
        </w:tc>
      </w:tr>
      <w:tr>
        <w:trPr>
          <w:trHeight w:val="475" w:hRule="exact"/>
        </w:trPr>
        <w:tc>
          <w:tcPr>
            <w:gridSpan w:val="2"/>
            <w:tcBorders>
              <w:top w:val="single" w:sz="4"/>
              <w:left w:val="single" w:sz="4"/>
            </w:tcBorders>
            <w:shd w:val="clear" w:color="auto" w:fill="D8E4BD"/>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framePr w:w="9538" w:h="9821" w:hSpace="864" w:vSpace="307" w:wrap="notBeside" w:vAnchor="text" w:hAnchor="text" w:y="1"/>
              <w:widowControl w:val="0"/>
              <w:rPr>
                <w:sz w:val="10"/>
                <w:szCs w:val="10"/>
              </w:rPr>
            </w:pPr>
          </w:p>
        </w:tc>
      </w:tr>
      <w:tr>
        <w:trPr>
          <w:trHeight w:val="763" w:hRule="exact"/>
        </w:trPr>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14"/>
              <w:keepNext w:val="0"/>
              <w:keepLines w:val="0"/>
              <w:framePr w:w="9538"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10 000</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10 000,00 Kč</w:t>
            </w:r>
          </w:p>
        </w:tc>
      </w:tr>
      <w:tr>
        <w:trPr>
          <w:trHeight w:val="778" w:hRule="exact"/>
        </w:trPr>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14"/>
              <w:keepNext w:val="0"/>
              <w:keepLines w:val="0"/>
              <w:framePr w:w="9538"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12000</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12 000,00 Kč</w:t>
            </w:r>
          </w:p>
        </w:tc>
      </w:tr>
      <w:tr>
        <w:trPr>
          <w:trHeight w:val="288" w:hRule="exact"/>
        </w:trPr>
        <w:tc>
          <w:tcPr>
            <w:gridSpan w:val="2"/>
            <w:tcBorders>
              <w:top w:val="single" w:sz="4"/>
              <w:lef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bottom"/>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22 000,00 Kč</w:t>
            </w:r>
          </w:p>
        </w:tc>
      </w:tr>
      <w:tr>
        <w:trPr>
          <w:trHeight w:val="787" w:hRule="exact"/>
        </w:trPr>
        <w:tc>
          <w:tcPr>
            <w:gridSpan w:val="2"/>
            <w:tcBorders>
              <w:top w:val="single" w:sz="4"/>
              <w:left w:val="single" w:sz="4"/>
            </w:tcBorders>
            <w:shd w:val="clear" w:color="auto" w:fill="D8E4BD"/>
            <w:vAlign w:val="bottom"/>
          </w:tcPr>
          <w:p>
            <w:pPr>
              <w:pStyle w:val="Style14"/>
              <w:keepNext w:val="0"/>
              <w:keepLines w:val="0"/>
              <w:framePr w:w="9538"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14"/>
              <w:keepNext w:val="0"/>
              <w:keepLines w:val="0"/>
              <w:framePr w:w="9538"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14"/>
              <w:keepNext w:val="0"/>
              <w:keepLines w:val="0"/>
              <w:framePr w:w="9538" w:h="9821" w:hSpace="864" w:vSpace="307" w:wrap="notBeside" w:vAnchor="text" w:hAnchor="text" w:y="1"/>
              <w:widowControl w:val="0"/>
              <w:shd w:val="clear" w:color="auto" w:fill="auto"/>
              <w:bidi w:val="0"/>
              <w:spacing w:before="0" w:after="0" w:line="257"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b/>
                <w:bCs/>
                <w:i/>
                <w:iCs/>
                <w:color w:val="000000"/>
                <w:spacing w:val="0"/>
                <w:w w:val="100"/>
                <w:position w:val="0"/>
                <w:sz w:val="18"/>
                <w:szCs w:val="18"/>
                <w:shd w:val="clear" w:color="auto" w:fill="auto"/>
                <w:lang w:val="cs-CZ" w:eastAsia="cs-CZ" w:bidi="cs-CZ"/>
              </w:rPr>
              <w:t>celkem za 10 hodin</w:t>
            </w:r>
          </w:p>
          <w:p>
            <w:pPr>
              <w:pStyle w:val="Style14"/>
              <w:keepNext w:val="0"/>
              <w:keepLines w:val="0"/>
              <w:framePr w:w="9538" w:h="9821" w:hSpace="864" w:vSpace="307" w:wrap="notBeside" w:vAnchor="text" w:hAnchor="text" w:y="1"/>
              <w:widowControl w:val="0"/>
              <w:shd w:val="clear" w:color="auto" w:fill="auto"/>
              <w:bidi w:val="0"/>
              <w:spacing w:before="0" w:after="0" w:line="182"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14"/>
              <w:keepNext w:val="0"/>
              <w:keepLines w:val="0"/>
              <w:framePr w:w="9538" w:h="9821" w:hSpace="864" w:vSpace="307" w:wrap="notBeside" w:vAnchor="text" w:hAnchor="text" w:y="1"/>
              <w:widowControl w:val="0"/>
              <w:numPr>
                <w:ilvl w:val="0"/>
                <w:numId w:val="17"/>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w:t>
            </w:r>
            <w:r>
              <w:rPr>
                <w:b/>
                <w:bCs/>
                <w:color w:val="000000"/>
                <w:spacing w:val="0"/>
                <w:w w:val="100"/>
                <w:position w:val="0"/>
                <w:sz w:val="18"/>
                <w:szCs w:val="18"/>
                <w:shd w:val="clear" w:color="auto" w:fill="auto"/>
                <w:lang w:val="cs-CZ" w:eastAsia="cs-CZ" w:bidi="cs-CZ"/>
              </w:rPr>
              <w:t>náklady bez nároku na cestové</w:t>
            </w:r>
          </w:p>
          <w:p>
            <w:pPr>
              <w:pStyle w:val="Style14"/>
              <w:keepNext w:val="0"/>
              <w:keepLines w:val="0"/>
              <w:framePr w:w="9538" w:h="9821" w:hSpace="864" w:vSpace="307" w:wrap="notBeside" w:vAnchor="text" w:hAnchor="text" w:y="1"/>
              <w:widowControl w:val="0"/>
              <w:numPr>
                <w:ilvl w:val="0"/>
                <w:numId w:val="17"/>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10 hodin</w:t>
            </w:r>
          </w:p>
        </w:tc>
        <w:tc>
          <w:tcPr>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620,00 Kč</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 2 0 0 , 0 0 Kč</w:t>
            </w:r>
          </w:p>
        </w:tc>
      </w:tr>
      <w:tr>
        <w:trPr>
          <w:trHeight w:val="566" w:hRule="exact"/>
        </w:trPr>
        <w:tc>
          <w:tcPr>
            <w:vMerge w:val="restart"/>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14"/>
              <w:keepNext w:val="0"/>
              <w:keepLines w:val="0"/>
              <w:framePr w:w="9538" w:h="9821" w:hSpace="864" w:vSpace="307" w:wrap="notBeside" w:vAnchor="text" w:hAnchor="text" w:y="1"/>
              <w:widowControl w:val="0"/>
              <w:numPr>
                <w:ilvl w:val="0"/>
                <w:numId w:val="19"/>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14"/>
              <w:keepNext w:val="0"/>
              <w:keepLines w:val="0"/>
              <w:framePr w:w="9538" w:h="9821" w:hSpace="864" w:vSpace="307" w:wrap="notBeside" w:vAnchor="text" w:hAnchor="text" w:y="1"/>
              <w:widowControl w:val="0"/>
              <w:numPr>
                <w:ilvl w:val="0"/>
                <w:numId w:val="19"/>
              </w:numPr>
              <w:shd w:val="clear" w:color="auto" w:fill="auto"/>
              <w:tabs>
                <w:tab w:pos="106" w:val="left"/>
              </w:tabs>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2 návštěvy/týden á 3 hodiny, celkem 24 týdnů</w:t>
            </w:r>
          </w:p>
          <w:p>
            <w:pPr>
              <w:pStyle w:val="Style14"/>
              <w:keepNext w:val="0"/>
              <w:keepLines w:val="0"/>
              <w:framePr w:w="9538"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3 </w:t>
            </w:r>
            <w:r>
              <w:rPr>
                <w:i/>
                <w:iCs/>
                <w:color w:val="000000"/>
                <w:spacing w:val="0"/>
                <w:w w:val="100"/>
                <w:position w:val="0"/>
                <w:sz w:val="18"/>
                <w:szCs w:val="18"/>
                <w:shd w:val="clear" w:color="auto" w:fill="auto"/>
                <w:lang w:val="cs-CZ" w:eastAsia="cs-CZ" w:bidi="cs-CZ"/>
              </w:rPr>
              <w:t>hod. výkonu TDS x 24 týdnů =</w:t>
            </w:r>
          </w:p>
          <w:p>
            <w:pPr>
              <w:pStyle w:val="Style14"/>
              <w:keepNext w:val="0"/>
              <w:keepLines w:val="0"/>
              <w:framePr w:w="9538"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144 </w:t>
            </w:r>
            <w:r>
              <w:rPr>
                <w:b/>
                <w:bCs/>
                <w:i/>
                <w:iCs/>
                <w:color w:val="000000"/>
                <w:spacing w:val="0"/>
                <w:w w:val="100"/>
                <w:position w:val="0"/>
                <w:sz w:val="18"/>
                <w:szCs w:val="18"/>
                <w:shd w:val="clear" w:color="auto" w:fill="auto"/>
                <w:lang w:val="cs-CZ" w:eastAsia="cs-CZ" w:bidi="cs-CZ"/>
              </w:rPr>
              <w:t xml:space="preserve">hodin výkonu TDS celkem </w:t>
            </w:r>
            <w:r>
              <w:rPr>
                <w:i/>
                <w:iCs/>
                <w:color w:val="000000"/>
                <w:spacing w:val="0"/>
                <w:w w:val="100"/>
                <w:position w:val="0"/>
                <w:sz w:val="18"/>
                <w:szCs w:val="18"/>
                <w:shd w:val="clear" w:color="auto" w:fill="auto"/>
                <w:lang w:val="cs-CZ" w:eastAsia="cs-CZ" w:bidi="cs-CZ"/>
              </w:rPr>
              <w:t xml:space="preserve">) </w:t>
            </w:r>
            <w:r>
              <w:rPr>
                <w:i/>
                <w:iCs/>
                <w:color w:val="FF0000"/>
                <w:spacing w:val="0"/>
                <w:w w:val="100"/>
                <w:position w:val="0"/>
                <w:sz w:val="18"/>
                <w:szCs w:val="18"/>
                <w:shd w:val="clear" w:color="auto" w:fill="auto"/>
                <w:lang w:val="cs-CZ" w:eastAsia="cs-CZ" w:bidi="cs-CZ"/>
              </w:rPr>
              <w:t>Čas strávený cestou na/ze staveniště se do času výkonu KOO BOZP na staveništi nepočítá</w:t>
            </w:r>
          </w:p>
        </w:tc>
        <w:tc>
          <w:tcPr>
            <w:vMerge w:val="restart"/>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780,00 Kč</w:t>
            </w: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57"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 xml:space="preserve">celkem za 144 hodin </w:t>
            </w:r>
            <w:r>
              <w:rPr>
                <w:b/>
                <w:bCs/>
                <w:i/>
                <w:iCs/>
                <w:color w:val="000000"/>
                <w:spacing w:val="0"/>
                <w:w w:val="100"/>
                <w:position w:val="0"/>
                <w:sz w:val="18"/>
                <w:szCs w:val="18"/>
                <w:shd w:val="clear" w:color="auto" w:fill="auto"/>
                <w:lang w:val="cs-CZ" w:eastAsia="cs-CZ" w:bidi="cs-CZ"/>
              </w:rPr>
              <w:footnoteReference w:id="2"/>
            </w:r>
            <w:r>
              <w:rPr>
                <w:b/>
                <w:bCs/>
                <w:i/>
                <w:iCs/>
                <w:color w:val="000000"/>
                <w:spacing w:val="0"/>
                <w:w w:val="100"/>
                <w:position w:val="0"/>
                <w:sz w:val="18"/>
                <w:szCs w:val="18"/>
                <w:shd w:val="clear" w:color="auto" w:fill="auto"/>
                <w:lang w:val="cs-CZ" w:eastAsia="cs-CZ" w:bidi="cs-CZ"/>
              </w:rPr>
              <w:t xml:space="preserve"> </w:t>
            </w:r>
            <w:r>
              <w:rPr>
                <w:b/>
                <w:bCs/>
                <w:i/>
                <w:iCs/>
                <w:color w:val="000000"/>
                <w:spacing w:val="0"/>
                <w:w w:val="100"/>
                <w:position w:val="0"/>
                <w:sz w:val="18"/>
                <w:szCs w:val="18"/>
                <w:shd w:val="clear" w:color="auto" w:fill="auto"/>
                <w:vertAlign w:val="superscript"/>
                <w:lang w:val="cs-CZ" w:eastAsia="cs-CZ" w:bidi="cs-CZ"/>
              </w:rPr>
              <w:footnoteReference w:id="3"/>
            </w:r>
          </w:p>
        </w:tc>
      </w:tr>
      <w:tr>
        <w:trPr>
          <w:trHeight w:val="917" w:hRule="exact"/>
        </w:trPr>
        <w:tc>
          <w:tcPr>
            <w:vMerge/>
            <w:tcBorders>
              <w:left w:val="single" w:sz="4"/>
            </w:tcBorders>
            <w:shd w:val="clear" w:color="auto" w:fill="FFFFFF"/>
            <w:vAlign w:val="center"/>
          </w:tcPr>
          <w:p>
            <w:pPr>
              <w:framePr w:w="9538" w:h="9821" w:hSpace="864" w:vSpace="307" w:wrap="notBeside" w:vAnchor="text" w:hAnchor="text" w:y="1"/>
            </w:pPr>
          </w:p>
        </w:tc>
        <w:tc>
          <w:tcPr>
            <w:vMerge/>
            <w:tcBorders>
              <w:left w:val="single" w:sz="4"/>
            </w:tcBorders>
            <w:shd w:val="clear" w:color="auto" w:fill="FFFFFF"/>
            <w:vAlign w:val="center"/>
          </w:tcPr>
          <w:p>
            <w:pPr>
              <w:framePr w:w="9538" w:h="9821" w:hSpace="864" w:vSpace="307" w:wrap="notBeside" w:vAnchor="text" w:hAnchor="text" w:y="1"/>
            </w:pPr>
          </w:p>
        </w:tc>
        <w:tc>
          <w:tcPr>
            <w:vMerge/>
            <w:tcBorders>
              <w:left w:val="single" w:sz="4"/>
            </w:tcBorders>
            <w:shd w:val="clear" w:color="auto" w:fill="FFFFFF"/>
            <w:vAlign w:val="center"/>
          </w:tcPr>
          <w:p>
            <w:pPr>
              <w:framePr w:w="9538" w:h="9821" w:hSpace="864" w:vSpace="307" w:wrap="notBeside" w:vAnchor="text" w:hAnchor="text" w:y="1"/>
            </w:pPr>
          </w:p>
        </w:tc>
        <w:tc>
          <w:tcPr>
            <w:tcBorders>
              <w:top w:val="single" w:sz="4"/>
              <w:left w:val="single" w:sz="4"/>
              <w:righ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00"/>
              <w:jc w:val="both"/>
              <w:rPr>
                <w:sz w:val="18"/>
                <w:szCs w:val="18"/>
              </w:rPr>
            </w:pPr>
            <w:r>
              <w:rPr>
                <w:color w:val="000000"/>
                <w:spacing w:val="0"/>
                <w:w w:val="100"/>
                <w:position w:val="0"/>
                <w:sz w:val="18"/>
                <w:szCs w:val="18"/>
                <w:shd w:val="clear" w:color="auto" w:fill="auto"/>
                <w:lang w:val="cs-CZ" w:eastAsia="cs-CZ" w:bidi="cs-CZ"/>
              </w:rPr>
              <w:t>112 320,00 Kč</w:t>
            </w:r>
          </w:p>
        </w:tc>
      </w:tr>
      <w:tr>
        <w:trPr>
          <w:trHeight w:val="523" w:hRule="exact"/>
        </w:trPr>
        <w:tc>
          <w:tcPr>
            <w:gridSpan w:val="2"/>
            <w:tcBorders>
              <w:top w:val="single" w:sz="4"/>
              <w:left w:val="single" w:sz="4"/>
            </w:tcBorders>
            <w:shd w:val="clear" w:color="auto" w:fill="FFFFFF"/>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00"/>
              <w:jc w:val="both"/>
              <w:rPr>
                <w:sz w:val="18"/>
                <w:szCs w:val="18"/>
              </w:rPr>
            </w:pPr>
            <w:r>
              <w:rPr>
                <w:b/>
                <w:bCs/>
                <w:color w:val="000000"/>
                <w:spacing w:val="0"/>
                <w:w w:val="100"/>
                <w:position w:val="0"/>
                <w:sz w:val="18"/>
                <w:szCs w:val="18"/>
                <w:shd w:val="clear" w:color="auto" w:fill="auto"/>
                <w:lang w:val="cs-CZ" w:eastAsia="cs-CZ" w:bidi="cs-CZ"/>
              </w:rPr>
              <w:t>118 520,00 Kč</w:t>
            </w:r>
          </w:p>
        </w:tc>
      </w:tr>
      <w:tr>
        <w:trPr>
          <w:trHeight w:val="518" w:hRule="exact"/>
        </w:trPr>
        <w:tc>
          <w:tcPr>
            <w:gridSpan w:val="2"/>
            <w:tcBorders>
              <w:top w:val="single" w:sz="4"/>
              <w:lef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00"/>
              <w:jc w:val="both"/>
              <w:rPr>
                <w:sz w:val="18"/>
                <w:szCs w:val="18"/>
              </w:rPr>
            </w:pPr>
            <w:r>
              <w:rPr>
                <w:b/>
                <w:bCs/>
                <w:color w:val="000000"/>
                <w:spacing w:val="0"/>
                <w:w w:val="100"/>
                <w:position w:val="0"/>
                <w:sz w:val="18"/>
                <w:szCs w:val="18"/>
                <w:shd w:val="clear" w:color="auto" w:fill="auto"/>
                <w:lang w:val="cs-CZ" w:eastAsia="cs-CZ" w:bidi="cs-CZ"/>
              </w:rPr>
              <w:t>140 520,00 Kč</w:t>
            </w:r>
          </w:p>
        </w:tc>
      </w:tr>
      <w:tr>
        <w:trPr>
          <w:trHeight w:val="490" w:hRule="exact"/>
        </w:trPr>
        <w:tc>
          <w:tcPr>
            <w:gridSpan w:val="2"/>
            <w:tcBorders>
              <w:top w:val="single" w:sz="4"/>
              <w:lef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29 520,20 Kč</w:t>
            </w:r>
          </w:p>
        </w:tc>
      </w:tr>
      <w:tr>
        <w:trPr>
          <w:trHeight w:val="662" w:hRule="exact"/>
        </w:trPr>
        <w:tc>
          <w:tcPr>
            <w:gridSpan w:val="2"/>
            <w:tcBorders>
              <w:top w:val="single" w:sz="4"/>
              <w:left w:val="single" w:sz="4"/>
              <w:bottom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14"/>
              <w:keepNext w:val="0"/>
              <w:keepLines w:val="0"/>
              <w:framePr w:w="9538" w:h="9821" w:hSpace="864" w:vSpace="307" w:wrap="notBeside" w:vAnchor="text" w:hAnchor="text" w:y="1"/>
              <w:widowControl w:val="0"/>
              <w:shd w:val="clear" w:color="auto" w:fill="auto"/>
              <w:bidi w:val="0"/>
              <w:spacing w:before="0" w:after="0" w:line="240" w:lineRule="auto"/>
              <w:ind w:left="0" w:right="0" w:firstLine="500"/>
              <w:jc w:val="both"/>
              <w:rPr>
                <w:sz w:val="18"/>
                <w:szCs w:val="18"/>
              </w:rPr>
            </w:pPr>
            <w:r>
              <w:rPr>
                <w:b/>
                <w:bCs/>
                <w:color w:val="000000"/>
                <w:spacing w:val="0"/>
                <w:w w:val="100"/>
                <w:position w:val="0"/>
                <w:sz w:val="18"/>
                <w:szCs w:val="18"/>
                <w:shd w:val="clear" w:color="auto" w:fill="auto"/>
                <w:lang w:val="cs-CZ" w:eastAsia="cs-CZ" w:bidi="cs-CZ"/>
              </w:rPr>
              <w:t>170 029,20 Kč</w:t>
            </w:r>
          </w:p>
        </w:tc>
      </w:tr>
    </w:tbl>
    <w:p>
      <w:pPr>
        <w:pStyle w:val="Style17"/>
        <w:keepNext w:val="0"/>
        <w:keepLines w:val="0"/>
        <w:framePr w:w="8203" w:h="230" w:hSpace="2199" w:wrap="notBeside" w:vAnchor="text" w:hAnchor="text" w:x="659" w:y="98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pStyle w:val="Style17"/>
        <w:keepNext w:val="0"/>
        <w:keepLines w:val="0"/>
        <w:framePr w:w="883" w:h="451" w:hSpace="9519" w:wrap="notBeside" w:vAnchor="text" w:hAnchor="text" w:x="9519" w:y="5492"/>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 e p o č í t á automaticky</w:t>
      </w:r>
    </w:p>
    <w:p>
      <w:pPr>
        <w:pStyle w:val="Style17"/>
        <w:keepNext w:val="0"/>
        <w:keepLines w:val="0"/>
        <w:framePr w:w="883" w:h="451" w:hSpace="9519" w:wrap="notBeside" w:vAnchor="text" w:hAnchor="text" w:x="9519" w:y="8703"/>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17"/>
        <w:keepNext w:val="0"/>
        <w:keepLines w:val="0"/>
        <w:framePr w:w="883" w:h="451" w:hSpace="9519" w:wrap="notBeside" w:vAnchor="text" w:hAnchor="text" w:x="9519" w:y="927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17"/>
        <w:keepNext w:val="0"/>
        <w:keepLines w:val="0"/>
        <w:framePr w:w="883" w:h="461" w:hSpace="9519" w:wrap="notBeside" w:vAnchor="text" w:hAnchor="text" w:x="9519" w:y="6956"/>
        <w:widowControl w:val="0"/>
        <w:shd w:val="clear" w:color="auto" w:fill="auto"/>
        <w:bidi w:val="0"/>
        <w:spacing w:before="0" w:after="0" w:line="276" w:lineRule="auto"/>
        <w:ind w:left="0" w:right="0" w:firstLine="0"/>
        <w:jc w:val="left"/>
      </w:pPr>
      <w:r>
        <w:rPr>
          <w:b w:val="0"/>
          <w:bCs w:val="0"/>
          <w:color w:val="000000"/>
          <w:spacing w:val="0"/>
          <w:w w:val="100"/>
          <w:position w:val="0"/>
          <w:shd w:val="clear" w:color="auto" w:fill="auto"/>
          <w:lang w:val="cs-CZ" w:eastAsia="cs-CZ" w:bidi="cs-CZ"/>
        </w:rPr>
        <w:t>nepočítá automaticky</w:t>
      </w:r>
    </w:p>
    <w:p>
      <w:pPr>
        <w:widowControl w:val="0"/>
        <w:spacing w:line="1" w:lineRule="exact"/>
      </w:pPr>
    </w:p>
    <w:p>
      <w:pPr>
        <w:pStyle w:val="Style4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sectPr>
      <w:headerReference w:type="default" r:id="rId25"/>
      <w:footerReference w:type="default" r:id="rId26"/>
      <w:footnotePr>
        <w:pos w:val="pageBottom"/>
        <w:numFmt w:val="chicago"/>
        <w:numStart w:val="1"/>
        <w:numRestart w:val="continuous"/>
        <w15:footnoteColumns w:val="1"/>
      </w:footnotePr>
      <w:pgSz w:w="12240" w:h="15840"/>
      <w:pgMar w:top="707" w:left="1181" w:right="658" w:bottom="1108" w:header="27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755650</wp:posOffset>
              </wp:positionH>
              <wp:positionV relativeFrom="page">
                <wp:posOffset>9497695</wp:posOffset>
              </wp:positionV>
              <wp:extent cx="3209290" cy="262255"/>
              <wp:wrapNone/>
              <wp:docPr id="5" name="Shape 5"/>
              <a:graphic xmlns:a="http://schemas.openxmlformats.org/drawingml/2006/main">
                <a:graphicData uri="http://schemas.microsoft.com/office/word/2010/wordprocessingShape">
                  <wps:wsp>
                    <wps:cNvSpPr txBox="1"/>
                    <wps:spPr>
                      <a:xfrm>
                        <a:ext cx="3209290" cy="2622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III/12920 Leskovice, most ev. č. 12920-1</w:t>
                          </w:r>
                        </w:p>
                      </w:txbxContent>
                    </wps:txbx>
                    <wps:bodyPr wrap="none" lIns="0" tIns="0" rIns="0" bIns="0">
                      <a:spAutoFit/>
                    </wps:bodyPr>
                  </wps:wsp>
                </a:graphicData>
              </a:graphic>
            </wp:anchor>
          </w:drawing>
        </mc:Choice>
        <mc:Fallback>
          <w:pict>
            <v:shape id="_x0000_s1031" type="#_x0000_t202" style="position:absolute;margin-left:59.5pt;margin-top:747.85000000000002pt;width:252.69999999999999pt;height:20.649999999999999pt;z-index:-18874406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III/12920 Leskovice, most ev. č. 12920-1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9453245</wp:posOffset>
              </wp:positionV>
              <wp:extent cx="6397625" cy="0"/>
              <wp:wrapNone/>
              <wp:docPr id="7" name="Shape 7"/>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50000000000001pt;margin-top:744.35000000000002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5203190</wp:posOffset>
              </wp:positionH>
              <wp:positionV relativeFrom="page">
                <wp:posOffset>9354820</wp:posOffset>
              </wp:positionV>
              <wp:extent cx="1161415" cy="94615"/>
              <wp:wrapNone/>
              <wp:docPr id="30" name="Shape 30"/>
              <a:graphic xmlns:a="http://schemas.openxmlformats.org/drawingml/2006/main">
                <a:graphicData uri="http://schemas.microsoft.com/office/word/2010/wordprocessingShape">
                  <wps:wsp>
                    <wps:cNvSpPr txBox="1"/>
                    <wps:spPr>
                      <a:xfrm>
                        <a:ext cx="1161415"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Chalupa Eduard - jednatel</w:t>
                          </w:r>
                        </w:p>
                      </w:txbxContent>
                    </wps:txbx>
                    <wps:bodyPr wrap="none" lIns="0" tIns="0" rIns="0" bIns="0">
                      <a:spAutoFit/>
                    </wps:bodyPr>
                  </wps:wsp>
                </a:graphicData>
              </a:graphic>
            </wp:anchor>
          </w:drawing>
        </mc:Choice>
        <mc:Fallback>
          <w:pict>
            <v:shape id="_x0000_s1056" type="#_x0000_t202" style="position:absolute;margin-left:409.69999999999999pt;margin-top:736.60000000000002pt;width:91.450000000000003pt;height:7.4500000000000002pt;z-index:-18874405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Chalupa Eduard - jednatel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footnoteRef/>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Cena za práci na staveništi při provádění stavby (pol. č. 3 a č. 4) </w:t>
      </w:r>
      <w:r>
        <w:rPr>
          <w:b/>
          <w:bCs/>
          <w:color w:val="000000"/>
          <w:spacing w:val="0"/>
          <w:w w:val="100"/>
          <w:position w:val="0"/>
          <w:shd w:val="clear" w:color="auto" w:fill="auto"/>
          <w:lang w:val="cs-CZ" w:eastAsia="cs-CZ" w:bidi="cs-CZ"/>
        </w:rPr>
        <w:t xml:space="preserve">v celkovém předpokládaném rozsahu 10 hodin v kanceláři a 144 hodin na staveništi </w:t>
      </w:r>
      <w:r>
        <w:rPr>
          <w:color w:val="000000"/>
          <w:spacing w:val="0"/>
          <w:w w:val="100"/>
          <w:position w:val="0"/>
          <w:shd w:val="clear" w:color="auto" w:fill="auto"/>
          <w:lang w:val="cs-CZ" w:eastAsia="cs-CZ" w:bidi="cs-CZ"/>
        </w:rPr>
        <w:t xml:space="preserve">je uvedena pouze pro rovnocenné hodnocení podaných nabídek. </w:t>
      </w:r>
      <w:r>
        <w:rPr>
          <w:b/>
          <w:bCs/>
          <w:color w:val="000000"/>
          <w:spacing w:val="0"/>
          <w:w w:val="100"/>
          <w:position w:val="0"/>
          <w:shd w:val="clear" w:color="auto" w:fill="auto"/>
          <w:lang w:val="cs-CZ" w:eastAsia="cs-CZ" w:bidi="cs-CZ"/>
        </w:rPr>
        <w:t>Ve Smlouvě o zajištění výkonu TDS uvedena nebude.</w:t>
      </w:r>
    </w:p>
  </w:footnote>
  <w:footnote w:id="3">
    <w:p>
      <w:pPr>
        <w:pStyle w:val="Style2"/>
        <w:keepNext w:val="0"/>
        <w:keepLines w:val="0"/>
        <w:widowControl w:val="0"/>
        <w:shd w:val="clear" w:color="auto" w:fill="auto"/>
        <w:bidi w:val="0"/>
        <w:spacing w:before="0" w:after="400"/>
        <w:ind w:left="0" w:right="0" w:firstLine="0"/>
        <w:jc w:val="left"/>
      </w:pPr>
      <w:r>
        <w:rPr>
          <w:b/>
          <w:bCs/>
          <w:color w:val="000000"/>
          <w:spacing w:val="0"/>
          <w:w w:val="100"/>
          <w:position w:val="0"/>
          <w:shd w:val="clear" w:color="auto" w:fill="auto"/>
          <w:lang w:val="cs-CZ" w:eastAsia="cs-CZ" w:bidi="cs-CZ"/>
        </w:rPr>
        <w:footnoteRef/>
      </w:r>
      <w:r>
        <w:rPr>
          <w:b/>
          <w:bCs/>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použita k hodnocení podaných nabídek, </w:t>
      </w:r>
      <w:r>
        <w:rPr>
          <w:color w:val="000000"/>
          <w:spacing w:val="0"/>
          <w:w w:val="100"/>
          <w:position w:val="0"/>
          <w:shd w:val="clear" w:color="auto" w:fill="auto"/>
          <w:lang w:val="cs-CZ" w:eastAsia="cs-CZ" w:bidi="cs-CZ"/>
        </w:rPr>
        <w:t>ve Smlouvě o zajištění výkonu TDS uvedena nebude.</w:t>
      </w:r>
    </w:p>
    <w:p>
      <w:pPr>
        <w:pStyle w:val="Style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 Táboře 20.2.2022</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777240</wp:posOffset>
              </wp:positionH>
              <wp:positionV relativeFrom="page">
                <wp:posOffset>527050</wp:posOffset>
              </wp:positionV>
              <wp:extent cx="2538730" cy="539750"/>
              <wp:wrapNone/>
              <wp:docPr id="3" name="Shape 3"/>
              <a:graphic xmlns:a="http://schemas.openxmlformats.org/drawingml/2006/main">
                <a:graphicData uri="http://schemas.microsoft.com/office/word/2010/wordprocessingShape">
                  <wps:wsp>
                    <wps:cNvSpPr txBox="1"/>
                    <wps:spPr>
                      <a:xfrm>
                        <a:ext cx="2538730" cy="5397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3B3E59"/>
                              <w:spacing w:val="0"/>
                              <w:w w:val="100"/>
                              <w:position w:val="0"/>
                              <w:sz w:val="34"/>
                              <w:szCs w:val="34"/>
                              <w:shd w:val="clear" w:color="auto" w:fill="auto"/>
                              <w:lang w:val="cs-CZ" w:eastAsia="cs-CZ" w:bidi="cs-CZ"/>
                            </w:rPr>
                            <w:t xml:space="preserve">Krajská správa </w:t>
                          </w:r>
                          <w:r>
                            <w:rPr>
                              <w:rFonts w:ascii="Arial" w:eastAsia="Arial" w:hAnsi="Arial" w:cs="Arial"/>
                              <w:b/>
                              <w:bCs/>
                              <w:color w:val="647D55"/>
                              <w:spacing w:val="0"/>
                              <w:w w:val="100"/>
                              <w:position w:val="0"/>
                              <w:sz w:val="34"/>
                              <w:szCs w:val="34"/>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3B3E59"/>
                              <w:spacing w:val="0"/>
                              <w:w w:val="100"/>
                              <w:position w:val="0"/>
                              <w:sz w:val="34"/>
                              <w:szCs w:val="34"/>
                              <w:shd w:val="clear" w:color="auto" w:fill="auto"/>
                              <w:lang w:val="cs-CZ" w:eastAsia="cs-CZ" w:bidi="cs-CZ"/>
                            </w:rPr>
                            <w:t xml:space="preserve">a údržba </w:t>
                          </w:r>
                          <w:r>
                            <w:rPr>
                              <w:rFonts w:ascii="Arial" w:eastAsia="Arial" w:hAnsi="Arial" w:cs="Arial"/>
                              <w:b/>
                              <w:bCs/>
                              <w:smallCaps/>
                              <w:color w:val="3B3E59"/>
                              <w:spacing w:val="0"/>
                              <w:w w:val="100"/>
                              <w:position w:val="0"/>
                              <w:sz w:val="34"/>
                              <w:szCs w:val="34"/>
                              <w:shd w:val="clear" w:color="auto" w:fill="auto"/>
                              <w:lang w:val="cs-CZ" w:eastAsia="cs-CZ" w:bidi="cs-CZ"/>
                            </w:rPr>
                            <w:t>síIhíc</w:t>
                          </w:r>
                          <w:r>
                            <w:rPr>
                              <w:rFonts w:ascii="Arial" w:eastAsia="Arial" w:hAnsi="Arial" w:cs="Arial"/>
                              <w:b/>
                              <w:bCs/>
                              <w:color w:val="3B3E59"/>
                              <w:spacing w:val="0"/>
                              <w:w w:val="100"/>
                              <w:position w:val="0"/>
                              <w:sz w:val="34"/>
                              <w:szCs w:val="34"/>
                              <w:shd w:val="clear" w:color="auto" w:fill="auto"/>
                              <w:lang w:val="cs-CZ" w:eastAsia="cs-CZ" w:bidi="cs-CZ"/>
                            </w:rPr>
                            <w:t xml:space="preserve"> Vysocny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1.200000000000003pt;margin-top:41.5pt;width:199.90000000000001pt;height:42.5pt;z-index:-18874406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3B3E59"/>
                        <w:spacing w:val="0"/>
                        <w:w w:val="100"/>
                        <w:position w:val="0"/>
                        <w:sz w:val="34"/>
                        <w:szCs w:val="34"/>
                        <w:shd w:val="clear" w:color="auto" w:fill="auto"/>
                        <w:lang w:val="cs-CZ" w:eastAsia="cs-CZ" w:bidi="cs-CZ"/>
                      </w:rPr>
                      <w:t xml:space="preserve">Krajská správa </w:t>
                    </w:r>
                    <w:r>
                      <w:rPr>
                        <w:rFonts w:ascii="Arial" w:eastAsia="Arial" w:hAnsi="Arial" w:cs="Arial"/>
                        <w:b/>
                        <w:bCs/>
                        <w:color w:val="647D55"/>
                        <w:spacing w:val="0"/>
                        <w:w w:val="100"/>
                        <w:position w:val="0"/>
                        <w:sz w:val="34"/>
                        <w:szCs w:val="34"/>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b/>
                        <w:bCs/>
                        <w:color w:val="3B3E59"/>
                        <w:spacing w:val="0"/>
                        <w:w w:val="100"/>
                        <w:position w:val="0"/>
                        <w:sz w:val="34"/>
                        <w:szCs w:val="34"/>
                        <w:shd w:val="clear" w:color="auto" w:fill="auto"/>
                        <w:lang w:val="cs-CZ" w:eastAsia="cs-CZ" w:bidi="cs-CZ"/>
                      </w:rPr>
                      <w:t xml:space="preserve">a údržba </w:t>
                    </w:r>
                    <w:r>
                      <w:rPr>
                        <w:rFonts w:ascii="Arial" w:eastAsia="Arial" w:hAnsi="Arial" w:cs="Arial"/>
                        <w:b/>
                        <w:bCs/>
                        <w:smallCaps/>
                        <w:color w:val="3B3E59"/>
                        <w:spacing w:val="0"/>
                        <w:w w:val="100"/>
                        <w:position w:val="0"/>
                        <w:sz w:val="34"/>
                        <w:szCs w:val="34"/>
                        <w:shd w:val="clear" w:color="auto" w:fill="auto"/>
                        <w:lang w:val="cs-CZ" w:eastAsia="cs-CZ" w:bidi="cs-CZ"/>
                      </w:rPr>
                      <w:t>síIhíc</w:t>
                    </w:r>
                    <w:r>
                      <w:rPr>
                        <w:rFonts w:ascii="Arial" w:eastAsia="Arial" w:hAnsi="Arial" w:cs="Arial"/>
                        <w:b/>
                        <w:bCs/>
                        <w:color w:val="3B3E59"/>
                        <w:spacing w:val="0"/>
                        <w:w w:val="100"/>
                        <w:position w:val="0"/>
                        <w:sz w:val="34"/>
                        <w:szCs w:val="34"/>
                        <w:shd w:val="clear" w:color="auto" w:fill="auto"/>
                        <w:lang w:val="cs-CZ" w:eastAsia="cs-CZ" w:bidi="cs-CZ"/>
                      </w:rPr>
                      <w:t xml:space="preserve"> Vysocny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Times New Roman" w:eastAsia="Times New Roman" w:hAnsi="Times New Roman" w:cs="Times New Roman"/>
      <w:b w:val="0"/>
      <w:bCs w:val="0"/>
      <w:i/>
      <w:iCs/>
      <w:smallCaps w:val="0"/>
      <w:strike w:val="0"/>
      <w:sz w:val="16"/>
      <w:szCs w:val="16"/>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8">
    <w:name w:val="Titulek tabulky_"/>
    <w:basedOn w:val="DefaultParagraphFont"/>
    <w:link w:val="Style17"/>
    <w:rPr>
      <w:rFonts w:ascii="Times New Roman" w:eastAsia="Times New Roman" w:hAnsi="Times New Roman" w:cs="Times New Roman"/>
      <w:b/>
      <w:bCs/>
      <w:i/>
      <w:iCs/>
      <w:smallCaps w:val="0"/>
      <w:strike w:val="0"/>
      <w:sz w:val="16"/>
      <w:szCs w:val="16"/>
      <w:u w:val="none"/>
    </w:rPr>
  </w:style>
  <w:style w:type="character" w:customStyle="1" w:styleId="CharStyle21">
    <w:name w:val="Základní text_"/>
    <w:basedOn w:val="DefaultParagraphFont"/>
    <w:link w:val="Style20"/>
    <w:rPr>
      <w:rFonts w:ascii="Times New Roman" w:eastAsia="Times New Roman" w:hAnsi="Times New Roman" w:cs="Times New Roman"/>
      <w:b w:val="0"/>
      <w:bCs w:val="0"/>
      <w:i w:val="0"/>
      <w:iCs w:val="0"/>
      <w:smallCaps w:val="0"/>
      <w:strike w:val="0"/>
      <w:u w:val="none"/>
    </w:rPr>
  </w:style>
  <w:style w:type="character" w:customStyle="1" w:styleId="CharStyle25">
    <w:name w:val="Nadpis #1_"/>
    <w:basedOn w:val="DefaultParagraphFont"/>
    <w:link w:val="Style24"/>
    <w:rPr>
      <w:rFonts w:ascii="Times New Roman" w:eastAsia="Times New Roman" w:hAnsi="Times New Roman" w:cs="Times New Roman"/>
      <w:b/>
      <w:bCs/>
      <w:i w:val="0"/>
      <w:iCs w:val="0"/>
      <w:smallCaps w:val="0"/>
      <w:strike w:val="0"/>
      <w:sz w:val="40"/>
      <w:szCs w:val="40"/>
      <w:u w:val="none"/>
    </w:rPr>
  </w:style>
  <w:style w:type="character" w:customStyle="1" w:styleId="CharStyle29">
    <w:name w:val="Nadpis #2_"/>
    <w:basedOn w:val="DefaultParagraphFont"/>
    <w:link w:val="Style28"/>
    <w:rPr>
      <w:rFonts w:ascii="Times New Roman" w:eastAsia="Times New Roman" w:hAnsi="Times New Roman" w:cs="Times New Roman"/>
      <w:b/>
      <w:bCs/>
      <w:i w:val="0"/>
      <w:iCs w:val="0"/>
      <w:smallCaps w:val="0"/>
      <w:strike w:val="0"/>
      <w:u w:val="none"/>
    </w:rPr>
  </w:style>
  <w:style w:type="character" w:customStyle="1" w:styleId="CharStyle36">
    <w:name w:val="Základní text (3)_"/>
    <w:basedOn w:val="DefaultParagraphFont"/>
    <w:link w:val="Style35"/>
    <w:rPr>
      <w:rFonts w:ascii="Arial" w:eastAsia="Arial" w:hAnsi="Arial" w:cs="Arial"/>
      <w:b/>
      <w:bCs/>
      <w:i w:val="0"/>
      <w:iCs w:val="0"/>
      <w:smallCaps w:val="0"/>
      <w:strike w:val="0"/>
      <w:color w:val="8B9198"/>
      <w:sz w:val="13"/>
      <w:szCs w:val="13"/>
      <w:u w:val="none"/>
    </w:rPr>
  </w:style>
  <w:style w:type="character" w:customStyle="1" w:styleId="CharStyle48">
    <w:name w:val="Základní text (2)_"/>
    <w:basedOn w:val="DefaultParagraphFont"/>
    <w:link w:val="Style47"/>
    <w:rPr>
      <w:rFonts w:ascii="Times New Roman" w:eastAsia="Times New Roman" w:hAnsi="Times New Roman" w:cs="Times New Roman"/>
      <w:b/>
      <w:bCs/>
      <w:i/>
      <w:iCs/>
      <w:smallCaps w:val="0"/>
      <w:strike w:val="0"/>
      <w:sz w:val="16"/>
      <w:szCs w:val="16"/>
      <w:u w:val="none"/>
    </w:rPr>
  </w:style>
  <w:style w:type="paragraph" w:customStyle="1" w:styleId="Style2">
    <w:name w:val="Poznámka pod čarou"/>
    <w:basedOn w:val="Normal"/>
    <w:link w:val="CharStyle3"/>
    <w:pPr>
      <w:widowControl w:val="0"/>
      <w:shd w:val="clear" w:color="auto" w:fill="FFFFFF"/>
      <w:spacing w:line="276" w:lineRule="auto"/>
    </w:pPr>
    <w:rPr>
      <w:rFonts w:ascii="Times New Roman" w:eastAsia="Times New Roman" w:hAnsi="Times New Roman" w:cs="Times New Roman"/>
      <w:b w:val="0"/>
      <w:bCs w:val="0"/>
      <w:i/>
      <w:iCs/>
      <w:smallCaps w:val="0"/>
      <w:strike w:val="0"/>
      <w:sz w:val="16"/>
      <w:szCs w:val="16"/>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7">
    <w:name w:val="Titulek tabulky"/>
    <w:basedOn w:val="Normal"/>
    <w:link w:val="CharStyle18"/>
    <w:pPr>
      <w:widowControl w:val="0"/>
      <w:shd w:val="clear" w:color="auto" w:fill="FFFFFF"/>
      <w:spacing w:line="269" w:lineRule="auto"/>
    </w:pPr>
    <w:rPr>
      <w:rFonts w:ascii="Times New Roman" w:eastAsia="Times New Roman" w:hAnsi="Times New Roman" w:cs="Times New Roman"/>
      <w:b/>
      <w:bCs/>
      <w:i/>
      <w:iCs/>
      <w:smallCaps w:val="0"/>
      <w:strike w:val="0"/>
      <w:sz w:val="16"/>
      <w:szCs w:val="16"/>
      <w:u w:val="none"/>
    </w:rPr>
  </w:style>
  <w:style w:type="paragraph" w:customStyle="1" w:styleId="Style20">
    <w:name w:val="Základní text"/>
    <w:basedOn w:val="Normal"/>
    <w:link w:val="CharStyle21"/>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24">
    <w:name w:val="Nadpis #1"/>
    <w:basedOn w:val="Normal"/>
    <w:link w:val="CharStyle25"/>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28">
    <w:name w:val="Nadpis #2"/>
    <w:basedOn w:val="Normal"/>
    <w:link w:val="CharStyle29"/>
    <w:pPr>
      <w:widowControl w:val="0"/>
      <w:shd w:val="clear" w:color="auto" w:fill="FFFFFF"/>
      <w:spacing w:after="110"/>
      <w:jc w:val="center"/>
      <w:outlineLvl w:val="1"/>
    </w:pPr>
    <w:rPr>
      <w:rFonts w:ascii="Times New Roman" w:eastAsia="Times New Roman" w:hAnsi="Times New Roman" w:cs="Times New Roman"/>
      <w:b/>
      <w:bCs/>
      <w:i w:val="0"/>
      <w:iCs w:val="0"/>
      <w:smallCaps w:val="0"/>
      <w:strike w:val="0"/>
      <w:u w:val="none"/>
    </w:rPr>
  </w:style>
  <w:style w:type="paragraph" w:customStyle="1" w:styleId="Style35">
    <w:name w:val="Základní text (3)"/>
    <w:basedOn w:val="Normal"/>
    <w:link w:val="CharStyle36"/>
    <w:pPr>
      <w:widowControl w:val="0"/>
      <w:shd w:val="clear" w:color="auto" w:fill="FFFFFF"/>
    </w:pPr>
    <w:rPr>
      <w:rFonts w:ascii="Arial" w:eastAsia="Arial" w:hAnsi="Arial" w:cs="Arial"/>
      <w:b/>
      <w:bCs/>
      <w:i w:val="0"/>
      <w:iCs w:val="0"/>
      <w:smallCaps w:val="0"/>
      <w:strike w:val="0"/>
      <w:color w:val="8B9198"/>
      <w:sz w:val="13"/>
      <w:szCs w:val="13"/>
      <w:u w:val="none"/>
    </w:rPr>
  </w:style>
  <w:style w:type="paragraph" w:customStyle="1" w:styleId="Style47">
    <w:name w:val="Základní text (2)"/>
    <w:basedOn w:val="Normal"/>
    <w:link w:val="CharStyle48"/>
    <w:pPr>
      <w:widowControl w:val="0"/>
      <w:shd w:val="clear" w:color="auto" w:fill="FFFFFF"/>
      <w:spacing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header" Target="header2.xml"/><Relationship Id="rId2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kostelecka</dc:creator>
  <cp:keywords/>
</cp:coreProperties>
</file>